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315" w:rightChars="-150"/>
        <w:jc w:val="center"/>
        <w:rPr>
          <w:rFonts w:ascii="仿宋" w:hAnsi="仿宋" w:eastAsia="仿宋" w:cs="仿宋"/>
          <w:b/>
          <w:bCs/>
          <w:color w:val="auto"/>
          <w:sz w:val="92"/>
          <w:szCs w:val="92"/>
          <w:highlight w:val="none"/>
          <w:u w:val="single"/>
          <w:vertAlign w:val="subscript"/>
        </w:rPr>
      </w:pPr>
      <w:bookmarkStart w:id="108" w:name="_GoBack"/>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b/>
          <w:bCs/>
          <w:color w:val="auto"/>
          <w:sz w:val="44"/>
          <w:szCs w:val="44"/>
          <w:highlight w:val="none"/>
          <w:lang w:eastAsia="zh-CN"/>
        </w:rPr>
      </w:pPr>
      <w:r>
        <w:rPr>
          <w:rFonts w:hint="eastAsia" w:ascii="宋体" w:hAnsi="宋体" w:eastAsia="仿宋" w:cs="宋体"/>
          <w:b/>
          <w:bCs/>
          <w:color w:val="auto"/>
          <w:spacing w:val="-10"/>
          <w:sz w:val="44"/>
          <w:szCs w:val="44"/>
          <w:highlight w:val="none"/>
          <w:lang w:eastAsia="zh-CN"/>
        </w:rPr>
        <w:t>兴全矿业办公生活区项目跟踪审计服务</w:t>
      </w:r>
    </w:p>
    <w:p>
      <w:pPr>
        <w:spacing w:line="400" w:lineRule="atLeast"/>
        <w:jc w:val="center"/>
        <w:rPr>
          <w:rFonts w:hint="eastAsia" w:ascii="宋体" w:hAnsi="宋体" w:cs="宋体"/>
          <w:b/>
          <w:bCs/>
          <w:color w:val="auto"/>
          <w:sz w:val="72"/>
          <w:szCs w:val="72"/>
          <w:highlight w:val="none"/>
        </w:rPr>
      </w:pPr>
    </w:p>
    <w:p>
      <w:pPr>
        <w:spacing w:line="400" w:lineRule="atLeast"/>
        <w:jc w:val="center"/>
        <w:rPr>
          <w:rFonts w:hint="eastAsia" w:ascii="宋体" w:hAnsi="宋体" w:cs="宋体"/>
          <w:b/>
          <w:bCs/>
          <w:color w:val="auto"/>
          <w:sz w:val="72"/>
          <w:szCs w:val="72"/>
          <w:highlight w:val="none"/>
        </w:rPr>
      </w:pPr>
    </w:p>
    <w:p>
      <w:pPr>
        <w:spacing w:line="400" w:lineRule="atLeast"/>
        <w:jc w:val="center"/>
        <w:rPr>
          <w:rFonts w:ascii="仿宋" w:hAnsi="仿宋" w:eastAsia="仿宋" w:cs="仿宋"/>
          <w:b/>
          <w:bCs/>
          <w:color w:val="auto"/>
          <w:sz w:val="72"/>
          <w:szCs w:val="72"/>
          <w:highlight w:val="none"/>
        </w:rPr>
      </w:pPr>
      <w:r>
        <w:rPr>
          <w:rFonts w:hint="eastAsia" w:ascii="宋体" w:hAnsi="宋体" w:cs="宋体"/>
          <w:b/>
          <w:bCs/>
          <w:color w:val="auto"/>
          <w:sz w:val="72"/>
          <w:szCs w:val="72"/>
          <w:highlight w:val="none"/>
        </w:rPr>
        <w:t>招标文件</w:t>
      </w:r>
    </w:p>
    <w:p>
      <w:pPr>
        <w:spacing w:line="480" w:lineRule="exact"/>
        <w:rPr>
          <w:rFonts w:ascii="仿宋" w:hAnsi="仿宋" w:eastAsia="仿宋" w:cs="仿宋"/>
          <w:b/>
          <w:bCs/>
          <w:color w:val="auto"/>
          <w:sz w:val="44"/>
          <w:szCs w:val="44"/>
          <w:highlight w:val="none"/>
        </w:rPr>
      </w:pPr>
    </w:p>
    <w:p>
      <w:pPr>
        <w:spacing w:line="480" w:lineRule="exact"/>
        <w:ind w:firstLine="643" w:firstLineChars="200"/>
        <w:jc w:val="center"/>
        <w:rPr>
          <w:rFonts w:ascii="仿宋" w:hAnsi="仿宋" w:eastAsia="仿宋" w:cs="仿宋"/>
          <w:b/>
          <w:bCs/>
          <w:color w:val="auto"/>
          <w:sz w:val="32"/>
          <w:szCs w:val="32"/>
          <w:highlight w:val="none"/>
        </w:rPr>
      </w:pPr>
    </w:p>
    <w:p>
      <w:pPr>
        <w:spacing w:line="480" w:lineRule="exact"/>
        <w:ind w:firstLine="472" w:firstLineChars="147"/>
        <w:rPr>
          <w:rFonts w:ascii="仿宋" w:hAnsi="仿宋" w:eastAsia="仿宋" w:cs="仿宋"/>
          <w:b/>
          <w:bCs/>
          <w:color w:val="auto"/>
          <w:sz w:val="32"/>
          <w:szCs w:val="32"/>
          <w:highlight w:val="none"/>
        </w:rPr>
      </w:pPr>
    </w:p>
    <w:p>
      <w:pPr>
        <w:spacing w:line="480" w:lineRule="exact"/>
        <w:ind w:firstLine="472" w:firstLineChars="147"/>
        <w:rPr>
          <w:rFonts w:ascii="仿宋" w:hAnsi="仿宋" w:eastAsia="仿宋" w:cs="仿宋"/>
          <w:b/>
          <w:bCs/>
          <w:color w:val="auto"/>
          <w:sz w:val="32"/>
          <w:szCs w:val="32"/>
          <w:highlight w:val="none"/>
        </w:rPr>
      </w:pPr>
    </w:p>
    <w:p>
      <w:pPr>
        <w:spacing w:line="480" w:lineRule="exact"/>
        <w:rPr>
          <w:rFonts w:ascii="仿宋" w:hAnsi="仿宋" w:eastAsia="仿宋" w:cs="仿宋"/>
          <w:b/>
          <w:bCs/>
          <w:color w:val="auto"/>
          <w:sz w:val="32"/>
          <w:szCs w:val="32"/>
          <w:highlight w:val="none"/>
        </w:rPr>
      </w:pPr>
    </w:p>
    <w:p>
      <w:pPr>
        <w:spacing w:line="480" w:lineRule="exact"/>
        <w:rPr>
          <w:rFonts w:ascii="仿宋" w:hAnsi="仿宋" w:eastAsia="仿宋" w:cs="仿宋"/>
          <w:b/>
          <w:bCs/>
          <w:color w:val="auto"/>
          <w:sz w:val="32"/>
          <w:szCs w:val="32"/>
          <w:highlight w:val="none"/>
        </w:rPr>
      </w:pPr>
    </w:p>
    <w:p>
      <w:pPr>
        <w:spacing w:line="480" w:lineRule="exact"/>
        <w:ind w:firstLine="472" w:firstLineChars="147"/>
        <w:rPr>
          <w:rFonts w:ascii="仿宋" w:hAnsi="仿宋" w:eastAsia="仿宋" w:cs="仿宋"/>
          <w:b/>
          <w:bCs/>
          <w:color w:val="auto"/>
          <w:sz w:val="32"/>
          <w:szCs w:val="32"/>
          <w:highlight w:val="none"/>
        </w:rPr>
      </w:pPr>
    </w:p>
    <w:p>
      <w:pPr>
        <w:rPr>
          <w:rFonts w:ascii="仿宋" w:hAnsi="仿宋" w:eastAsia="仿宋" w:cs="仿宋"/>
          <w:color w:val="auto"/>
          <w:highlight w:val="none"/>
        </w:rPr>
      </w:pPr>
    </w:p>
    <w:p>
      <w:pPr>
        <w:spacing w:line="480" w:lineRule="exact"/>
        <w:rPr>
          <w:rFonts w:ascii="仿宋" w:hAnsi="仿宋" w:eastAsia="仿宋" w:cs="仿宋"/>
          <w:b/>
          <w:bCs/>
          <w:color w:val="auto"/>
          <w:sz w:val="32"/>
          <w:szCs w:val="32"/>
          <w:highlight w:val="none"/>
        </w:rPr>
      </w:pPr>
    </w:p>
    <w:p>
      <w:pPr>
        <w:pStyle w:val="7"/>
        <w:rPr>
          <w:color w:val="auto"/>
          <w:highlight w:val="none"/>
        </w:rPr>
      </w:pPr>
    </w:p>
    <w:p>
      <w:pPr>
        <w:rPr>
          <w:color w:val="auto"/>
          <w:highlight w:val="none"/>
        </w:rPr>
      </w:pPr>
    </w:p>
    <w:p>
      <w:pPr>
        <w:wordWrap w:val="0"/>
        <w:spacing w:line="700" w:lineRule="exact"/>
        <w:ind w:right="480" w:firstLine="321" w:firstLineChars="100"/>
        <w:rPr>
          <w:rFonts w:ascii="宋体" w:cs="宋体"/>
          <w:b/>
          <w:bCs/>
          <w:color w:val="auto"/>
          <w:sz w:val="32"/>
          <w:highlight w:val="none"/>
        </w:rPr>
      </w:pPr>
      <w:r>
        <w:rPr>
          <w:rFonts w:hint="eastAsia" w:ascii="宋体" w:cs="宋体"/>
          <w:b/>
          <w:bCs/>
          <w:color w:val="auto"/>
          <w:sz w:val="32"/>
          <w:highlight w:val="none"/>
        </w:rPr>
        <w:t>招标单位</w:t>
      </w:r>
      <w:r>
        <w:rPr>
          <w:rFonts w:ascii="宋体" w:cs="宋体"/>
          <w:b/>
          <w:bCs/>
          <w:color w:val="auto"/>
          <w:sz w:val="32"/>
          <w:highlight w:val="none"/>
        </w:rPr>
        <w:t xml:space="preserve"> </w:t>
      </w:r>
      <w:r>
        <w:rPr>
          <w:rFonts w:hint="eastAsia" w:ascii="宋体" w:cs="宋体"/>
          <w:b/>
          <w:bCs/>
          <w:color w:val="auto"/>
          <w:sz w:val="32"/>
          <w:highlight w:val="none"/>
        </w:rPr>
        <w:t>：</w:t>
      </w:r>
      <w:r>
        <w:rPr>
          <w:rFonts w:ascii="宋体" w:cs="宋体"/>
          <w:b/>
          <w:bCs/>
          <w:color w:val="auto"/>
          <w:sz w:val="32"/>
          <w:highlight w:val="none"/>
          <w:u w:val="single"/>
        </w:rPr>
        <w:t xml:space="preserve"> </w:t>
      </w:r>
      <w:r>
        <w:rPr>
          <w:rFonts w:hint="eastAsia" w:ascii="宋体" w:cs="宋体"/>
          <w:b/>
          <w:bCs/>
          <w:color w:val="auto"/>
          <w:sz w:val="32"/>
          <w:highlight w:val="none"/>
          <w:u w:val="single"/>
        </w:rPr>
        <w:t xml:space="preserve">    </w:t>
      </w:r>
      <w:r>
        <w:rPr>
          <w:rFonts w:hint="eastAsia" w:ascii="宋体" w:cs="宋体"/>
          <w:b/>
          <w:bCs/>
          <w:color w:val="auto"/>
          <w:sz w:val="32"/>
          <w:szCs w:val="32"/>
          <w:highlight w:val="none"/>
          <w:u w:val="single"/>
          <w:lang w:eastAsia="zh-CN"/>
        </w:rPr>
        <w:t>滁州市兴全矿业投资有限公司</w:t>
      </w:r>
      <w:r>
        <w:rPr>
          <w:rFonts w:hint="eastAsia" w:ascii="宋体" w:cs="宋体"/>
          <w:b/>
          <w:bCs/>
          <w:color w:val="auto"/>
          <w:sz w:val="30"/>
          <w:szCs w:val="30"/>
          <w:highlight w:val="none"/>
          <w:u w:val="single"/>
        </w:rPr>
        <w:t xml:space="preserve">   </w:t>
      </w:r>
      <w:r>
        <w:rPr>
          <w:rFonts w:ascii="宋体" w:cs="宋体"/>
          <w:b/>
          <w:bCs/>
          <w:color w:val="auto"/>
          <w:sz w:val="30"/>
          <w:szCs w:val="30"/>
          <w:highlight w:val="none"/>
          <w:u w:val="single"/>
        </w:rPr>
        <w:t xml:space="preserve"> </w:t>
      </w:r>
      <w:r>
        <w:rPr>
          <w:rFonts w:hint="eastAsia" w:ascii="宋体" w:cs="宋体"/>
          <w:b/>
          <w:bCs/>
          <w:color w:val="auto"/>
          <w:sz w:val="32"/>
          <w:highlight w:val="none"/>
          <w:u w:val="single"/>
        </w:rPr>
        <w:t>（盖章）</w:t>
      </w:r>
    </w:p>
    <w:p>
      <w:pPr>
        <w:spacing w:line="700" w:lineRule="exact"/>
        <w:ind w:firstLine="321" w:firstLineChars="100"/>
        <w:rPr>
          <w:rFonts w:ascii="宋体" w:cs="宋体"/>
          <w:b/>
          <w:bCs/>
          <w:color w:val="auto"/>
          <w:sz w:val="32"/>
          <w:highlight w:val="none"/>
        </w:rPr>
      </w:pPr>
    </w:p>
    <w:p>
      <w:pPr>
        <w:spacing w:line="700" w:lineRule="exact"/>
        <w:ind w:firstLine="321" w:firstLineChars="100"/>
        <w:outlineLvl w:val="0"/>
        <w:rPr>
          <w:rFonts w:ascii="宋体" w:cs="宋体"/>
          <w:b/>
          <w:bCs/>
          <w:color w:val="auto"/>
          <w:sz w:val="32"/>
          <w:highlight w:val="none"/>
          <w:u w:val="single"/>
        </w:rPr>
      </w:pPr>
      <w:bookmarkStart w:id="0" w:name="_Toc10545"/>
      <w:bookmarkStart w:id="1" w:name="_Toc13101"/>
      <w:bookmarkStart w:id="2" w:name="_Toc7956"/>
      <w:r>
        <w:rPr>
          <w:rFonts w:hint="eastAsia" w:ascii="宋体" w:cs="宋体"/>
          <w:b/>
          <w:bCs/>
          <w:color w:val="auto"/>
          <w:sz w:val="32"/>
          <w:highlight w:val="none"/>
        </w:rPr>
        <w:t>代理机构：</w:t>
      </w:r>
      <w:r>
        <w:rPr>
          <w:rFonts w:ascii="宋体" w:cs="宋体"/>
          <w:b/>
          <w:bCs/>
          <w:color w:val="auto"/>
          <w:sz w:val="32"/>
          <w:highlight w:val="none"/>
          <w:u w:val="single"/>
        </w:rPr>
        <w:t xml:space="preserve">    </w:t>
      </w:r>
      <w:r>
        <w:rPr>
          <w:rFonts w:hint="eastAsia" w:ascii="宋体" w:cs="宋体"/>
          <w:b/>
          <w:bCs/>
          <w:color w:val="auto"/>
          <w:sz w:val="32"/>
          <w:highlight w:val="none"/>
          <w:u w:val="single"/>
        </w:rPr>
        <w:t>滁州市城投工程咨询管理有限公司</w:t>
      </w:r>
      <w:r>
        <w:rPr>
          <w:rFonts w:ascii="宋体" w:cs="宋体"/>
          <w:b/>
          <w:bCs/>
          <w:color w:val="auto"/>
          <w:sz w:val="32"/>
          <w:highlight w:val="none"/>
          <w:u w:val="single"/>
        </w:rPr>
        <w:t xml:space="preserve"> </w:t>
      </w:r>
      <w:r>
        <w:rPr>
          <w:rFonts w:hint="eastAsia" w:ascii="宋体" w:cs="宋体"/>
          <w:b/>
          <w:bCs/>
          <w:color w:val="auto"/>
          <w:sz w:val="32"/>
          <w:highlight w:val="none"/>
          <w:u w:val="single"/>
        </w:rPr>
        <w:t>（盖章）</w:t>
      </w:r>
      <w:bookmarkEnd w:id="0"/>
      <w:bookmarkEnd w:id="1"/>
      <w:bookmarkEnd w:id="2"/>
    </w:p>
    <w:p>
      <w:pPr>
        <w:spacing w:line="700" w:lineRule="exact"/>
        <w:ind w:firstLine="4016" w:firstLineChars="1250"/>
        <w:rPr>
          <w:rFonts w:ascii="宋体" w:cs="宋体"/>
          <w:b/>
          <w:bCs/>
          <w:color w:val="auto"/>
          <w:sz w:val="32"/>
          <w:highlight w:val="none"/>
          <w:u w:val="single"/>
        </w:rPr>
      </w:pPr>
    </w:p>
    <w:p>
      <w:pPr>
        <w:spacing w:line="700" w:lineRule="exact"/>
        <w:ind w:firstLine="4016" w:firstLineChars="1250"/>
        <w:rPr>
          <w:rFonts w:ascii="宋体" w:cs="宋体"/>
          <w:b/>
          <w:bCs/>
          <w:color w:val="auto"/>
          <w:spacing w:val="20"/>
          <w:sz w:val="32"/>
          <w:szCs w:val="32"/>
          <w:highlight w:val="none"/>
        </w:rPr>
      </w:pPr>
      <w:r>
        <w:rPr>
          <w:rFonts w:ascii="宋体" w:cs="宋体"/>
          <w:b/>
          <w:bCs/>
          <w:color w:val="auto"/>
          <w:sz w:val="32"/>
          <w:highlight w:val="none"/>
          <w:u w:val="single"/>
        </w:rPr>
        <w:t>202</w:t>
      </w:r>
      <w:r>
        <w:rPr>
          <w:rFonts w:hint="eastAsia" w:ascii="宋体" w:cs="宋体"/>
          <w:b/>
          <w:bCs/>
          <w:color w:val="auto"/>
          <w:sz w:val="32"/>
          <w:highlight w:val="none"/>
          <w:u w:val="single"/>
          <w:lang w:val="en-US" w:eastAsia="zh-CN"/>
        </w:rPr>
        <w:t>3</w:t>
      </w:r>
      <w:r>
        <w:rPr>
          <w:rFonts w:ascii="宋体" w:cs="宋体"/>
          <w:b/>
          <w:bCs/>
          <w:color w:val="auto"/>
          <w:sz w:val="32"/>
          <w:highlight w:val="none"/>
          <w:u w:val="single"/>
        </w:rPr>
        <w:t xml:space="preserve"> </w:t>
      </w:r>
      <w:r>
        <w:rPr>
          <w:rFonts w:hint="eastAsia" w:ascii="宋体" w:cs="宋体"/>
          <w:b/>
          <w:bCs/>
          <w:color w:val="auto"/>
          <w:sz w:val="32"/>
          <w:highlight w:val="none"/>
        </w:rPr>
        <w:t>年</w:t>
      </w:r>
      <w:r>
        <w:rPr>
          <w:rFonts w:ascii="宋体" w:cs="宋体"/>
          <w:b/>
          <w:bCs/>
          <w:color w:val="auto"/>
          <w:sz w:val="32"/>
          <w:highlight w:val="none"/>
          <w:u w:val="single"/>
        </w:rPr>
        <w:t xml:space="preserve"> </w:t>
      </w:r>
      <w:r>
        <w:rPr>
          <w:rFonts w:hint="eastAsia" w:ascii="宋体" w:cs="宋体"/>
          <w:b/>
          <w:bCs/>
          <w:color w:val="auto"/>
          <w:sz w:val="32"/>
          <w:highlight w:val="none"/>
          <w:u w:val="single"/>
          <w:lang w:val="en-US" w:eastAsia="zh-CN"/>
        </w:rPr>
        <w:t>12</w:t>
      </w:r>
      <w:r>
        <w:rPr>
          <w:rFonts w:ascii="宋体" w:cs="宋体"/>
          <w:b/>
          <w:bCs/>
          <w:color w:val="auto"/>
          <w:sz w:val="32"/>
          <w:highlight w:val="none"/>
          <w:u w:val="single"/>
        </w:rPr>
        <w:t xml:space="preserve"> </w:t>
      </w:r>
      <w:r>
        <w:rPr>
          <w:rFonts w:hint="eastAsia" w:ascii="宋体" w:cs="宋体"/>
          <w:b/>
          <w:bCs/>
          <w:color w:val="auto"/>
          <w:sz w:val="32"/>
          <w:highlight w:val="none"/>
        </w:rPr>
        <w:t>月</w:t>
      </w:r>
    </w:p>
    <w:p>
      <w:pPr>
        <w:spacing w:line="700" w:lineRule="exact"/>
        <w:rPr>
          <w:rFonts w:ascii="宋体"/>
          <w:color w:val="auto"/>
          <w:highlight w:val="none"/>
        </w:rPr>
        <w:sectPr>
          <w:headerReference r:id="rId4" w:type="first"/>
          <w:footerReference r:id="rId6" w:type="first"/>
          <w:headerReference r:id="rId3" w:type="default"/>
          <w:footerReference r:id="rId5" w:type="default"/>
          <w:pgSz w:w="11906" w:h="16838"/>
          <w:pgMar w:top="935" w:right="1106" w:bottom="936" w:left="1259" w:header="680" w:footer="680" w:gutter="0"/>
          <w:cols w:space="0" w:num="1"/>
          <w:titlePg/>
          <w:docGrid w:type="lines" w:linePitch="318" w:charSpace="0"/>
        </w:sectPr>
      </w:pPr>
    </w:p>
    <w:p>
      <w:pPr>
        <w:spacing w:line="700" w:lineRule="exact"/>
        <w:jc w:val="center"/>
        <w:rPr>
          <w:rFonts w:ascii="宋体" w:hAnsi="宋体" w:cs="宋体"/>
          <w:b/>
          <w:bCs/>
          <w:color w:val="auto"/>
          <w:highlight w:val="none"/>
        </w:rPr>
      </w:pPr>
    </w:p>
    <w:p>
      <w:pPr>
        <w:spacing w:line="7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目  录</w:t>
      </w:r>
    </w:p>
    <w:sdt>
      <w:sdtPr>
        <w:rPr>
          <w:rFonts w:ascii="宋体" w:hAnsi="宋体"/>
          <w:b/>
          <w:bCs/>
          <w:color w:val="auto"/>
          <w:highlight w:val="none"/>
        </w:rPr>
        <w:id w:val="147454049"/>
        <w15:color w:val="DBDBDB"/>
        <w:docPartObj>
          <w:docPartGallery w:val="Table of Contents"/>
          <w:docPartUnique/>
        </w:docPartObj>
      </w:sdtPr>
      <w:sdtEndPr>
        <w:rPr>
          <w:rFonts w:hint="eastAsia" w:ascii="Times New Roman" w:hAnsi="Times New Roman"/>
          <w:b/>
          <w:bCs/>
          <w:color w:val="auto"/>
          <w:sz w:val="28"/>
          <w:szCs w:val="28"/>
          <w:highlight w:val="none"/>
        </w:rPr>
      </w:sdtEndPr>
      <w:sdtContent>
        <w:p>
          <w:pPr>
            <w:jc w:val="center"/>
            <w:rPr>
              <w:color w:val="auto"/>
              <w:highlight w:val="none"/>
            </w:rPr>
          </w:pPr>
        </w:p>
        <w:p>
          <w:pPr>
            <w:pStyle w:val="31"/>
            <w:tabs>
              <w:tab w:val="right" w:leader="dot" w:pos="9541"/>
              <w:tab w:val="clear" w:pos="8296"/>
            </w:tabs>
            <w:rPr>
              <w:highlight w:val="none"/>
            </w:rPr>
          </w:pPr>
          <w:r>
            <w:rPr>
              <w:highlight w:val="none"/>
            </w:rPr>
            <w:fldChar w:fldCharType="begin"/>
          </w:r>
          <w:r>
            <w:rPr>
              <w:highlight w:val="none"/>
            </w:rPr>
            <w:instrText xml:space="preserve">TOC \o "1-1" \h \u </w:instrText>
          </w:r>
          <w:r>
            <w:rPr>
              <w:highlight w:val="none"/>
            </w:rPr>
            <w:fldChar w:fldCharType="separate"/>
          </w:r>
        </w:p>
        <w:p>
          <w:pPr>
            <w:pStyle w:val="31"/>
            <w:tabs>
              <w:tab w:val="right" w:leader="dot" w:pos="9541"/>
              <w:tab w:val="clear" w:pos="829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_Toc27970 </w:instrText>
          </w:r>
          <w:r>
            <w:rPr>
              <w:rFonts w:hint="eastAsia" w:ascii="宋体" w:hAnsi="宋体" w:eastAsia="宋体" w:cs="宋体"/>
              <w:highlight w:val="none"/>
            </w:rPr>
            <w:fldChar w:fldCharType="separate"/>
          </w:r>
          <w:r>
            <w:rPr>
              <w:rFonts w:hint="eastAsia" w:ascii="宋体" w:hAnsi="宋体" w:eastAsia="宋体" w:cs="宋体"/>
              <w:szCs w:val="32"/>
              <w:highlight w:val="none"/>
            </w:rPr>
            <w:t>第一章</w:t>
          </w:r>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eastAsia="宋体" w:cs="宋体"/>
              <w:szCs w:val="32"/>
              <w:highlight w:val="none"/>
            </w:rPr>
            <w:t>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_Toc27970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1"/>
            <w:tabs>
              <w:tab w:val="right" w:leader="dot" w:pos="9541"/>
              <w:tab w:val="clear" w:pos="829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_Toc21817 </w:instrText>
          </w:r>
          <w:r>
            <w:rPr>
              <w:rFonts w:hint="eastAsia" w:ascii="宋体" w:hAnsi="宋体" w:eastAsia="宋体" w:cs="宋体"/>
              <w:highlight w:val="none"/>
            </w:rPr>
            <w:fldChar w:fldCharType="separate"/>
          </w:r>
          <w:r>
            <w:rPr>
              <w:rFonts w:hint="eastAsia" w:ascii="宋体" w:hAnsi="宋体" w:eastAsia="宋体" w:cs="宋体"/>
              <w:bCs/>
              <w:szCs w:val="28"/>
              <w:highlight w:val="none"/>
            </w:rPr>
            <w:t>第二章投标须知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_Toc21817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1"/>
            <w:tabs>
              <w:tab w:val="right" w:leader="dot" w:pos="9541"/>
              <w:tab w:val="clear" w:pos="829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_Toc14115 </w:instrText>
          </w:r>
          <w:r>
            <w:rPr>
              <w:rFonts w:hint="eastAsia" w:ascii="宋体" w:hAnsi="宋体" w:eastAsia="宋体" w:cs="宋体"/>
              <w:highlight w:val="none"/>
            </w:rPr>
            <w:fldChar w:fldCharType="separate"/>
          </w:r>
          <w:r>
            <w:rPr>
              <w:rFonts w:hint="eastAsia" w:ascii="宋体" w:hAnsi="宋体" w:eastAsia="宋体" w:cs="宋体"/>
              <w:szCs w:val="32"/>
              <w:highlight w:val="none"/>
            </w:rPr>
            <w:t xml:space="preserve">第三章 </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评标办法（</w:t>
          </w:r>
          <w:r>
            <w:rPr>
              <w:rFonts w:hint="eastAsia" w:ascii="宋体" w:hAnsi="宋体" w:eastAsia="宋体" w:cs="宋体"/>
              <w:szCs w:val="32"/>
              <w:highlight w:val="none"/>
              <w:lang w:eastAsia="zh-CN"/>
            </w:rPr>
            <w:t>综合评估法</w:t>
          </w:r>
          <w:r>
            <w:rPr>
              <w:rFonts w:hint="eastAsia" w:ascii="宋体" w:hAnsi="宋体" w:eastAsia="宋体" w:cs="宋体"/>
              <w:szCs w:val="32"/>
              <w:highlight w:val="none"/>
            </w:rPr>
            <w:t>）</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_Toc14115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1"/>
            <w:tabs>
              <w:tab w:val="right" w:leader="dot" w:pos="9541"/>
              <w:tab w:val="clear" w:pos="829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_Toc13446 </w:instrText>
          </w:r>
          <w:r>
            <w:rPr>
              <w:rFonts w:hint="eastAsia" w:ascii="宋体" w:hAnsi="宋体" w:eastAsia="宋体" w:cs="宋体"/>
              <w:highlight w:val="none"/>
            </w:rPr>
            <w:fldChar w:fldCharType="separate"/>
          </w:r>
          <w:r>
            <w:rPr>
              <w:rFonts w:hint="eastAsia" w:ascii="宋体" w:hAnsi="宋体" w:eastAsia="宋体" w:cs="宋体"/>
              <w:kern w:val="2"/>
              <w:szCs w:val="28"/>
              <w:highlight w:val="none"/>
              <w:lang w:val="en-US" w:eastAsia="zh-CN"/>
            </w:rPr>
            <w:t>第四章</w:t>
          </w:r>
          <w:r>
            <w:rPr>
              <w:rFonts w:hint="eastAsia" w:ascii="宋体" w:hAnsi="宋体" w:eastAsia="宋体" w:cs="宋体"/>
              <w:kern w:val="2"/>
              <w:szCs w:val="28"/>
              <w:highlight w:val="none"/>
            </w:rPr>
            <w:t xml:space="preserve">  采购需求及服务要求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_Toc13446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1"/>
            <w:tabs>
              <w:tab w:val="right" w:leader="dot" w:pos="9541"/>
              <w:tab w:val="clear" w:pos="829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_Toc14427 </w:instrText>
          </w:r>
          <w:r>
            <w:rPr>
              <w:rFonts w:hint="eastAsia" w:ascii="宋体" w:hAnsi="宋体" w:eastAsia="宋体" w:cs="宋体"/>
              <w:highlight w:val="none"/>
            </w:rPr>
            <w:fldChar w:fldCharType="separate"/>
          </w:r>
          <w:r>
            <w:rPr>
              <w:rFonts w:hint="eastAsia" w:ascii="宋体" w:hAnsi="宋体" w:eastAsia="宋体" w:cs="宋体"/>
              <w:kern w:val="2"/>
              <w:szCs w:val="28"/>
              <w:highlight w:val="none"/>
            </w:rPr>
            <w:t>第</w:t>
          </w:r>
          <w:r>
            <w:rPr>
              <w:rFonts w:hint="eastAsia" w:ascii="宋体" w:hAnsi="宋体" w:eastAsia="宋体" w:cs="宋体"/>
              <w:kern w:val="2"/>
              <w:szCs w:val="28"/>
              <w:highlight w:val="none"/>
              <w:lang w:val="en-US" w:eastAsia="zh-CN"/>
            </w:rPr>
            <w:t>五</w:t>
          </w:r>
          <w:r>
            <w:rPr>
              <w:rFonts w:hint="eastAsia" w:ascii="宋体" w:hAnsi="宋体" w:eastAsia="宋体" w:cs="宋体"/>
              <w:kern w:val="2"/>
              <w:szCs w:val="28"/>
              <w:highlight w:val="none"/>
            </w:rPr>
            <w:t>章  合同条款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_Toc14427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1"/>
            <w:tabs>
              <w:tab w:val="right" w:leader="dot" w:pos="9541"/>
              <w:tab w:val="clear" w:pos="829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_Toc20559 </w:instrText>
          </w:r>
          <w:r>
            <w:rPr>
              <w:rFonts w:hint="eastAsia" w:ascii="宋体" w:hAnsi="宋体" w:eastAsia="宋体" w:cs="宋体"/>
              <w:highlight w:val="none"/>
            </w:rPr>
            <w:fldChar w:fldCharType="separate"/>
          </w:r>
          <w:r>
            <w:rPr>
              <w:rFonts w:hint="eastAsia" w:ascii="宋体" w:hAnsi="宋体" w:eastAsia="宋体" w:cs="宋体"/>
              <w:kern w:val="2"/>
              <w:szCs w:val="28"/>
              <w:highlight w:val="none"/>
            </w:rPr>
            <w:t>第</w:t>
          </w:r>
          <w:r>
            <w:rPr>
              <w:rFonts w:hint="eastAsia" w:ascii="宋体" w:hAnsi="宋体" w:eastAsia="宋体" w:cs="宋体"/>
              <w:kern w:val="2"/>
              <w:szCs w:val="28"/>
              <w:highlight w:val="none"/>
              <w:lang w:val="en-US" w:eastAsia="zh-CN"/>
            </w:rPr>
            <w:t>六</w:t>
          </w:r>
          <w:r>
            <w:rPr>
              <w:rFonts w:hint="eastAsia" w:ascii="宋体" w:hAnsi="宋体" w:eastAsia="宋体" w:cs="宋体"/>
              <w:kern w:val="2"/>
              <w:szCs w:val="28"/>
              <w:highlight w:val="none"/>
            </w:rPr>
            <w:t>章投标文件格式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_Toc20559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1"/>
            <w:tabs>
              <w:tab w:val="right" w:leader="dot" w:pos="9541"/>
              <w:tab w:val="clear" w:pos="829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_Toc6092 </w:instrText>
          </w:r>
          <w:r>
            <w:rPr>
              <w:rFonts w:hint="eastAsia" w:ascii="宋体" w:hAnsi="宋体" w:eastAsia="宋体" w:cs="宋体"/>
              <w:highlight w:val="none"/>
            </w:rPr>
            <w:fldChar w:fldCharType="separate"/>
          </w:r>
          <w:r>
            <w:rPr>
              <w:rFonts w:hint="eastAsia" w:ascii="宋体" w:hAnsi="宋体" w:eastAsia="宋体" w:cs="宋体"/>
              <w:kern w:val="2"/>
              <w:szCs w:val="28"/>
              <w:highlight w:val="none"/>
            </w:rPr>
            <w:t>第</w:t>
          </w:r>
          <w:r>
            <w:rPr>
              <w:rFonts w:hint="eastAsia" w:ascii="宋体" w:hAnsi="宋体" w:eastAsia="宋体" w:cs="宋体"/>
              <w:kern w:val="2"/>
              <w:szCs w:val="28"/>
              <w:highlight w:val="none"/>
              <w:lang w:val="en-US" w:eastAsia="zh-CN"/>
            </w:rPr>
            <w:t>七</w:t>
          </w:r>
          <w:r>
            <w:rPr>
              <w:rFonts w:hint="eastAsia" w:ascii="宋体" w:hAnsi="宋体" w:eastAsia="宋体" w:cs="宋体"/>
              <w:kern w:val="2"/>
              <w:szCs w:val="28"/>
              <w:highlight w:val="none"/>
            </w:rPr>
            <w:t>章招标单位、招标代理机构对本招标文件的确认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_Toc6092 \h </w:instrText>
          </w:r>
          <w:r>
            <w:rPr>
              <w:rFonts w:hint="eastAsia" w:ascii="宋体" w:hAnsi="宋体" w:eastAsia="宋体" w:cs="宋体"/>
              <w:highlight w:val="none"/>
            </w:rPr>
            <w:fldChar w:fldCharType="separate"/>
          </w:r>
          <w:r>
            <w:rPr>
              <w:rFonts w:hint="eastAsia" w:ascii="宋体" w:hAnsi="宋体" w:eastAsia="宋体" w:cs="宋体"/>
              <w:highlight w:val="none"/>
            </w:rPr>
            <w:t>32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rPr>
              <w:highlight w:val="none"/>
            </w:rPr>
          </w:pPr>
          <w:r>
            <w:rPr>
              <w:highlight w:val="none"/>
            </w:rPr>
            <w:fldChar w:fldCharType="end"/>
          </w:r>
        </w:p>
        <w:p>
          <w:pPr>
            <w:pStyle w:val="6"/>
            <w:spacing w:before="0" w:after="0" w:line="700" w:lineRule="exact"/>
            <w:rPr>
              <w:rFonts w:ascii="仿宋" w:cs="仿宋"/>
              <w:b w:val="0"/>
              <w:bCs w:val="0"/>
              <w:color w:val="auto"/>
              <w:sz w:val="24"/>
              <w:szCs w:val="24"/>
              <w:highlight w:val="none"/>
            </w:rPr>
          </w:pPr>
        </w:p>
      </w:sdtContent>
    </w:sdt>
    <w:p>
      <w:pPr>
        <w:rPr>
          <w:color w:val="auto"/>
          <w:highlight w:val="none"/>
        </w:rPr>
        <w:sectPr>
          <w:footerReference r:id="rId8" w:type="first"/>
          <w:footerReference r:id="rId7" w:type="default"/>
          <w:pgSz w:w="11906" w:h="16838"/>
          <w:pgMar w:top="935" w:right="1106" w:bottom="936" w:left="1259" w:header="680" w:footer="680" w:gutter="0"/>
          <w:pgNumType w:start="1"/>
          <w:cols w:space="0" w:num="1"/>
          <w:docGrid w:type="lines" w:linePitch="318" w:charSpace="0"/>
        </w:sectPr>
      </w:pPr>
    </w:p>
    <w:p>
      <w:pPr>
        <w:keepNext w:val="0"/>
        <w:keepLines w:val="0"/>
        <w:pageBreakBefore w:val="0"/>
        <w:widowControl/>
        <w:kinsoku/>
        <w:wordWrap/>
        <w:overflowPunct/>
        <w:topLinePunct w:val="0"/>
        <w:autoSpaceDE/>
        <w:autoSpaceDN/>
        <w:bidi w:val="0"/>
        <w:adjustRightInd/>
        <w:snapToGrid/>
        <w:spacing w:line="440" w:lineRule="exact"/>
        <w:jc w:val="center"/>
        <w:textAlignment w:val="baseline"/>
        <w:outlineLvl w:val="0"/>
        <w:rPr>
          <w:rFonts w:ascii="宋体" w:hAnsi="宋体" w:cs="宋体"/>
          <w:b/>
          <w:color w:val="auto"/>
          <w:sz w:val="32"/>
          <w:szCs w:val="32"/>
          <w:highlight w:val="none"/>
        </w:rPr>
      </w:pPr>
      <w:bookmarkStart w:id="3" w:name="_Toc24106"/>
      <w:bookmarkStart w:id="4" w:name="_Toc11640"/>
      <w:bookmarkStart w:id="5" w:name="_Toc27970"/>
      <w:r>
        <w:rPr>
          <w:rFonts w:hint="eastAsia" w:ascii="宋体" w:hAnsi="宋体" w:eastAsia="宋体" w:cs="宋体"/>
          <w:b/>
          <w:color w:val="auto"/>
          <w:sz w:val="32"/>
          <w:szCs w:val="32"/>
          <w:highlight w:val="none"/>
        </w:rPr>
        <w:t>第一章</w:t>
      </w:r>
      <w:r>
        <w:rPr>
          <w:rFonts w:hint="eastAsia" w:ascii="宋体" w:hAnsi="宋体" w:cs="宋体"/>
          <w:color w:val="auto"/>
          <w:sz w:val="28"/>
          <w:szCs w:val="28"/>
          <w:highlight w:val="none"/>
        </w:rPr>
        <w:t xml:space="preserve"> </w:t>
      </w:r>
      <w:bookmarkEnd w:id="3"/>
      <w:r>
        <w:rPr>
          <w:rFonts w:hint="eastAsia" w:ascii="宋体" w:hAnsi="宋体" w:cs="宋体"/>
          <w:b/>
          <w:color w:val="auto"/>
          <w:sz w:val="32"/>
          <w:szCs w:val="32"/>
          <w:highlight w:val="none"/>
        </w:rPr>
        <w:t>招标公告</w:t>
      </w:r>
      <w:bookmarkEnd w:id="4"/>
      <w:bookmarkEnd w:id="5"/>
    </w:p>
    <w:p>
      <w:pPr>
        <w:pStyle w:val="7"/>
        <w:numPr>
          <w:ilvl w:val="1"/>
          <w:numId w:val="0"/>
        </w:numPr>
        <w:spacing w:line="400" w:lineRule="exact"/>
        <w:ind w:left="431"/>
        <w:rPr>
          <w:rFonts w:ascii="宋体" w:hAnsi="宋体" w:eastAsia="宋体" w:cs="宋体"/>
          <w:color w:val="auto"/>
          <w:sz w:val="24"/>
          <w:szCs w:val="24"/>
          <w:highlight w:val="none"/>
        </w:rPr>
      </w:pPr>
      <w:bookmarkStart w:id="6" w:name="_Toc35393621"/>
      <w:bookmarkStart w:id="7" w:name="_Toc28359002"/>
      <w:bookmarkStart w:id="8" w:name="_Toc28359079"/>
      <w:bookmarkStart w:id="9" w:name="_Toc35393790"/>
      <w:bookmarkStart w:id="10" w:name="_Toc58430305"/>
      <w:bookmarkStart w:id="11" w:name="_Hlk24379207"/>
      <w:r>
        <w:rPr>
          <w:rFonts w:hint="eastAsia" w:ascii="宋体" w:hAnsi="宋体" w:eastAsia="宋体" w:cs="宋体"/>
          <w:color w:val="auto"/>
          <w:sz w:val="24"/>
          <w:szCs w:val="24"/>
          <w:highlight w:val="none"/>
        </w:rPr>
        <w:t>一、项目基本情况</w:t>
      </w:r>
      <w:bookmarkEnd w:id="6"/>
      <w:bookmarkEnd w:id="7"/>
      <w:bookmarkEnd w:id="8"/>
      <w:bookmarkEnd w:id="9"/>
      <w:bookmarkEnd w:id="10"/>
    </w:p>
    <w:bookmarkEnd w:id="11"/>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12" w:name="_Toc35393791"/>
      <w:bookmarkStart w:id="13" w:name="_Toc58430306"/>
      <w:bookmarkStart w:id="14" w:name="_Toc28359003"/>
      <w:bookmarkStart w:id="15" w:name="_Toc28359080"/>
      <w:bookmarkStart w:id="16" w:name="_Toc35393622"/>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兴全矿业办公生活区项目跟踪审计服务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预算金额：项目工程</w:t>
      </w:r>
      <w:r>
        <w:rPr>
          <w:rFonts w:hint="eastAsia" w:ascii="宋体" w:hAnsi="宋体" w:cs="宋体"/>
          <w:color w:val="auto"/>
          <w:sz w:val="24"/>
          <w:szCs w:val="24"/>
          <w:highlight w:val="none"/>
          <w:lang w:val="en-US" w:eastAsia="zh-CN"/>
        </w:rPr>
        <w:t>总投资</w:t>
      </w:r>
      <w:r>
        <w:rPr>
          <w:rFonts w:hint="eastAsia" w:ascii="宋体" w:hAnsi="宋体" w:eastAsia="宋体" w:cs="宋体"/>
          <w:color w:val="auto"/>
          <w:sz w:val="24"/>
          <w:szCs w:val="24"/>
          <w:highlight w:val="none"/>
        </w:rPr>
        <w:t>约</w:t>
      </w:r>
      <w:r>
        <w:rPr>
          <w:rFonts w:hint="eastAsia" w:ascii="宋体" w:hAnsi="宋体" w:cs="宋体"/>
          <w:color w:val="auto"/>
          <w:sz w:val="24"/>
          <w:szCs w:val="24"/>
          <w:highlight w:val="none"/>
          <w:lang w:val="en-US" w:eastAsia="zh-CN"/>
        </w:rPr>
        <w:t>5000万元</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基本费率最高限价：2‰（注：报价时只需报基本费率，保留两位小数，报价不得为</w:t>
      </w:r>
      <w:r>
        <w:rPr>
          <w:rFonts w:hint="eastAsia" w:ascii="宋体" w:hAnsi="宋体" w:cs="宋体"/>
          <w:color w:val="auto"/>
          <w:sz w:val="24"/>
          <w:szCs w:val="24"/>
          <w:highlight w:val="none"/>
          <w:lang w:val="en-US" w:eastAsia="zh-CN"/>
        </w:rPr>
        <w:t>0或</w:t>
      </w:r>
      <w:r>
        <w:rPr>
          <w:rFonts w:hint="eastAsia" w:ascii="宋体" w:hAnsi="宋体" w:eastAsia="宋体" w:cs="宋体"/>
          <w:color w:val="auto"/>
          <w:sz w:val="24"/>
          <w:szCs w:val="24"/>
          <w:highlight w:val="none"/>
          <w:lang w:val="en-US" w:eastAsia="zh-CN"/>
        </w:rPr>
        <w:t>负数）；审核成果费率1.50%（审核成果费率固定不变，工程造价审减率在10%以内的由招标单位承担，工程造价审减率超过10%的，其超过部分审计服务费用由施工单位承担；无审减额的，按基本费用收取）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招标范围</w:t>
      </w:r>
      <w:r>
        <w:rPr>
          <w:rFonts w:hint="eastAsia" w:ascii="宋体" w:hAnsi="宋体" w:eastAsia="宋体" w:cs="宋体"/>
          <w:color w:val="auto"/>
          <w:sz w:val="24"/>
          <w:szCs w:val="24"/>
          <w:highlight w:val="none"/>
          <w:lang w:eastAsia="zh-CN"/>
        </w:rPr>
        <w:t>：兴全矿业办公生活区项目包括土建、装饰、自来水、供电等红线内所有建设内容的跟踪审计服务。服务内容包括但不限于：编制跟踪审计实施方案；审核项目前期资料；按工程形象进度付款的意见、建议；及时核定分阶段完工的项目分部、分项工程价款结算，项目竣工后，及时提交完整的竣工结算审核报告；设计变更或签证审核等一切有关投资造价方面相关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合同履行期限：自签订合同之日起至整体竣工验收合格并出</w:t>
      </w:r>
      <w:r>
        <w:rPr>
          <w:rFonts w:hint="eastAsia" w:ascii="宋体" w:hAnsi="宋体" w:eastAsia="宋体" w:cs="宋体"/>
          <w:color w:val="auto"/>
          <w:sz w:val="24"/>
          <w:szCs w:val="24"/>
          <w:highlight w:val="none"/>
          <w:lang w:val="en-US" w:eastAsia="zh-CN"/>
        </w:rPr>
        <w:t>具审核成果文件止。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pPr>
        <w:pStyle w:val="7"/>
        <w:numPr>
          <w:ilvl w:val="1"/>
          <w:numId w:val="0"/>
        </w:numPr>
        <w:spacing w:line="400" w:lineRule="exact"/>
        <w:ind w:left="851" w:hanging="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12"/>
      <w:bookmarkEnd w:id="13"/>
      <w:bookmarkEnd w:id="14"/>
      <w:bookmarkEnd w:id="15"/>
      <w:bookmarkEnd w:id="16"/>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17" w:name="_Toc35393623"/>
      <w:bookmarkStart w:id="18" w:name="_Toc28359004"/>
      <w:bookmarkStart w:id="19" w:name="_Toc28359081"/>
      <w:bookmarkStart w:id="20" w:name="_Toc58430307"/>
      <w:bookmarkStart w:id="21" w:name="_Toc35393792"/>
      <w:r>
        <w:rPr>
          <w:rFonts w:hint="eastAsia" w:ascii="宋体" w:hAnsi="宋体" w:eastAsia="宋体" w:cs="宋体"/>
          <w:color w:val="auto"/>
          <w:sz w:val="24"/>
          <w:szCs w:val="24"/>
          <w:highlight w:val="none"/>
        </w:rPr>
        <w:t>1.投标人要求：投标人为具有承担本项目相应服务能力的企业；（有效的营业执照、税务登记证、组织机构码证（或“三证合一证书”）；</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2.项目负责人要求：须具有建设部颁发的中华人民共和国注册造价工程师（或一级造价工程师）资格且专业为土木建筑工程；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项目组成员（不含项目负责人）要求：项目组成员不少于2人（土建专业不少于1名、安装专业不少于1名），须具有二级及以上注册造价师证书。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.限制投标单位：兴全矿业办公生活区项目工程量清单及最高投标限价编制单位、监理单位、代理单位、设计单位、施工单位不得参加本项目投标。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本项目不接受联合体投标。</w:t>
      </w:r>
    </w:p>
    <w:p>
      <w:pPr>
        <w:pStyle w:val="7"/>
        <w:numPr>
          <w:ilvl w:val="1"/>
          <w:numId w:val="0"/>
        </w:numPr>
        <w:spacing w:line="400" w:lineRule="exact"/>
        <w:ind w:left="851" w:hanging="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iCs/>
          <w:color w:val="auto"/>
          <w:sz w:val="24"/>
          <w:szCs w:val="24"/>
          <w:highlight w:val="none"/>
          <w:u w:val="singl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22</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29</w:t>
      </w:r>
      <w:r>
        <w:rPr>
          <w:rFonts w:hint="eastAsia" w:ascii="宋体" w:hAnsi="宋体" w:cs="宋体"/>
          <w:color w:val="auto"/>
          <w:sz w:val="24"/>
          <w:szCs w:val="24"/>
          <w:highlight w:val="none"/>
          <w:u w:val="single"/>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方式：网上下载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pPr>
        <w:pStyle w:val="7"/>
        <w:numPr>
          <w:ilvl w:val="1"/>
          <w:numId w:val="0"/>
        </w:numPr>
        <w:spacing w:line="400" w:lineRule="exact"/>
        <w:ind w:left="851" w:hanging="420"/>
        <w:rPr>
          <w:rFonts w:ascii="宋体" w:hAnsi="宋体" w:eastAsia="宋体" w:cs="宋体"/>
          <w:color w:val="auto"/>
          <w:sz w:val="24"/>
          <w:szCs w:val="24"/>
          <w:highlight w:val="none"/>
        </w:rPr>
      </w:pPr>
      <w:bookmarkStart w:id="22" w:name="_Toc28359082"/>
      <w:bookmarkStart w:id="23" w:name="_Toc28359005"/>
      <w:bookmarkStart w:id="24" w:name="_Toc35393624"/>
      <w:bookmarkStart w:id="25" w:name="_Toc58430308"/>
      <w:bookmarkStart w:id="26" w:name="_Toc35393793"/>
      <w:r>
        <w:rPr>
          <w:rFonts w:hint="eastAsia" w:ascii="宋体" w:hAnsi="宋体" w:eastAsia="宋体" w:cs="宋体"/>
          <w:color w:val="auto"/>
          <w:sz w:val="24"/>
          <w:szCs w:val="24"/>
          <w:highlight w:val="none"/>
        </w:rPr>
        <w:t>四、提交投标文件</w:t>
      </w:r>
      <w:bookmarkEnd w:id="22"/>
      <w:bookmarkEnd w:id="23"/>
      <w:r>
        <w:rPr>
          <w:rFonts w:hint="eastAsia" w:ascii="宋体" w:hAnsi="宋体" w:eastAsia="宋体" w:cs="宋体"/>
          <w:color w:val="auto"/>
          <w:sz w:val="24"/>
          <w:szCs w:val="24"/>
          <w:highlight w:val="none"/>
        </w:rPr>
        <w:t>截止时间、开标时间和地点</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color w:val="auto"/>
          <w:sz w:val="24"/>
          <w:szCs w:val="24"/>
          <w:highlight w:val="none"/>
        </w:rPr>
      </w:pP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29</w:t>
      </w:r>
      <w:r>
        <w:rPr>
          <w:rFonts w:hint="eastAsia" w:ascii="宋体" w:hAnsi="宋体" w:cs="宋体"/>
          <w:color w:val="auto"/>
          <w:sz w:val="24"/>
          <w:szCs w:val="24"/>
          <w:highlight w:val="none"/>
          <w:u w:val="single"/>
        </w:rPr>
        <w:t>日</w:t>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u w:val="single"/>
        </w:rPr>
        <w:t>点00分</w:t>
      </w:r>
      <w:r>
        <w:rPr>
          <w:rFonts w:hint="eastAsia" w:ascii="宋体" w:hAnsi="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地点：滁州市龙蟠大道109号房产商务大厦6楼622会议室。</w:t>
      </w:r>
    </w:p>
    <w:p>
      <w:pPr>
        <w:pStyle w:val="7"/>
        <w:numPr>
          <w:ilvl w:val="1"/>
          <w:numId w:val="0"/>
        </w:numPr>
        <w:spacing w:line="400" w:lineRule="exact"/>
        <w:ind w:left="851" w:hanging="420"/>
        <w:rPr>
          <w:rFonts w:ascii="宋体" w:hAnsi="宋体" w:eastAsia="宋体" w:cs="宋体"/>
          <w:color w:val="auto"/>
          <w:sz w:val="24"/>
          <w:szCs w:val="24"/>
          <w:highlight w:val="none"/>
        </w:rPr>
      </w:pPr>
      <w:bookmarkStart w:id="27" w:name="_Toc58430309"/>
      <w:bookmarkStart w:id="28" w:name="_Toc28359007"/>
      <w:bookmarkStart w:id="29" w:name="_Toc28359084"/>
      <w:bookmarkStart w:id="30" w:name="_Toc35393625"/>
      <w:bookmarkStart w:id="31" w:name="_Toc35393794"/>
      <w:r>
        <w:rPr>
          <w:rFonts w:hint="eastAsia" w:ascii="宋体" w:hAnsi="宋体" w:eastAsia="宋体" w:cs="宋体"/>
          <w:color w:val="auto"/>
          <w:sz w:val="24"/>
          <w:szCs w:val="24"/>
          <w:highlight w:val="none"/>
        </w:rPr>
        <w:t>五、</w:t>
      </w:r>
      <w:bookmarkEnd w:id="27"/>
      <w:bookmarkEnd w:id="28"/>
      <w:bookmarkEnd w:id="29"/>
      <w:bookmarkEnd w:id="30"/>
      <w:bookmarkEnd w:id="31"/>
      <w:bookmarkStart w:id="32" w:name="_Toc58430310"/>
      <w:r>
        <w:rPr>
          <w:rFonts w:hint="eastAsia" w:ascii="宋体" w:hAnsi="宋体" w:eastAsia="宋体" w:cs="宋体"/>
          <w:color w:val="auto"/>
          <w:sz w:val="24"/>
          <w:szCs w:val="24"/>
          <w:highlight w:val="none"/>
        </w:rPr>
        <w:t>投标保证金金额及缴纳账户</w:t>
      </w:r>
      <w:bookmarkEnd w:id="3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是否要求投标人提交投标保证金：</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要求。</w:t>
      </w:r>
    </w:p>
    <w:p>
      <w:pPr>
        <w:pStyle w:val="7"/>
        <w:numPr>
          <w:ilvl w:val="1"/>
          <w:numId w:val="0"/>
        </w:numPr>
        <w:spacing w:line="400" w:lineRule="exact"/>
        <w:ind w:left="851" w:hanging="420"/>
        <w:rPr>
          <w:rFonts w:ascii="宋体" w:hAnsi="宋体" w:eastAsia="宋体" w:cs="宋体"/>
          <w:color w:val="auto"/>
          <w:sz w:val="24"/>
          <w:szCs w:val="24"/>
          <w:highlight w:val="none"/>
        </w:rPr>
      </w:pPr>
      <w:bookmarkStart w:id="33" w:name="_Toc58430312"/>
      <w:r>
        <w:rPr>
          <w:rFonts w:hint="eastAsia" w:ascii="宋体" w:hAnsi="宋体" w:eastAsia="宋体" w:cs="宋体"/>
          <w:color w:val="auto"/>
          <w:sz w:val="24"/>
          <w:szCs w:val="24"/>
          <w:highlight w:val="none"/>
        </w:rPr>
        <w:t>六、对本次招标提出询问，请按以下方式联系</w:t>
      </w:r>
      <w:bookmarkEnd w:id="3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滁州市兴全矿业投资有限公司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安徽省滁州市全椒县六镇镇孙家村神山人家安置小区888栋1楼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34" w:name="_Toc28359009"/>
      <w:bookmarkStart w:id="35" w:name="_Toc28359086"/>
      <w:r>
        <w:rPr>
          <w:rFonts w:hint="eastAsia" w:ascii="宋体" w:hAnsi="宋体" w:eastAsia="宋体" w:cs="宋体"/>
          <w:color w:val="auto"/>
          <w:sz w:val="24"/>
          <w:szCs w:val="24"/>
          <w:highlight w:val="none"/>
        </w:rPr>
        <w:t>2.代理机构信息</w:t>
      </w:r>
      <w:bookmarkEnd w:id="34"/>
      <w:bookmarkEnd w:id="3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称：滁州市城投工程咨询管理有限公司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址：滁州市龙蟠大道109号房产大厦六楼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36" w:name="_Toc28359087"/>
      <w:bookmarkStart w:id="37" w:name="_Toc28359010"/>
      <w:r>
        <w:rPr>
          <w:rFonts w:hint="eastAsia" w:ascii="宋体" w:hAnsi="宋体" w:eastAsia="宋体" w:cs="宋体"/>
          <w:color w:val="auto"/>
          <w:sz w:val="24"/>
          <w:szCs w:val="24"/>
          <w:highlight w:val="none"/>
        </w:rPr>
        <w:t>3.项目联系方式</w:t>
      </w:r>
      <w:bookmarkEnd w:id="36"/>
      <w:bookmarkEnd w:id="3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钱陆阳、胡国庆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0550-5180230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0550-3519517、18005500950</w:t>
      </w:r>
    </w:p>
    <w:p>
      <w:pPr>
        <w:spacing w:before="159" w:beforeLines="50" w:after="159" w:afterLines="50" w:line="440" w:lineRule="exact"/>
        <w:rPr>
          <w:rFonts w:ascii="宋体" w:hAnsi="宋体" w:cs="宋体"/>
          <w:b/>
          <w:bCs/>
          <w:color w:val="auto"/>
          <w:sz w:val="28"/>
          <w:szCs w:val="28"/>
          <w:highlight w:val="none"/>
        </w:rPr>
      </w:pPr>
    </w:p>
    <w:p>
      <w:pPr>
        <w:pStyle w:val="27"/>
        <w:rPr>
          <w:rFonts w:ascii="宋体" w:hAnsi="宋体" w:cs="宋体"/>
          <w:b/>
          <w:bCs/>
          <w:color w:val="auto"/>
          <w:sz w:val="28"/>
          <w:szCs w:val="28"/>
          <w:highlight w:val="none"/>
        </w:rPr>
      </w:pPr>
      <w:bookmarkStart w:id="38" w:name="_Toc5455"/>
    </w:p>
    <w:p>
      <w:pPr>
        <w:pStyle w:val="27"/>
        <w:rPr>
          <w:rFonts w:ascii="宋体" w:hAnsi="宋体" w:cs="宋体"/>
          <w:b/>
          <w:bCs/>
          <w:color w:val="auto"/>
          <w:sz w:val="28"/>
          <w:szCs w:val="28"/>
          <w:highlight w:val="none"/>
        </w:rPr>
      </w:pPr>
    </w:p>
    <w:p>
      <w:pPr>
        <w:pStyle w:val="27"/>
        <w:rPr>
          <w:rFonts w:ascii="宋体" w:hAnsi="宋体" w:cs="宋体"/>
          <w:b/>
          <w:bCs/>
          <w:color w:val="auto"/>
          <w:sz w:val="28"/>
          <w:szCs w:val="28"/>
          <w:highlight w:val="none"/>
        </w:rPr>
      </w:pPr>
    </w:p>
    <w:p>
      <w:pPr>
        <w:pStyle w:val="27"/>
        <w:rPr>
          <w:rFonts w:ascii="宋体" w:hAnsi="宋体" w:cs="宋体"/>
          <w:b/>
          <w:bCs/>
          <w:color w:val="auto"/>
          <w:sz w:val="28"/>
          <w:szCs w:val="28"/>
          <w:highlight w:val="none"/>
        </w:rPr>
      </w:pPr>
    </w:p>
    <w:p>
      <w:pPr>
        <w:pStyle w:val="27"/>
        <w:rPr>
          <w:rFonts w:ascii="宋体" w:hAnsi="宋体" w:cs="宋体"/>
          <w:b/>
          <w:bCs/>
          <w:color w:val="auto"/>
          <w:sz w:val="28"/>
          <w:szCs w:val="28"/>
          <w:highlight w:val="none"/>
        </w:rPr>
      </w:pPr>
    </w:p>
    <w:p>
      <w:pPr>
        <w:spacing w:before="159" w:beforeLines="50" w:after="159" w:afterLines="50" w:line="440" w:lineRule="exact"/>
        <w:jc w:val="center"/>
        <w:outlineLvl w:val="0"/>
        <w:rPr>
          <w:rFonts w:ascii="宋体" w:hAnsi="宋体" w:cs="宋体"/>
          <w:b/>
          <w:bCs/>
          <w:color w:val="auto"/>
          <w:sz w:val="28"/>
          <w:szCs w:val="28"/>
          <w:highlight w:val="none"/>
        </w:rPr>
      </w:pPr>
    </w:p>
    <w:p>
      <w:pPr>
        <w:spacing w:before="159" w:beforeLines="50" w:after="159" w:afterLines="50" w:line="440" w:lineRule="exact"/>
        <w:jc w:val="center"/>
        <w:outlineLvl w:val="0"/>
        <w:rPr>
          <w:rFonts w:hint="eastAsia" w:ascii="宋体" w:hAnsi="宋体" w:cs="宋体"/>
          <w:b/>
          <w:bCs/>
          <w:color w:val="auto"/>
          <w:sz w:val="28"/>
          <w:szCs w:val="28"/>
          <w:highlight w:val="none"/>
        </w:rPr>
      </w:pP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pStyle w:val="27"/>
        <w:ind w:left="0" w:leftChars="0" w:firstLine="0" w:firstLineChars="0"/>
        <w:jc w:val="center"/>
        <w:outlineLvl w:val="0"/>
        <w:rPr>
          <w:rFonts w:hint="eastAsia" w:ascii="宋体" w:hAnsi="宋体" w:cs="宋体"/>
          <w:b/>
          <w:bCs/>
          <w:color w:val="auto"/>
          <w:sz w:val="28"/>
          <w:szCs w:val="28"/>
          <w:highlight w:val="none"/>
        </w:rPr>
      </w:pPr>
      <w:bookmarkStart w:id="39" w:name="_Toc21817"/>
      <w:r>
        <w:rPr>
          <w:rFonts w:hint="eastAsia" w:ascii="宋体" w:hAnsi="宋体" w:cs="宋体"/>
          <w:b/>
          <w:bCs/>
          <w:color w:val="auto"/>
          <w:sz w:val="28"/>
          <w:szCs w:val="28"/>
          <w:highlight w:val="none"/>
        </w:rPr>
        <w:t>第二章投标须知</w:t>
      </w:r>
      <w:bookmarkEnd w:id="39"/>
    </w:p>
    <w:p>
      <w:pPr>
        <w:spacing w:before="159" w:beforeLines="50" w:after="159" w:afterLines="50" w:line="440" w:lineRule="exact"/>
        <w:jc w:val="center"/>
        <w:outlineLvl w:val="0"/>
        <w:rPr>
          <w:rFonts w:ascii="宋体" w:hAnsi="宋体" w:cs="宋体"/>
          <w:color w:val="auto"/>
          <w:highlight w:val="none"/>
        </w:rPr>
      </w:pPr>
      <w:bookmarkStart w:id="40" w:name="_Toc23102"/>
      <w:bookmarkStart w:id="41" w:name="_Toc13347"/>
      <w:r>
        <w:rPr>
          <w:rFonts w:hint="eastAsia" w:ascii="宋体" w:hAnsi="宋体" w:cs="宋体"/>
          <w:b/>
          <w:bCs/>
          <w:color w:val="auto"/>
          <w:sz w:val="28"/>
          <w:szCs w:val="28"/>
          <w:highlight w:val="none"/>
        </w:rPr>
        <w:t>A、投标须知前附表</w:t>
      </w:r>
      <w:bookmarkEnd w:id="38"/>
      <w:bookmarkEnd w:id="40"/>
      <w:bookmarkEnd w:id="41"/>
    </w:p>
    <w:tbl>
      <w:tblPr>
        <w:tblStyle w:val="45"/>
        <w:tblW w:w="9967" w:type="dxa"/>
        <w:jc w:val="center"/>
        <w:tblLayout w:type="fixed"/>
        <w:tblCellMar>
          <w:top w:w="0" w:type="dxa"/>
          <w:left w:w="0" w:type="dxa"/>
          <w:bottom w:w="0" w:type="dxa"/>
          <w:right w:w="0" w:type="dxa"/>
        </w:tblCellMar>
      </w:tblPr>
      <w:tblGrid>
        <w:gridCol w:w="831"/>
        <w:gridCol w:w="1881"/>
        <w:gridCol w:w="7255"/>
      </w:tblGrid>
      <w:tr>
        <w:tblPrEx>
          <w:tblCellMar>
            <w:top w:w="0" w:type="dxa"/>
            <w:left w:w="0" w:type="dxa"/>
            <w:bottom w:w="0" w:type="dxa"/>
            <w:right w:w="0" w:type="dxa"/>
          </w:tblCellMar>
        </w:tblPrEx>
        <w:trPr>
          <w:trHeight w:val="58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编号</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内容</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说明与要求</w:t>
            </w:r>
          </w:p>
        </w:tc>
      </w:tr>
      <w:tr>
        <w:tblPrEx>
          <w:tblCellMar>
            <w:top w:w="0" w:type="dxa"/>
            <w:left w:w="0" w:type="dxa"/>
            <w:bottom w:w="0" w:type="dxa"/>
            <w:right w:w="0" w:type="dxa"/>
          </w:tblCellMar>
        </w:tblPrEx>
        <w:trPr>
          <w:trHeight w:val="9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工程名称：</w:t>
            </w:r>
            <w:r>
              <w:rPr>
                <w:rFonts w:hint="eastAsia" w:ascii="宋体" w:hAnsi="宋体" w:cs="宋体"/>
                <w:color w:val="auto"/>
                <w:kern w:val="0"/>
                <w:sz w:val="24"/>
                <w:szCs w:val="24"/>
                <w:highlight w:val="none"/>
                <w:lang w:eastAsia="zh-CN"/>
              </w:rPr>
              <w:t>兴全矿业办公生活区项目跟踪审计服务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建设地点：</w:t>
            </w:r>
            <w:r>
              <w:rPr>
                <w:rFonts w:hint="eastAsia" w:ascii="宋体" w:hAnsi="宋体" w:eastAsia="宋体" w:cs="宋体"/>
                <w:color w:val="auto"/>
                <w:kern w:val="0"/>
                <w:sz w:val="24"/>
                <w:szCs w:val="24"/>
                <w:highlight w:val="none"/>
                <w:lang w:val="en-US" w:eastAsia="zh-CN"/>
              </w:rPr>
              <w:t>滁州市</w:t>
            </w:r>
            <w:r>
              <w:rPr>
                <w:rFonts w:hint="eastAsia" w:ascii="宋体" w:hAnsi="宋体" w:cs="宋体"/>
                <w:color w:val="auto"/>
                <w:kern w:val="0"/>
                <w:sz w:val="24"/>
                <w:szCs w:val="24"/>
                <w:highlight w:val="none"/>
                <w:lang w:val="en-US" w:eastAsia="zh-CN"/>
              </w:rPr>
              <w:t>全椒县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建设规模：</w:t>
            </w:r>
            <w:r>
              <w:rPr>
                <w:rFonts w:hint="eastAsia" w:ascii="宋体" w:hAnsi="宋体" w:eastAsia="宋体" w:cs="宋体"/>
                <w:color w:val="auto"/>
                <w:sz w:val="24"/>
                <w:szCs w:val="24"/>
                <w:highlight w:val="none"/>
              </w:rPr>
              <w:t>投资约</w:t>
            </w:r>
            <w:r>
              <w:rPr>
                <w:rFonts w:hint="eastAsia" w:ascii="宋体" w:hAnsi="宋体" w:cs="宋体"/>
                <w:color w:val="auto"/>
                <w:sz w:val="24"/>
                <w:szCs w:val="24"/>
                <w:highlight w:val="none"/>
                <w:lang w:val="en-US" w:eastAsia="zh-CN"/>
              </w:rPr>
              <w:t>5000万元</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25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招标范围</w:t>
            </w:r>
          </w:p>
        </w:tc>
        <w:tc>
          <w:tcPr>
            <w:tcW w:w="7255" w:type="dxa"/>
            <w:tcBorders>
              <w:top w:val="single" w:color="auto" w:sz="8" w:space="0"/>
              <w:left w:val="single" w:color="auto" w:sz="4" w:space="0"/>
              <w:bottom w:val="single" w:color="auto" w:sz="8" w:space="0"/>
              <w:right w:val="single" w:color="auto" w:sz="8" w:space="0"/>
            </w:tcBorders>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审计服务内容包含但不限于以下内容：</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1、成立项目跟踪项目组，编制跟踪审计实施方案，确定投资控制目标、重点环节及应对措施； </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2、审核项目前期资料（图纸、工程量清单及控制价、招标响应文件、施工合同等），向甲方提交审核结果；</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3、对承包方上报的请款期已完成合格工程量的计量、计价进行审核，并提供按工程形象进度付款的意见、建议。</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4、及时核定分阶段完工的项目分部、分项工程价款结算，项目竣工后，及时提交完整的竣工结算审核报告；</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5、协助建设单位及时审核设计变更、经济签证等发生的费用，超过一定限额的，提请建设单位履行报批程序；</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6、项目承、发包方发生工程价款结算争议时，为建设单位提供咨询意见；</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7、参与项目建设管理的有关会议，对项目投资控制的有关事项发表独立审核意见；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8、其他与项目投资控制相关的工作。</w:t>
            </w:r>
          </w:p>
        </w:tc>
      </w:tr>
      <w:tr>
        <w:tblPrEx>
          <w:tblCellMar>
            <w:top w:w="0" w:type="dxa"/>
            <w:left w:w="0" w:type="dxa"/>
            <w:bottom w:w="0" w:type="dxa"/>
            <w:right w:w="0" w:type="dxa"/>
          </w:tblCellMar>
        </w:tblPrEx>
        <w:trPr>
          <w:trHeight w:val="31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服务期</w:t>
            </w:r>
            <w:r>
              <w:rPr>
                <w:rFonts w:hint="eastAsia" w:ascii="宋体" w:hAnsi="宋体" w:eastAsia="宋体" w:cs="宋体"/>
                <w:color w:val="auto"/>
                <w:kern w:val="0"/>
                <w:sz w:val="24"/>
                <w:szCs w:val="24"/>
                <w:highlight w:val="none"/>
              </w:rPr>
              <w:t>要求</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自签订合同之日起至整体竣工验收合格并出</w:t>
            </w:r>
            <w:r>
              <w:rPr>
                <w:rFonts w:hint="eastAsia" w:ascii="宋体" w:hAnsi="宋体" w:eastAsia="宋体" w:cs="宋体"/>
                <w:color w:val="auto"/>
                <w:sz w:val="24"/>
                <w:szCs w:val="24"/>
                <w:highlight w:val="none"/>
                <w:lang w:val="en-US" w:eastAsia="zh-CN"/>
              </w:rPr>
              <w:t>具审核成果文件止。</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工期计算节点：以施工工期开始为准，至竣工验收审计定案完成。本项目招标人将根据需要可能会分期实施，如分期实施，每期的服务期限自各期施工工期开始起计算</w:t>
            </w:r>
            <w:r>
              <w:rPr>
                <w:rFonts w:hint="eastAsia" w:ascii="宋体" w:hAnsi="宋体" w:cs="宋体"/>
                <w:color w:val="auto"/>
                <w:sz w:val="24"/>
                <w:szCs w:val="24"/>
                <w:highlight w:val="none"/>
                <w:lang w:val="en-US" w:eastAsia="zh-CN"/>
              </w:rPr>
              <w:t>。</w:t>
            </w:r>
          </w:p>
        </w:tc>
      </w:tr>
      <w:tr>
        <w:tblPrEx>
          <w:tblCellMar>
            <w:top w:w="0" w:type="dxa"/>
            <w:left w:w="0" w:type="dxa"/>
            <w:bottom w:w="0" w:type="dxa"/>
            <w:right w:w="0" w:type="dxa"/>
          </w:tblCellMar>
        </w:tblPrEx>
        <w:trPr>
          <w:trHeight w:val="42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质量标准</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符合现行国家或行业工程计价有关规定、标准、规范的要求。</w:t>
            </w:r>
          </w:p>
        </w:tc>
      </w:tr>
      <w:tr>
        <w:tblPrEx>
          <w:tblCellMar>
            <w:top w:w="0" w:type="dxa"/>
            <w:left w:w="0" w:type="dxa"/>
            <w:bottom w:w="0" w:type="dxa"/>
            <w:right w:w="0" w:type="dxa"/>
          </w:tblCellMar>
        </w:tblPrEx>
        <w:trPr>
          <w:trHeight w:val="991"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投标人资质</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等级要求</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详见招标公告</w:t>
            </w:r>
          </w:p>
        </w:tc>
      </w:tr>
      <w:tr>
        <w:tblPrEx>
          <w:tblCellMar>
            <w:top w:w="0" w:type="dxa"/>
            <w:left w:w="0" w:type="dxa"/>
            <w:bottom w:w="0" w:type="dxa"/>
            <w:right w:w="0" w:type="dxa"/>
          </w:tblCellMar>
        </w:tblPrEx>
        <w:trPr>
          <w:trHeight w:val="65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勘察现场及投标预备会</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不再集中召开招标答疑会；投标人自行组织勘察现场。</w:t>
            </w:r>
          </w:p>
        </w:tc>
      </w:tr>
      <w:tr>
        <w:tblPrEx>
          <w:tblCellMar>
            <w:top w:w="0" w:type="dxa"/>
            <w:left w:w="0" w:type="dxa"/>
            <w:bottom w:w="0" w:type="dxa"/>
            <w:right w:w="0" w:type="dxa"/>
          </w:tblCellMar>
        </w:tblPrEx>
        <w:trPr>
          <w:trHeight w:val="43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81" w:type="dxa"/>
            <w:tcBorders>
              <w:top w:val="single" w:color="auto" w:sz="8" w:space="0"/>
              <w:left w:val="single" w:color="auto" w:sz="4" w:space="0"/>
              <w:bottom w:val="single" w:color="auto" w:sz="8" w:space="0"/>
              <w:right w:val="single" w:color="auto" w:sz="4" w:space="0"/>
            </w:tcBorders>
            <w:vAlign w:val="center"/>
          </w:tcPr>
          <w:p>
            <w:pPr>
              <w:pStyle w:val="26"/>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260" w:right="0" w:hanging="1440" w:hangingChars="6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投标文件份数</w:t>
            </w:r>
          </w:p>
        </w:tc>
        <w:tc>
          <w:tcPr>
            <w:tcW w:w="7255"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正本</w:t>
            </w:r>
            <w:r>
              <w:rPr>
                <w:rFonts w:hint="eastAsia" w:ascii="宋体" w:hAnsi="宋体" w:eastAsia="宋体" w:cs="宋体"/>
                <w:color w:val="auto"/>
                <w:kern w:val="0"/>
                <w:sz w:val="24"/>
                <w:szCs w:val="24"/>
                <w:highlight w:val="none"/>
                <w:u w:val="single"/>
              </w:rPr>
              <w:t xml:space="preserve"> 一 </w:t>
            </w:r>
            <w:r>
              <w:rPr>
                <w:rFonts w:hint="eastAsia" w:ascii="宋体" w:hAnsi="宋体" w:eastAsia="宋体" w:cs="宋体"/>
                <w:color w:val="auto"/>
                <w:kern w:val="0"/>
                <w:sz w:val="24"/>
                <w:szCs w:val="24"/>
                <w:highlight w:val="none"/>
              </w:rPr>
              <w:t>份，副本</w:t>
            </w:r>
            <w:r>
              <w:rPr>
                <w:rFonts w:hint="eastAsia" w:ascii="宋体" w:hAnsi="宋体" w:eastAsia="宋体" w:cs="宋体"/>
                <w:color w:val="auto"/>
                <w:kern w:val="0"/>
                <w:sz w:val="24"/>
                <w:szCs w:val="24"/>
                <w:highlight w:val="none"/>
                <w:u w:val="single"/>
              </w:rPr>
              <w:t xml:space="preserve"> 两 </w:t>
            </w:r>
            <w:r>
              <w:rPr>
                <w:rFonts w:hint="eastAsia" w:ascii="宋体" w:hAnsi="宋体" w:eastAsia="宋体" w:cs="宋体"/>
                <w:color w:val="auto"/>
                <w:kern w:val="0"/>
                <w:sz w:val="24"/>
                <w:szCs w:val="24"/>
                <w:highlight w:val="none"/>
              </w:rPr>
              <w:t>份</w:t>
            </w:r>
          </w:p>
        </w:tc>
      </w:tr>
      <w:tr>
        <w:tblPrEx>
          <w:tblCellMar>
            <w:top w:w="0" w:type="dxa"/>
            <w:left w:w="0" w:type="dxa"/>
            <w:bottom w:w="0" w:type="dxa"/>
            <w:right w:w="0" w:type="dxa"/>
          </w:tblCellMar>
        </w:tblPrEx>
        <w:trPr>
          <w:trHeight w:val="6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val="en-US" w:eastAsia="zh-CN"/>
              </w:rPr>
              <w:t>不要求</w:t>
            </w:r>
          </w:p>
        </w:tc>
      </w:tr>
      <w:tr>
        <w:tblPrEx>
          <w:tblCellMar>
            <w:top w:w="0" w:type="dxa"/>
            <w:left w:w="0" w:type="dxa"/>
            <w:bottom w:w="0" w:type="dxa"/>
            <w:right w:w="0" w:type="dxa"/>
          </w:tblCellMar>
        </w:tblPrEx>
        <w:trPr>
          <w:trHeight w:val="637"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本项目不设置履约保证金。</w:t>
            </w:r>
          </w:p>
        </w:tc>
      </w:tr>
      <w:tr>
        <w:tblPrEx>
          <w:tblCellMar>
            <w:top w:w="0" w:type="dxa"/>
            <w:left w:w="0" w:type="dxa"/>
            <w:bottom w:w="0" w:type="dxa"/>
            <w:right w:w="0" w:type="dxa"/>
          </w:tblCellMar>
        </w:tblPrEx>
        <w:trPr>
          <w:trHeight w:val="4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费率最高限价：2‰（注：报价时只需报基本费率，保留两位小数，报价不得为0或负数）；审核成果费率1.50%（审核成果费率固定不变，工程造价审减率在10%以内的由招标单位承担，工程造价审减率超过10%的，其超过部分审计服务费用由施工单位承担；无审减额的，按基本费用收取）</w:t>
            </w:r>
            <w:r>
              <w:rPr>
                <w:rFonts w:hint="eastAsia" w:ascii="宋体" w:hAnsi="宋体" w:cs="宋体"/>
                <w:color w:val="auto"/>
                <w:sz w:val="24"/>
                <w:szCs w:val="24"/>
                <w:highlight w:val="none"/>
                <w:lang w:val="en-US" w:eastAsia="zh-CN"/>
              </w:rPr>
              <w:t>。</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注：跟踪审计服务费用计算方式为送审价*基本费率+审核成果（审减）*1.5%，跟踪审计费计算不足2000元按2000元计算。</w:t>
            </w:r>
          </w:p>
        </w:tc>
      </w:tr>
      <w:tr>
        <w:tblPrEx>
          <w:tblCellMar>
            <w:top w:w="0" w:type="dxa"/>
            <w:left w:w="0" w:type="dxa"/>
            <w:bottom w:w="0" w:type="dxa"/>
            <w:right w:w="0" w:type="dxa"/>
          </w:tblCellMar>
        </w:tblPrEx>
        <w:trPr>
          <w:trHeight w:val="559"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投标文件提交截止时间及地点</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收件人：滁州市城投工程咨询管理有限公司</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时00分</w:t>
            </w:r>
            <w:r>
              <w:rPr>
                <w:rFonts w:hint="eastAsia" w:ascii="宋体" w:hAnsi="宋体" w:eastAsia="宋体" w:cs="宋体"/>
                <w:color w:val="auto"/>
                <w:sz w:val="24"/>
                <w:szCs w:val="24"/>
                <w:highlight w:val="none"/>
              </w:rPr>
              <w:t xml:space="preserve">  </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地点：滁州市龙蟠大道109号房产商务大厦6楼622会议室</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时00分</w:t>
            </w:r>
            <w:r>
              <w:rPr>
                <w:rFonts w:hint="eastAsia" w:ascii="宋体" w:hAnsi="宋体" w:eastAsia="宋体" w:cs="宋体"/>
                <w:color w:val="auto"/>
                <w:sz w:val="24"/>
                <w:szCs w:val="24"/>
                <w:highlight w:val="none"/>
              </w:rPr>
              <w:t xml:space="preserve">  </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kern w:val="0"/>
                <w:sz w:val="24"/>
                <w:szCs w:val="24"/>
                <w:highlight w:val="none"/>
              </w:rPr>
              <w:t>开标地点：滁州市龙蟠大道109号房产商务大厦6楼622会议室</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招标代理费</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本项目的招标代理服务费</w:t>
            </w:r>
            <w:r>
              <w:rPr>
                <w:rFonts w:hint="eastAsia" w:ascii="宋体" w:hAnsi="宋体" w:cs="宋体"/>
                <w:color w:val="auto"/>
                <w:kern w:val="0"/>
                <w:sz w:val="24"/>
                <w:szCs w:val="24"/>
                <w:highlight w:val="none"/>
                <w:lang w:val="en-US" w:eastAsia="zh-CN"/>
              </w:rPr>
              <w:t>2000</w:t>
            </w:r>
            <w:r>
              <w:rPr>
                <w:rFonts w:hint="eastAsia" w:ascii="宋体" w:hAnsi="宋体" w:eastAsia="宋体" w:cs="宋体"/>
                <w:color w:val="auto"/>
                <w:kern w:val="0"/>
                <w:sz w:val="24"/>
                <w:szCs w:val="24"/>
                <w:highlight w:val="none"/>
              </w:rPr>
              <w:t>元和专家评委费（专家评委费以实际发生为准），由中标人在领取中标通知书时，一次性支付给代理公司。</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付款方式、时间、条件</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各项目独立结算，结算费率根据工程造价按照中标费率结算。</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kern w:val="0"/>
                <w:sz w:val="24"/>
                <w:szCs w:val="24"/>
                <w:highlight w:val="none"/>
              </w:rPr>
            </w:pPr>
            <w:r>
              <w:rPr>
                <w:rFonts w:hint="eastAsia" w:ascii="宋体" w:hAnsi="宋体" w:cs="宋体"/>
                <w:b/>
                <w:bCs/>
                <w:color w:val="auto"/>
                <w:szCs w:val="21"/>
                <w:highlight w:val="none"/>
                <w:lang w:eastAsia="zh-CN"/>
              </w:rPr>
              <w:t>每季度支付已完工程基本费率的60%，项目竣工验收合格且审计定案完成后一次性无息支付全部费用（初期以施工中标价扣除暂列金为计算基数，最终结算以审定价格为计算基数）。</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到会审查要求</w:t>
            </w:r>
          </w:p>
        </w:tc>
        <w:tc>
          <w:tcPr>
            <w:tcW w:w="7255"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投标人应派授权代表（授权委托人或法定代表人）准时递交投标文件和出席开标会议。递交投标文件和出席开标会议时，如为授权委托人参加须携带有效身份证原件和授权委托书审查，如为法定代表人参加须携带有效身份证原件和法定代表人身份证明审查。否则，按无效标处理。</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招标文件获取方式和时间</w:t>
            </w:r>
          </w:p>
        </w:tc>
        <w:tc>
          <w:tcPr>
            <w:tcW w:w="7255" w:type="dxa"/>
            <w:tcBorders>
              <w:top w:val="single" w:color="auto" w:sz="8" w:space="0"/>
              <w:left w:val="single" w:color="auto" w:sz="4" w:space="0"/>
              <w:bottom w:val="single" w:color="auto" w:sz="8" w:space="0"/>
              <w:right w:val="single" w:color="auto" w:sz="8" w:space="0"/>
            </w:tcBorders>
          </w:tcPr>
          <w:p>
            <w:pPr>
              <w:keepNext w:val="0"/>
              <w:keepLines w:val="0"/>
              <w:pageBreakBefore w:val="0"/>
              <w:suppressLineNumbers w:val="0"/>
              <w:kinsoku/>
              <w:wordWrap/>
              <w:overflowPunct/>
              <w:topLine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招标文件获取方式：网上下载；</w:t>
            </w:r>
          </w:p>
          <w:p>
            <w:pPr>
              <w:keepNext w:val="0"/>
              <w:keepLines w:val="0"/>
              <w:pageBreakBefore w:val="0"/>
              <w:suppressLineNumbers w:val="0"/>
              <w:kinsoku/>
              <w:wordWrap/>
              <w:overflowPunct/>
              <w:topLine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获取时间：招标文件发布至投标截止时间。</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88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特别提示</w:t>
            </w:r>
          </w:p>
        </w:tc>
        <w:tc>
          <w:tcPr>
            <w:tcW w:w="7255" w:type="dxa"/>
            <w:tcBorders>
              <w:top w:val="single" w:color="auto" w:sz="8" w:space="0"/>
              <w:left w:val="single" w:color="auto" w:sz="4" w:space="0"/>
              <w:bottom w:val="single" w:color="auto" w:sz="8" w:space="0"/>
              <w:right w:val="single" w:color="auto" w:sz="8" w:space="0"/>
            </w:tcBorders>
          </w:tcPr>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1、投标人单方面出现其他投标人材料的，由评标委员会否决其投标。</w:t>
            </w:r>
          </w:p>
          <w:p>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、拟派人员</w:t>
            </w:r>
            <w:r>
              <w:rPr>
                <w:rFonts w:hint="eastAsia" w:ascii="宋体" w:hAnsi="宋体" w:eastAsia="宋体" w:cs="宋体"/>
                <w:color w:val="auto"/>
                <w:sz w:val="24"/>
                <w:szCs w:val="24"/>
                <w:highlight w:val="none"/>
              </w:rPr>
              <w:t>实行考勤，考勤由建设单位或监理单位负责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项目负责人每月在岗时间不得少于22天，且每天驻场人员不得少于2人，否则扣除5000元/天，若发现三次以上，招标人有权清退出场。</w:t>
            </w:r>
          </w:p>
        </w:tc>
      </w:tr>
    </w:tbl>
    <w:p>
      <w:pPr>
        <w:spacing w:line="420" w:lineRule="exact"/>
        <w:rPr>
          <w:rFonts w:ascii="仿宋" w:hAnsi="仿宋" w:eastAsia="仿宋" w:cs="仿宋"/>
          <w:color w:val="auto"/>
          <w:sz w:val="32"/>
          <w:szCs w:val="32"/>
          <w:highlight w:val="none"/>
        </w:rPr>
      </w:pP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spacing w:before="95" w:beforeLines="30" w:after="95" w:afterLines="30" w:line="440" w:lineRule="exact"/>
        <w:jc w:val="center"/>
        <w:outlineLvl w:val="1"/>
        <w:rPr>
          <w:rFonts w:ascii="宋体" w:hAnsi="宋体" w:cs="宋体"/>
          <w:b/>
          <w:bCs/>
          <w:color w:val="auto"/>
          <w:sz w:val="24"/>
          <w:szCs w:val="24"/>
          <w:highlight w:val="none"/>
        </w:rPr>
      </w:pPr>
      <w:bookmarkStart w:id="42" w:name="_Toc515"/>
      <w:r>
        <w:rPr>
          <w:rFonts w:hint="eastAsia" w:ascii="宋体" w:hAnsi="宋体" w:cs="宋体"/>
          <w:b/>
          <w:bCs/>
          <w:color w:val="auto"/>
          <w:sz w:val="24"/>
          <w:szCs w:val="24"/>
          <w:highlight w:val="none"/>
        </w:rPr>
        <w:t>一、总  则</w:t>
      </w:r>
      <w:bookmarkEnd w:id="4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1.工程概况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1.1本次招标工程名称：兴全矿业办公生活区项目跟踪审计服务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工程地址：</w:t>
      </w:r>
      <w:r>
        <w:rPr>
          <w:rFonts w:hint="eastAsia" w:ascii="宋体" w:hAnsi="宋体" w:cs="宋体"/>
          <w:color w:val="auto"/>
          <w:sz w:val="24"/>
          <w:szCs w:val="24"/>
          <w:highlight w:val="none"/>
          <w:lang w:val="en-US" w:eastAsia="zh-CN"/>
        </w:rPr>
        <w:t>滁州市全椒县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建设单位：</w:t>
      </w:r>
      <w:r>
        <w:rPr>
          <w:rFonts w:hint="eastAsia" w:ascii="宋体" w:hAnsi="宋体" w:cs="宋体"/>
          <w:color w:val="auto"/>
          <w:sz w:val="24"/>
          <w:szCs w:val="24"/>
          <w:highlight w:val="none"/>
          <w:lang w:eastAsia="zh-CN"/>
        </w:rPr>
        <w:t>滁州市兴全矿业投资有限公司</w:t>
      </w:r>
      <w:r>
        <w:rPr>
          <w:rFonts w:hint="eastAsia"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1.2本工程建设规模：总投资约</w:t>
      </w:r>
      <w:r>
        <w:rPr>
          <w:rFonts w:hint="eastAsia" w:ascii="宋体" w:hAnsi="宋体" w:cs="宋体"/>
          <w:color w:val="auto"/>
          <w:sz w:val="24"/>
          <w:szCs w:val="24"/>
          <w:highlight w:val="none"/>
          <w:lang w:val="en-US" w:eastAsia="zh-CN"/>
        </w:rPr>
        <w:t>5000万元</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2. 招标范围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3.承包方式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3.1承包方式：</w:t>
      </w:r>
      <w:r>
        <w:rPr>
          <w:rFonts w:hint="eastAsia" w:ascii="宋体" w:hAnsi="宋体" w:cs="宋体"/>
          <w:color w:val="auto"/>
          <w:sz w:val="24"/>
          <w:szCs w:val="24"/>
          <w:highlight w:val="none"/>
          <w:u w:val="single"/>
        </w:rPr>
        <w:t xml:space="preserve">总承包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4.工期要求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5.质量要求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6.投标人资质等级要求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7.资金来源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7.1资金来源：</w:t>
      </w:r>
      <w:r>
        <w:rPr>
          <w:rFonts w:hint="eastAsia" w:ascii="宋体" w:hAnsi="宋体" w:cs="宋体"/>
          <w:color w:val="auto"/>
          <w:sz w:val="24"/>
          <w:szCs w:val="24"/>
          <w:highlight w:val="none"/>
          <w:u w:val="single"/>
        </w:rPr>
        <w:t xml:space="preserve"> 自筹资金 </w:t>
      </w:r>
      <w:r>
        <w:rPr>
          <w:rFonts w:hint="eastAsia" w:ascii="宋体" w:hAnsi="宋体" w:cs="宋体"/>
          <w:color w:val="auto"/>
          <w:sz w:val="24"/>
          <w:szCs w:val="24"/>
          <w:highlight w:val="none"/>
        </w:rPr>
        <w:t>；资金已落实。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8.标段划分</w:t>
      </w:r>
    </w:p>
    <w:p>
      <w:pPr>
        <w:keepNext w:val="0"/>
        <w:keepLines w:val="0"/>
        <w:pageBreakBefore w:val="0"/>
        <w:widowControl w:val="0"/>
        <w:kinsoku/>
        <w:wordWrap/>
        <w:overflowPunct/>
        <w:topLinePunct w:val="0"/>
        <w:autoSpaceDE/>
        <w:autoSpaceDN/>
        <w:bidi w:val="0"/>
        <w:adjustRightInd/>
        <w:snapToGrid/>
        <w:spacing w:line="440" w:lineRule="exact"/>
        <w:ind w:right="-155" w:rightChars="-74"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8.1该工程划分：</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 xml:space="preserve">个标段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9.招标方式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9.1本工程招标方式：</w:t>
      </w:r>
      <w:r>
        <w:rPr>
          <w:rFonts w:hint="eastAsia" w:ascii="宋体" w:hAnsi="宋体" w:cs="宋体"/>
          <w:color w:val="auto"/>
          <w:sz w:val="24"/>
          <w:szCs w:val="24"/>
          <w:highlight w:val="none"/>
          <w:u w:val="single"/>
        </w:rPr>
        <w:t xml:space="preserve"> 自行招标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10.计价方式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10.1本工程合同计价方式：</w:t>
      </w:r>
      <w:r>
        <w:rPr>
          <w:rFonts w:hint="eastAsia" w:ascii="宋体" w:hAnsi="宋体" w:cs="宋体"/>
          <w:color w:val="auto"/>
          <w:sz w:val="24"/>
          <w:szCs w:val="24"/>
          <w:highlight w:val="none"/>
          <w:u w:val="single"/>
        </w:rPr>
        <w:t xml:space="preserve">  固定</w:t>
      </w:r>
      <w:r>
        <w:rPr>
          <w:rFonts w:hint="eastAsia" w:ascii="宋体" w:hAnsi="宋体" w:cs="宋体"/>
          <w:color w:val="auto"/>
          <w:sz w:val="24"/>
          <w:szCs w:val="24"/>
          <w:highlight w:val="none"/>
          <w:u w:val="single"/>
          <w:lang w:val="en-US" w:eastAsia="zh-CN"/>
        </w:rPr>
        <w:t>费率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11.评标办法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11.1本工程评标办法：</w:t>
      </w:r>
      <w:r>
        <w:rPr>
          <w:rFonts w:hint="eastAsia" w:ascii="宋体" w:hAnsi="宋体" w:cs="宋体"/>
          <w:color w:val="auto"/>
          <w:sz w:val="24"/>
          <w:szCs w:val="24"/>
          <w:highlight w:val="none"/>
          <w:u w:val="single"/>
          <w:lang w:val="en-US" w:eastAsia="zh-CN"/>
        </w:rPr>
        <w:t>综合评估</w:t>
      </w:r>
      <w:r>
        <w:rPr>
          <w:rFonts w:hint="eastAsia" w:ascii="宋体" w:hAnsi="宋体" w:cs="宋体"/>
          <w:color w:val="auto"/>
          <w:sz w:val="24"/>
          <w:szCs w:val="24"/>
          <w:highlight w:val="none"/>
          <w:u w:val="single"/>
        </w:rPr>
        <w:t>法</w:t>
      </w:r>
      <w:r>
        <w:rPr>
          <w:rFonts w:hint="eastAsia" w:ascii="宋体" w:hAnsi="宋体" w:cs="宋体"/>
          <w:color w:val="auto"/>
          <w:sz w:val="24"/>
          <w:szCs w:val="24"/>
          <w:highlight w:val="none"/>
        </w:rPr>
        <w:t>。</w:t>
      </w:r>
    </w:p>
    <w:p>
      <w:pPr>
        <w:spacing w:before="95" w:beforeLines="30" w:after="95" w:afterLines="30" w:line="440" w:lineRule="exact"/>
        <w:jc w:val="center"/>
        <w:outlineLvl w:val="1"/>
        <w:rPr>
          <w:rFonts w:ascii="宋体" w:hAnsi="宋体" w:cs="宋体"/>
          <w:color w:val="auto"/>
          <w:highlight w:val="none"/>
        </w:rPr>
      </w:pPr>
      <w:bookmarkStart w:id="43" w:name="_Toc29988"/>
      <w:r>
        <w:rPr>
          <w:rFonts w:hint="eastAsia" w:ascii="宋体" w:hAnsi="宋体" w:cs="宋体"/>
          <w:b/>
          <w:bCs/>
          <w:color w:val="auto"/>
          <w:sz w:val="24"/>
          <w:szCs w:val="24"/>
          <w:highlight w:val="none"/>
        </w:rPr>
        <w:t>二、招标文件</w:t>
      </w:r>
      <w:bookmarkEnd w:id="4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招标文件的编制依据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根据《中华人民共和国招标投标法》、《工程建设项目施工招标投标办法》（七部委联合部令第30号）、《评标委员会和评标方法暂行规定》（七部委联合部令第12号）、《建设工程工程量清单计价规范》（GB50500-2013）、《安徽省建设工程工程量清单计价规范》（DBJ34/T-206-2005）和《滁州市工程量清单计价方式招标评标实施细则（试行）》等相关法律法规和规章及部、省、市级规范性文件的规定，编制本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bCs/>
          <w:color w:val="auto"/>
          <w:sz w:val="24"/>
          <w:szCs w:val="24"/>
          <w:highlight w:val="none"/>
        </w:rPr>
        <w:t>招标文件的组成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招标文件包括内容：</w:t>
      </w:r>
    </w:p>
    <w:p>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投标须知</w:t>
      </w:r>
    </w:p>
    <w:p>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投标须知</w:t>
      </w:r>
    </w:p>
    <w:p>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w:t>
      </w:r>
    </w:p>
    <w:p>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技术标准和要求</w:t>
      </w:r>
    </w:p>
    <w:p>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投标文件格式</w:t>
      </w:r>
    </w:p>
    <w:p>
      <w:pPr>
        <w:adjustRightInd w:val="0"/>
        <w:snapToGrid w:val="0"/>
        <w:spacing w:line="440" w:lineRule="exact"/>
        <w:ind w:firstLine="1200" w:firstLineChars="500"/>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第六章  招标单位、招标代理机构对本招标文件的确认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13.2除13.1内容外，招标答疑亦为招标文件的组成部分，对招标人和投标人起约束作用。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13.3投标人应仔细检查招标文件的所有内容，</w:t>
      </w:r>
      <w:r>
        <w:rPr>
          <w:rFonts w:hint="eastAsia" w:ascii="宋体" w:hAnsi="宋体" w:eastAsia="宋体" w:cs="宋体"/>
          <w:bCs/>
          <w:color w:val="auto"/>
          <w:sz w:val="24"/>
          <w:szCs w:val="24"/>
          <w:highlight w:val="none"/>
        </w:rPr>
        <w:t>如有残缺等问题应在</w:t>
      </w:r>
      <w:r>
        <w:rPr>
          <w:rFonts w:hint="eastAsia" w:ascii="宋体" w:hAnsi="宋体" w:eastAsia="宋体" w:cs="宋体"/>
          <w:b/>
          <w:color w:val="auto"/>
          <w:sz w:val="24"/>
          <w:szCs w:val="24"/>
          <w:highlight w:val="none"/>
        </w:rPr>
        <w:t>202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年</w:t>
      </w:r>
      <w:r>
        <w:rPr>
          <w:rFonts w:hint="eastAsia" w:ascii="宋体" w:hAnsi="宋体" w:cs="宋体"/>
          <w:b/>
          <w:color w:val="auto"/>
          <w:sz w:val="24"/>
          <w:szCs w:val="24"/>
          <w:highlight w:val="none"/>
          <w:lang w:val="en-US" w:eastAsia="zh-CN"/>
        </w:rPr>
        <w:t>12</w:t>
      </w:r>
      <w:r>
        <w:rPr>
          <w:rFonts w:hint="eastAsia" w:ascii="宋体" w:hAnsi="宋体" w:eastAsia="宋体" w:cs="宋体"/>
          <w:b/>
          <w:color w:val="auto"/>
          <w:sz w:val="24"/>
          <w:szCs w:val="24"/>
          <w:highlight w:val="none"/>
        </w:rPr>
        <w:t>月</w:t>
      </w:r>
      <w:r>
        <w:rPr>
          <w:rFonts w:hint="eastAsia" w:ascii="宋体" w:hAnsi="宋体" w:cs="宋体"/>
          <w:b/>
          <w:color w:val="auto"/>
          <w:sz w:val="24"/>
          <w:szCs w:val="24"/>
          <w:highlight w:val="none"/>
          <w:lang w:val="en-US" w:eastAsia="zh-CN"/>
        </w:rPr>
        <w:t>26</w:t>
      </w:r>
      <w:r>
        <w:rPr>
          <w:rFonts w:hint="eastAsia" w:ascii="宋体" w:hAnsi="宋体" w:eastAsia="宋体" w:cs="宋体"/>
          <w:b/>
          <w:color w:val="auto"/>
          <w:sz w:val="24"/>
          <w:szCs w:val="24"/>
          <w:highlight w:val="none"/>
        </w:rPr>
        <w:t>日1</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时前</w:t>
      </w:r>
      <w:r>
        <w:rPr>
          <w:rFonts w:hint="eastAsia" w:ascii="宋体" w:hAnsi="宋体" w:eastAsia="宋体" w:cs="宋体"/>
          <w:bCs/>
          <w:color w:val="auto"/>
          <w:sz w:val="24"/>
          <w:szCs w:val="24"/>
          <w:highlight w:val="none"/>
        </w:rPr>
        <w:t>投标人将所遇到的问题以电子邮件形式传czsctgczx@163.com滁州市城投工程咨询管理有限公司电子邮箱</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否则</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bCs/>
          <w:color w:val="auto"/>
          <w:sz w:val="24"/>
          <w:szCs w:val="24"/>
          <w:highlight w:val="none"/>
        </w:rPr>
        <w:t>招标文件的澄清、修改、补充、解释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14.1</w:t>
      </w:r>
      <w:r>
        <w:rPr>
          <w:rFonts w:hint="eastAsia" w:ascii="宋体" w:hAnsi="宋体" w:eastAsia="宋体" w:cs="宋体"/>
          <w:color w:val="auto"/>
          <w:kern w:val="0"/>
          <w:sz w:val="24"/>
          <w:szCs w:val="24"/>
          <w:highlight w:val="none"/>
          <w:lang w:val="zh-CN"/>
        </w:rPr>
        <w:t>招标文件发出后</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招标人可对招标文件进行必要的澄清、修改和补充</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澄清内容</w:t>
      </w:r>
      <w:r>
        <w:rPr>
          <w:rFonts w:hint="eastAsia" w:ascii="宋体" w:hAnsi="宋体" w:eastAsia="宋体" w:cs="宋体"/>
          <w:color w:val="auto"/>
          <w:kern w:val="0"/>
          <w:sz w:val="24"/>
          <w:szCs w:val="24"/>
          <w:highlight w:val="none"/>
        </w:rPr>
        <w:t>将于</w:t>
      </w:r>
      <w:r>
        <w:rPr>
          <w:rFonts w:hint="eastAsia" w:ascii="宋体" w:hAnsi="宋体" w:eastAsia="宋体" w:cs="宋体"/>
          <w:b/>
          <w:color w:val="auto"/>
          <w:kern w:val="0"/>
          <w:sz w:val="24"/>
          <w:szCs w:val="24"/>
          <w:highlight w:val="none"/>
        </w:rPr>
        <w:t>202</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年</w:t>
      </w:r>
      <w:r>
        <w:rPr>
          <w:rFonts w:hint="eastAsia" w:ascii="宋体" w:hAnsi="宋体" w:cs="宋体"/>
          <w:b/>
          <w:color w:val="auto"/>
          <w:kern w:val="0"/>
          <w:sz w:val="24"/>
          <w:szCs w:val="24"/>
          <w:highlight w:val="none"/>
          <w:lang w:val="en-US" w:eastAsia="zh-CN"/>
        </w:rPr>
        <w:t>12</w:t>
      </w:r>
      <w:r>
        <w:rPr>
          <w:rFonts w:hint="eastAsia" w:ascii="宋体" w:hAnsi="宋体" w:eastAsia="宋体" w:cs="宋体"/>
          <w:b/>
          <w:color w:val="auto"/>
          <w:kern w:val="0"/>
          <w:sz w:val="24"/>
          <w:szCs w:val="24"/>
          <w:highlight w:val="none"/>
        </w:rPr>
        <w:t>月</w:t>
      </w:r>
      <w:r>
        <w:rPr>
          <w:rFonts w:hint="eastAsia" w:ascii="宋体" w:hAnsi="宋体" w:cs="宋体"/>
          <w:b/>
          <w:color w:val="auto"/>
          <w:kern w:val="0"/>
          <w:sz w:val="24"/>
          <w:szCs w:val="24"/>
          <w:highlight w:val="none"/>
          <w:lang w:val="en-US" w:eastAsia="zh-CN"/>
        </w:rPr>
        <w:t>26</w:t>
      </w:r>
      <w:r>
        <w:rPr>
          <w:rFonts w:hint="eastAsia" w:ascii="宋体" w:hAnsi="宋体" w:eastAsia="宋体" w:cs="宋体"/>
          <w:b/>
          <w:color w:val="auto"/>
          <w:kern w:val="0"/>
          <w:sz w:val="24"/>
          <w:szCs w:val="24"/>
          <w:highlight w:val="none"/>
        </w:rPr>
        <w:t>日17时</w:t>
      </w:r>
      <w:r>
        <w:rPr>
          <w:rFonts w:hint="eastAsia" w:ascii="宋体" w:hAnsi="宋体" w:eastAsia="宋体" w:cs="宋体"/>
          <w:color w:val="auto"/>
          <w:kern w:val="0"/>
          <w:sz w:val="24"/>
          <w:szCs w:val="24"/>
          <w:highlight w:val="none"/>
        </w:rPr>
        <w:t>后</w:t>
      </w:r>
      <w:r>
        <w:rPr>
          <w:rFonts w:hint="eastAsia" w:ascii="宋体" w:hAnsi="宋体" w:cs="宋体"/>
          <w:color w:val="auto"/>
          <w:kern w:val="0"/>
          <w:sz w:val="24"/>
          <w:szCs w:val="24"/>
          <w:highlight w:val="none"/>
          <w:lang w:val="en-US" w:eastAsia="zh-CN"/>
        </w:rPr>
        <w:t>在网站予以公布</w:t>
      </w:r>
      <w:r>
        <w:rPr>
          <w:rFonts w:hint="eastAsia" w:ascii="宋体" w:hAnsi="宋体" w:eastAsia="宋体" w:cs="宋体"/>
          <w:color w:val="auto"/>
          <w:kern w:val="0"/>
          <w:sz w:val="24"/>
          <w:szCs w:val="24"/>
          <w:highlight w:val="none"/>
          <w:lang w:val="zh-CN"/>
        </w:rPr>
        <w:t>。招标文件的修改内容作为招标文件的组成部分，具有约束作用。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本招标文件由招标人委托的招标代理机构负责解释。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15.踏勘现场及投标预备会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踏勘现场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15.1.1</w:t>
      </w:r>
      <w:r>
        <w:rPr>
          <w:rFonts w:hint="eastAsia" w:ascii="宋体" w:hAnsi="宋体" w:eastAsia="宋体" w:cs="宋体"/>
          <w:color w:val="auto"/>
          <w:kern w:val="0"/>
          <w:sz w:val="24"/>
          <w:szCs w:val="24"/>
          <w:highlight w:val="none"/>
        </w:rPr>
        <w:t>不再集中召开招标答疑会；投标人自行组织勘察现场。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15.2  投标预备会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本项目不采用</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招标文件的发出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16.1招标文件、招标文件的澄清、修改、补充及招标答疑等均应报招标人备案后，方可发出。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最高投标限价的作用和说明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bookmarkStart w:id="44" w:name="_Toc24852"/>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en-US" w:eastAsia="zh-CN"/>
        </w:rPr>
        <w:t>见投标须知前附表。</w:t>
      </w:r>
    </w:p>
    <w:p>
      <w:pPr>
        <w:spacing w:before="95" w:beforeLines="30" w:after="95" w:afterLines="3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三、投标文件的编制</w:t>
      </w:r>
      <w:bookmarkEnd w:id="44"/>
    </w:p>
    <w:p>
      <w:pPr>
        <w:pStyle w:val="7"/>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 投标文件的组成</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22．投标报价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22.1 投标人的投标报价包括按合同规定的范围所提供的全部服务所需的费用，即招标范围内人员工资、办公费用、成本、利润及税金等全部费用。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 投标报价不按规定报价的，其投标文件按无效标处理。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23.投标有效期</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23.1投标有效期为</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rPr>
        <w:t>日历天（从投标截止之日算起）。在此期限内，凡符合本招标文件要求的投标文件均保持有效。</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担保的有效期。</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 投标保证金</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24.1 详见须知前附表。</w:t>
      </w:r>
    </w:p>
    <w:p>
      <w:pPr>
        <w:spacing w:before="95" w:beforeLines="30" w:after="95" w:afterLines="30" w:line="440" w:lineRule="exact"/>
        <w:jc w:val="center"/>
        <w:outlineLvl w:val="1"/>
        <w:rPr>
          <w:rFonts w:ascii="宋体" w:hAnsi="宋体" w:cs="宋体"/>
          <w:b/>
          <w:bCs/>
          <w:color w:val="auto"/>
          <w:sz w:val="24"/>
          <w:szCs w:val="24"/>
          <w:highlight w:val="none"/>
        </w:rPr>
      </w:pPr>
      <w:bookmarkStart w:id="45" w:name="_Toc27519"/>
      <w:r>
        <w:rPr>
          <w:rFonts w:hint="eastAsia" w:ascii="宋体" w:hAnsi="宋体" w:cs="宋体"/>
          <w:b/>
          <w:bCs/>
          <w:color w:val="auto"/>
          <w:sz w:val="24"/>
          <w:szCs w:val="24"/>
          <w:highlight w:val="none"/>
        </w:rPr>
        <w:t>四、投标文件的密封和递交</w:t>
      </w:r>
      <w:bookmarkEnd w:id="4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25.   投标文件的份数和签署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25.1  投标文件：书面文件一式</w:t>
      </w:r>
      <w:r>
        <w:rPr>
          <w:rFonts w:hint="eastAsia" w:ascii="宋体" w:hAnsi="宋体" w:cs="宋体"/>
          <w:color w:val="auto"/>
          <w:sz w:val="24"/>
          <w:szCs w:val="24"/>
          <w:highlight w:val="none"/>
          <w:u w:val="single"/>
        </w:rPr>
        <w:t xml:space="preserve"> 叁 </w:t>
      </w:r>
      <w:r>
        <w:rPr>
          <w:rFonts w:hint="eastAsia" w:ascii="宋体" w:hAnsi="宋体" w:cs="宋体"/>
          <w:color w:val="auto"/>
          <w:sz w:val="24"/>
          <w:szCs w:val="24"/>
          <w:highlight w:val="none"/>
        </w:rPr>
        <w:t>份，正本</w:t>
      </w:r>
      <w:r>
        <w:rPr>
          <w:rFonts w:hint="eastAsia" w:ascii="宋体" w:hAnsi="宋体" w:cs="宋体"/>
          <w:color w:val="auto"/>
          <w:sz w:val="24"/>
          <w:szCs w:val="24"/>
          <w:highlight w:val="none"/>
          <w:u w:val="single"/>
        </w:rPr>
        <w:t xml:space="preserve"> 壹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贰 </w:t>
      </w:r>
      <w:r>
        <w:rPr>
          <w:rFonts w:hint="eastAsia" w:ascii="宋体" w:hAnsi="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25.2  投标文件的正本和副本均需打印或使用不褪色的蓝、黑墨水笔书写，字迹应清晰易于辩认，并应在投标文件封面的右上角清楚地注明“正本”或“副本”。正本和副本如有不一致之处，以正本为准。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pacing w:val="-4"/>
          <w:sz w:val="24"/>
          <w:szCs w:val="24"/>
          <w:highlight w:val="none"/>
        </w:rPr>
      </w:pPr>
      <w:r>
        <w:rPr>
          <w:rFonts w:hint="eastAsia" w:ascii="宋体" w:hAnsi="宋体" w:cs="宋体"/>
          <w:color w:val="auto"/>
          <w:sz w:val="24"/>
          <w:szCs w:val="24"/>
          <w:highlight w:val="none"/>
        </w:rPr>
        <w:t>25.3  投标文件中的授权书、投标函应当在格式文本要求的相应位置签字和盖章，否则，应当否决其投标。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26.   投标文件的装订、密封和标记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26.1  投标文件的装订要求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26.1.1投标文件应组成按顺序装订在一起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26.2  投标文件的密封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26.2.1投标人应当将投标文件正本、副本密封在文件袋内。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26.3  投标文件密封袋的标记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26.3.1在投标文件密封袋上应写明投标人名称和地址；注明下列识别标志：招标项目名称。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26.3.2投标文件的密封袋应加盖投标人印章；否则，该投标文件将被拒绝。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27.   投标文件的提交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kern w:val="0"/>
          <w:sz w:val="24"/>
          <w:szCs w:val="24"/>
          <w:highlight w:val="none"/>
          <w:u w:val="single"/>
        </w:rPr>
      </w:pPr>
      <w:r>
        <w:rPr>
          <w:rFonts w:hint="eastAsia" w:ascii="宋体" w:hAnsi="宋体" w:cs="宋体"/>
          <w:color w:val="auto"/>
          <w:sz w:val="24"/>
          <w:szCs w:val="24"/>
          <w:highlight w:val="none"/>
        </w:rPr>
        <w:t>27.1  投标文件提交的收件人、截止时间及地点：详见须知前附表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27.2  迟交的投标文件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27.2.1招标人在本须知第27.1款规定的投标截止时间以后收到的投标文件，将被拒绝并退回给投标人。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28.   投标文件的补充、修改与撤回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28.1  投标人在提交投标文件以后，在规定的投标截止时间之前，可以书面形式补充、修改或撤回已提交的投标文件，并以书面形式通知招标人。补充、修改的内容为投标文件的组成部分。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28.2  投标人对投标文件的补充、修改，应按本须知第25条、第26条和第27条有关规定密封、标记和提交，并在投标文件密封袋上清楚标明“补充”、“修改”字样。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28.3  在投标截止时间之后，投标人不得补充、修改投标文件。</w:t>
      </w:r>
    </w:p>
    <w:p>
      <w:pPr>
        <w:spacing w:before="95" w:beforeLines="30" w:after="95" w:afterLines="30" w:line="440" w:lineRule="exact"/>
        <w:jc w:val="center"/>
        <w:outlineLvl w:val="1"/>
        <w:rPr>
          <w:rFonts w:ascii="宋体" w:hAnsi="宋体" w:cs="宋体"/>
          <w:b/>
          <w:bCs/>
          <w:color w:val="auto"/>
          <w:sz w:val="24"/>
          <w:szCs w:val="24"/>
          <w:highlight w:val="none"/>
        </w:rPr>
      </w:pPr>
      <w:bookmarkStart w:id="46" w:name="_Toc18173"/>
      <w:r>
        <w:rPr>
          <w:rFonts w:hint="eastAsia" w:ascii="宋体" w:hAnsi="宋体" w:cs="宋体"/>
          <w:b/>
          <w:bCs/>
          <w:color w:val="auto"/>
          <w:sz w:val="24"/>
          <w:szCs w:val="24"/>
          <w:highlight w:val="none"/>
        </w:rPr>
        <w:t>五、开标、评标和定标</w:t>
      </w:r>
      <w:bookmarkEnd w:id="46"/>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   开标</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开标的时间和地点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29.1.1招标人按本须知第27.1条提交投标文件的截止时间和地点公开开标，并邀请所有投标人参加。</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参与开标的相关部门：招标人等。</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对参加开标的投标人的要求</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29.3.1 投标人的法定代表人（或委托代理人）必须准时参加开标会议</w:t>
      </w:r>
      <w:r>
        <w:rPr>
          <w:rFonts w:hint="eastAsia" w:ascii="宋体" w:hAnsi="宋体" w:eastAsia="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29.4  开标程序</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①开标会议由招标代理机构：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滁州市城投工程咨询管理有限公司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（招标代理公司）主持；</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②公布在投标截止时间前递交投标文件的投标人名称，并确认投标单位相关人员是否到场；</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③由投标人或其推选的代表检查投标文件的密封情况，也可以由招标人委托的公证机构检查并公证；</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④经确认无误后，有关工作人员当众拆封，宣读投标人名称和投标报价等内容；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⑤经投标文件评审后，由评标委员会按修正后的投标报价由低到高顺序排序，确定中标候选人；</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⑥代理公司对开标过程进行记录，并存档备查。</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   评标</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  评标办法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30.1.1评标委员会按照第三章“评标办法”规定的方法、评审因素、标准和程序对投标文件进行评审。第三章“评标办法”没有规定的方法、评审因素和标准，不作为评标依据。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否决投标情况</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31.1  投标文件出现下列情形之一的，应当否决其投标：</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逾期送达的或未送达指定地点的；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未按招标文件要求密封的；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,3)</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无单位盖章、无法定代表人或法定代表人授权的代理人签字或盖章的；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,4)</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未按规定的格式填写，内容不全或关键字迹模糊、无法辨认的；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⑤工期或质量不符合招标文件要求的；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,6)</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未按要求缴纳投标保证金的；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本项目不采用</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⑦授权代表未出席开标会议；</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⑧法律、法规、规章和招标文件规定的其他否决投标情形。</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定标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bookmarkStart w:id="47" w:name="_Toc21491"/>
      <w:r>
        <w:rPr>
          <w:rFonts w:hint="eastAsia" w:ascii="宋体" w:hAnsi="宋体" w:eastAsia="宋体" w:cs="宋体"/>
          <w:color w:val="auto"/>
          <w:sz w:val="24"/>
          <w:szCs w:val="24"/>
          <w:highlight w:val="none"/>
        </w:rPr>
        <w:t>32.1 中标人的确定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32.1.1除投标人须知前附表规定评标委员会直接确定中标人外，</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依据评标委员会推荐的中标候选人确定中标人，评标委员会推荐中标候选人的人数见投标人须知前附表。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32.1.2中标人确定后，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应将中标信息在网站上公告。</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中标通知书</w:t>
      </w:r>
    </w:p>
    <w:p>
      <w:pPr>
        <w:pStyle w:val="1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32.2.1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或采购代理机构应在中标人确定之日起2个工作日内，向中标人发出中标通知书。</w:t>
      </w:r>
    </w:p>
    <w:p>
      <w:pPr>
        <w:spacing w:before="95" w:beforeLines="30" w:after="95" w:afterLines="3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六、合同的授予</w:t>
      </w:r>
      <w:bookmarkEnd w:id="4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33.   合同授予标准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33.1  本招标工程的合同授予按本须知第32条规定所确定的中标人。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34.   合同协议书的签订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34.1  中标通知书发放后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日内，按照招标文件和中标人的投标文件订立书面合同。招标人和中标人不得再行订立背离合同实质性内容的其他协议。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34.2  招标人如不按本投标须知第33条的规定与中标人订立合同，或者招标人、中标人订立背离合同实质性内容的协议，招标人应当按给投标人造成的损失予以赔偿，同时依法承担相应法律责任。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34.3  中标人如不按本投标须知第33条的规定与招标人订立合同，则招标人将取消其中标资格，给招标人造成的损失予以赔偿，同时依法承担相应法律责任。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34.4  中标人应当按照合同约定履行义务，完成中标项目的实施，不得将中标项目转让（转包）给他人。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35.履约保证金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35.1</w:t>
      </w:r>
      <w:r>
        <w:rPr>
          <w:rFonts w:hint="eastAsia" w:ascii="宋体" w:hAnsi="宋体" w:cs="宋体"/>
          <w:color w:val="auto"/>
          <w:sz w:val="24"/>
          <w:szCs w:val="24"/>
          <w:highlight w:val="none"/>
          <w:lang w:val="en-US" w:eastAsia="zh-CN"/>
        </w:rPr>
        <w:t>详见须知前附表</w:t>
      </w:r>
    </w:p>
    <w:p>
      <w:pPr>
        <w:adjustRightInd w:val="0"/>
        <w:snapToGrid w:val="0"/>
        <w:spacing w:line="440" w:lineRule="exact"/>
        <w:jc w:val="center"/>
        <w:rPr>
          <w:rFonts w:hint="eastAsia" w:ascii="黑体" w:eastAsia="黑体"/>
          <w:color w:val="auto"/>
          <w:sz w:val="28"/>
          <w:szCs w:val="28"/>
          <w:highlight w:val="none"/>
        </w:rPr>
      </w:pPr>
      <w:bookmarkStart w:id="48" w:name="_Toc449028874"/>
    </w:p>
    <w:p>
      <w:pPr>
        <w:adjustRightInd w:val="0"/>
        <w:snapToGrid w:val="0"/>
        <w:spacing w:line="440" w:lineRule="exact"/>
        <w:jc w:val="center"/>
        <w:rPr>
          <w:rFonts w:hint="eastAsia" w:ascii="黑体" w:eastAsia="黑体"/>
          <w:color w:val="auto"/>
          <w:sz w:val="28"/>
          <w:szCs w:val="28"/>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纪律和监督</w:t>
      </w:r>
      <w:bookmarkEnd w:id="48"/>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37. 对</w:t>
      </w:r>
      <w:r>
        <w:rPr>
          <w:rFonts w:hint="eastAsia" w:ascii="宋体"/>
          <w:b/>
          <w:color w:val="auto"/>
          <w:sz w:val="24"/>
          <w:szCs w:val="24"/>
          <w:highlight w:val="none"/>
          <w:lang w:eastAsia="zh-CN"/>
        </w:rPr>
        <w:t>招标人</w:t>
      </w:r>
      <w:r>
        <w:rPr>
          <w:rFonts w:hint="eastAsia" w:ascii="宋体"/>
          <w:b/>
          <w:color w:val="auto"/>
          <w:sz w:val="24"/>
          <w:szCs w:val="24"/>
          <w:highlight w:val="none"/>
        </w:rPr>
        <w:t xml:space="preserve">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37.1</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 xml:space="preserve">不得泄漏招标投标活动中应当保密的情况和资料，不得与投标人串通损害国家利益，社会公共利益或者他人合法权益。 </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 xml:space="preserve">38. 对投标人的纪律要求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38.1投标人不得相互串通投标或者与</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串通投标，不得向</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 xml:space="preserve">39. 对评标委员会成员的纪律要求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39.1评标委员会成员不得收受他人的财物或者其他好处，不得向他人透漏对投标文件的评审和比较、中标候选人的推荐情况以及评标有关的其他情况。</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 xml:space="preserve">39.2在评标活动中，评标委员会成员不得擅离职守，影响评标程序正常进行，不得使用第三章“评标办法”没有规定的评审因素和标准进行评标。 </w:t>
      </w:r>
    </w:p>
    <w:p>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 xml:space="preserve">40. 对与评标活动有关的工作人员的纪律要求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40.1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djustRightInd w:val="0"/>
        <w:snapToGrid w:val="0"/>
        <w:spacing w:line="440" w:lineRule="exact"/>
        <w:jc w:val="center"/>
        <w:rPr>
          <w:rFonts w:hint="eastAsia" w:ascii="宋体" w:hAnsi="宋体" w:eastAsia="宋体" w:cs="宋体"/>
          <w:b/>
          <w:bCs/>
          <w:color w:val="auto"/>
          <w:sz w:val="24"/>
          <w:szCs w:val="24"/>
          <w:highlight w:val="none"/>
          <w:lang w:val="en-US" w:eastAsia="zh-CN"/>
        </w:rPr>
      </w:pPr>
      <w:bookmarkStart w:id="49" w:name="_Toc449028875"/>
    </w:p>
    <w:p>
      <w:pPr>
        <w:adjustRightInd w:val="0"/>
        <w:snapToGrid w:val="0"/>
        <w:spacing w:line="44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八、质疑与投诉</w:t>
      </w:r>
      <w:bookmarkEnd w:id="49"/>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 xml:space="preserve">41. </w:t>
      </w:r>
      <w:r>
        <w:rPr>
          <w:rFonts w:hint="eastAsia" w:ascii="宋体" w:hAnsi="宋体"/>
          <w:b/>
          <w:color w:val="auto"/>
          <w:sz w:val="24"/>
          <w:szCs w:val="24"/>
          <w:highlight w:val="none"/>
          <w:lang w:val="en-US" w:eastAsia="zh-CN"/>
        </w:rPr>
        <w:t>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41.1  若投标人或者其他利害关系人对</w:t>
      </w:r>
      <w:r>
        <w:rPr>
          <w:rFonts w:hint="eastAsia" w:ascii="宋体" w:hAnsi="Times New Roman" w:eastAsia="宋体" w:cs="Times New Roman"/>
          <w:color w:val="auto"/>
          <w:kern w:val="10"/>
          <w:sz w:val="24"/>
          <w:szCs w:val="24"/>
          <w:highlight w:val="none"/>
          <w:lang w:val="en-US" w:eastAsia="zh-CN"/>
        </w:rPr>
        <w:t>中标</w:t>
      </w:r>
      <w:r>
        <w:rPr>
          <w:rFonts w:hint="eastAsia" w:ascii="宋体" w:hAnsi="Times New Roman" w:eastAsia="宋体" w:cs="Times New Roman"/>
          <w:color w:val="auto"/>
          <w:kern w:val="10"/>
          <w:sz w:val="24"/>
          <w:szCs w:val="24"/>
          <w:highlight w:val="none"/>
          <w:lang w:eastAsia="zh-CN"/>
        </w:rPr>
        <w:t>结果有异议，可在公示期内以书面形式，并在工作时间内（上午8:00-12:00,下午2:30-5:30）向招标人或招标代理机构提出异议。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异议应以书面形式实名提出，书面异议材料应当包括以下内容：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（1）异议人的名称、地址、有效联系方式；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（2）项目名称、项目编号、标段号（如有）；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（3）被异议人名称；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（4）具体的异议事项、基本事实及必要的证明材料；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（5）明确的请求及主张；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（6）提起异议的日期。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（7）异议人为法人的，应当由法定代表人或授权代表签字并加盖公章；为其他组织或个人的，异议材料须由其主要负责人或者异议人本人签字，并附有效身份证明复印件。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（8）异议人需要修改、补充异议材料的，应当在招标人或招标代理机构规定的期限内提交修改或补充材料。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xml:space="preserve">  </w:t>
      </w:r>
      <w:r>
        <w:rPr>
          <w:rFonts w:hint="eastAsia" w:ascii="宋体" w:hAnsi="Times New Roman" w:eastAsia="宋体" w:cs="Times New Roman"/>
          <w:color w:val="auto"/>
          <w:kern w:val="10"/>
          <w:sz w:val="24"/>
          <w:szCs w:val="24"/>
          <w:highlight w:val="none"/>
          <w:lang w:val="en-US" w:eastAsia="zh-CN"/>
        </w:rPr>
        <w:t xml:space="preserve"> 41.2</w:t>
      </w:r>
      <w:r>
        <w:rPr>
          <w:rFonts w:hint="eastAsia" w:ascii="宋体" w:hAnsi="Times New Roman" w:eastAsia="宋体" w:cs="Times New Roman"/>
          <w:color w:val="auto"/>
          <w:kern w:val="10"/>
          <w:sz w:val="24"/>
          <w:szCs w:val="24"/>
          <w:highlight w:val="none"/>
          <w:lang w:eastAsia="zh-CN"/>
        </w:rPr>
        <w:t> </w:t>
      </w:r>
      <w:r>
        <w:rPr>
          <w:rFonts w:hint="eastAsia" w:ascii="宋体" w:hAnsi="Times New Roman" w:eastAsia="宋体" w:cs="Times New Roman"/>
          <w:color w:val="auto"/>
          <w:kern w:val="10"/>
          <w:sz w:val="24"/>
          <w:szCs w:val="24"/>
          <w:highlight w:val="none"/>
          <w:lang w:val="en-US" w:eastAsia="zh-CN"/>
        </w:rPr>
        <w:t xml:space="preserve">  </w:t>
      </w:r>
      <w:r>
        <w:rPr>
          <w:rFonts w:hint="eastAsia" w:ascii="宋体" w:hAnsi="Times New Roman" w:eastAsia="宋体" w:cs="Times New Roman"/>
          <w:color w:val="auto"/>
          <w:kern w:val="10"/>
          <w:sz w:val="24"/>
          <w:szCs w:val="24"/>
          <w:highlight w:val="none"/>
          <w:lang w:eastAsia="zh-CN"/>
        </w:rPr>
        <w:t>有下列情形之一的，不予受理：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（1）提出异议的主体不是所异议项目投标人或者其他利害关系人的；</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对于依法必须招标的项目，未在公示期间提出异议的；</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（3）异议材料不完整的；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（4）异议事项含有主观猜测等内容且未提供有效线索、难以查证的；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（5）对其他投标人的投标文件详细内容异议，无法提供合法来源渠道的；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（6）异议事项已进入投诉处理、行政复议或行政诉讼程序的。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41.3 投标人或其他利害关系人对招标文件有异议的，应在投标截止时间10日前以网上留言或书面形式（包括信函、电报、传真等可以有形的表现所载内容的形式，下同）提出。招标人将在收到异议之日起3日内作出答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41.4投标人对开标有异议的，应当在开标现场提出，招标人当场作出答复，并制作记录。异议与答复应通过电子交易系统进行。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rPr>
        <w:t>42. 投诉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sz w:val="24"/>
          <w:szCs w:val="24"/>
          <w:highlight w:val="none"/>
        </w:rPr>
      </w:pPr>
      <w:r>
        <w:rPr>
          <w:rFonts w:hint="eastAsia" w:ascii="宋体" w:hAnsi="宋体"/>
          <w:color w:val="auto"/>
          <w:sz w:val="24"/>
          <w:szCs w:val="24"/>
          <w:highlight w:val="none"/>
        </w:rPr>
        <w:t>42.1</w:t>
      </w:r>
      <w:r>
        <w:rPr>
          <w:rFonts w:hint="eastAsia" w:ascii="宋体" w:hAnsi="宋体" w:cs="宋体"/>
          <w:color w:val="auto"/>
          <w:sz w:val="24"/>
          <w:szCs w:val="24"/>
          <w:highlight w:val="none"/>
        </w:rPr>
        <w:t>投标人和其他利害关系人认为本次招标活动违反法律、法规和规章规定的，有权向有关行政监督部门投诉。投诉应当有明确的请求和必要的证明材料。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sz w:val="24"/>
          <w:szCs w:val="24"/>
          <w:highlight w:val="none"/>
        </w:rPr>
      </w:pPr>
      <w:r>
        <w:rPr>
          <w:rFonts w:hint="eastAsia" w:ascii="宋体" w:hAnsi="宋体" w:cs="宋体"/>
          <w:color w:val="auto"/>
          <w:sz w:val="24"/>
          <w:szCs w:val="24"/>
          <w:highlight w:val="none"/>
          <w:lang w:val="en-US" w:eastAsia="zh-CN"/>
        </w:rPr>
        <w:t>42.2</w:t>
      </w:r>
      <w:r>
        <w:rPr>
          <w:rFonts w:hint="eastAsia" w:ascii="宋体" w:hAnsi="宋体" w:cs="宋体"/>
          <w:color w:val="auto"/>
          <w:sz w:val="24"/>
          <w:szCs w:val="24"/>
          <w:highlight w:val="none"/>
        </w:rPr>
        <w:t>投标人和其他利害关系人对评标结果等事项投诉的，应当在开标期间或中标</w:t>
      </w:r>
      <w:r>
        <w:rPr>
          <w:rFonts w:hint="eastAsia" w:ascii="宋体" w:hAnsi="宋体" w:cs="宋体"/>
          <w:color w:val="auto"/>
          <w:sz w:val="24"/>
          <w:szCs w:val="24"/>
          <w:highlight w:val="none"/>
          <w:lang w:val="en-US" w:eastAsia="zh-CN"/>
        </w:rPr>
        <w:t>结果</w:t>
      </w:r>
      <w:r>
        <w:rPr>
          <w:rFonts w:hint="eastAsia" w:ascii="宋体" w:hAnsi="宋体" w:cs="宋体"/>
          <w:color w:val="auto"/>
          <w:sz w:val="24"/>
          <w:szCs w:val="24"/>
          <w:highlight w:val="none"/>
        </w:rPr>
        <w:t>公示期间，先向招标人提出异议。</w:t>
      </w:r>
      <w:r>
        <w:rPr>
          <w:rFonts w:hint="eastAsia" w:ascii="宋体" w:hAnsi="宋体" w:cs="宋体"/>
          <w:b/>
          <w:bCs/>
          <w:color w:val="auto"/>
          <w:sz w:val="24"/>
          <w:szCs w:val="24"/>
          <w:highlight w:val="none"/>
        </w:rPr>
        <w:t>注：一份质疑（异议）函只能针对一个项目提出质疑（异议），且针对同一招标采购程序环节的质疑（异议）应当一次性提出。</w:t>
      </w:r>
    </w:p>
    <w:p>
      <w:pPr>
        <w:rPr>
          <w:rFonts w:ascii="仿宋" w:hAnsi="仿宋" w:eastAsia="仿宋" w:cs="仿宋"/>
          <w:b/>
          <w:color w:val="auto"/>
          <w:sz w:val="24"/>
          <w:szCs w:val="24"/>
          <w:highlight w:val="none"/>
        </w:rPr>
      </w:pPr>
      <w:r>
        <w:rPr>
          <w:rFonts w:ascii="宋体"/>
          <w:b/>
          <w:color w:val="auto"/>
          <w:sz w:val="24"/>
          <w:szCs w:val="24"/>
          <w:highlight w:val="none"/>
        </w:rPr>
        <w:br w:type="page"/>
      </w:r>
    </w:p>
    <w:p>
      <w:pPr>
        <w:spacing w:before="156" w:beforeLines="50" w:after="156" w:afterLines="50"/>
        <w:jc w:val="center"/>
        <w:outlineLvl w:val="0"/>
        <w:rPr>
          <w:rFonts w:hint="eastAsia" w:ascii="宋体"/>
          <w:b/>
          <w:color w:val="auto"/>
          <w:sz w:val="32"/>
          <w:szCs w:val="32"/>
          <w:highlight w:val="none"/>
        </w:rPr>
      </w:pPr>
      <w:bookmarkStart w:id="50" w:name="_Toc58430316"/>
      <w:bookmarkStart w:id="51" w:name="_Toc32192"/>
      <w:bookmarkStart w:id="52" w:name="_Toc14115"/>
      <w:bookmarkStart w:id="53" w:name="_Toc3222"/>
      <w:bookmarkStart w:id="54" w:name="_Toc12737"/>
      <w:bookmarkStart w:id="55" w:name="_Toc31589_WPSOffice_Level1"/>
      <w:r>
        <w:rPr>
          <w:rFonts w:hint="eastAsia" w:ascii="宋体"/>
          <w:b/>
          <w:color w:val="auto"/>
          <w:sz w:val="32"/>
          <w:szCs w:val="32"/>
          <w:highlight w:val="none"/>
        </w:rPr>
        <w:t>第三章 评标办法（</w:t>
      </w:r>
      <w:r>
        <w:rPr>
          <w:rFonts w:hint="eastAsia" w:ascii="宋体"/>
          <w:b/>
          <w:color w:val="auto"/>
          <w:sz w:val="32"/>
          <w:szCs w:val="32"/>
          <w:highlight w:val="none"/>
          <w:lang w:eastAsia="zh-CN"/>
        </w:rPr>
        <w:t>综合评估法</w:t>
      </w:r>
      <w:r>
        <w:rPr>
          <w:rFonts w:hint="eastAsia" w:ascii="宋体"/>
          <w:b/>
          <w:color w:val="auto"/>
          <w:sz w:val="32"/>
          <w:szCs w:val="32"/>
          <w:highlight w:val="none"/>
        </w:rPr>
        <w:t>）</w:t>
      </w:r>
      <w:bookmarkEnd w:id="50"/>
      <w:bookmarkEnd w:id="51"/>
      <w:bookmarkEnd w:id="52"/>
    </w:p>
    <w:p>
      <w:pPr>
        <w:spacing w:before="156" w:beforeLines="50" w:after="156" w:afterLines="50" w:line="440" w:lineRule="exact"/>
        <w:jc w:val="center"/>
        <w:outlineLvl w:val="1"/>
        <w:rPr>
          <w:rFonts w:hint="eastAsia" w:ascii="宋体"/>
          <w:b/>
          <w:color w:val="auto"/>
          <w:sz w:val="28"/>
          <w:szCs w:val="28"/>
          <w:highlight w:val="none"/>
        </w:rPr>
      </w:pPr>
      <w:bookmarkStart w:id="56" w:name="_Toc362983801"/>
      <w:bookmarkStart w:id="57" w:name="_Toc58430317"/>
      <w:bookmarkStart w:id="58" w:name="_Toc449028877"/>
      <w:bookmarkStart w:id="59" w:name="_Toc267320058"/>
      <w:bookmarkStart w:id="60" w:name="_Toc363135205"/>
      <w:r>
        <w:rPr>
          <w:rFonts w:hint="eastAsia" w:ascii="宋体"/>
          <w:b/>
          <w:color w:val="auto"/>
          <w:sz w:val="28"/>
          <w:szCs w:val="28"/>
          <w:highlight w:val="none"/>
        </w:rPr>
        <w:t>一、总</w:t>
      </w:r>
      <w:r>
        <w:rPr>
          <w:rFonts w:hint="eastAsia" w:ascii="宋体"/>
          <w:b/>
          <w:color w:val="auto"/>
          <w:sz w:val="28"/>
          <w:szCs w:val="28"/>
          <w:highlight w:val="none"/>
          <w:lang w:val="en-US" w:eastAsia="zh-CN"/>
        </w:rPr>
        <w:t xml:space="preserve"> </w:t>
      </w:r>
      <w:r>
        <w:rPr>
          <w:rFonts w:hint="eastAsia" w:ascii="宋体"/>
          <w:b/>
          <w:color w:val="auto"/>
          <w:sz w:val="28"/>
          <w:szCs w:val="28"/>
          <w:highlight w:val="none"/>
        </w:rPr>
        <w:t>则</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440" w:lineRule="exact"/>
        <w:ind w:firstLine="361" w:firstLineChars="150"/>
        <w:jc w:val="left"/>
        <w:textAlignment w:val="auto"/>
        <w:rPr>
          <w:rFonts w:hint="eastAsia" w:ascii="宋体" w:eastAsia="宋体"/>
          <w:b/>
          <w:color w:val="auto"/>
          <w:sz w:val="24"/>
          <w:szCs w:val="24"/>
          <w:highlight w:val="none"/>
          <w:lang w:eastAsia="zh-CN"/>
        </w:rPr>
      </w:pPr>
      <w:r>
        <w:rPr>
          <w:rFonts w:hint="eastAsia" w:ascii="宋体"/>
          <w:b/>
          <w:color w:val="auto"/>
          <w:sz w:val="24"/>
          <w:szCs w:val="24"/>
          <w:highlight w:val="none"/>
        </w:rPr>
        <w:t xml:space="preserve"> 1. 本次评标采用</w:t>
      </w:r>
      <w:r>
        <w:rPr>
          <w:rFonts w:hint="eastAsia" w:ascii="宋体"/>
          <w:b/>
          <w:color w:val="auto"/>
          <w:sz w:val="24"/>
          <w:szCs w:val="24"/>
          <w:highlight w:val="none"/>
          <w:lang w:eastAsia="zh-CN"/>
        </w:rPr>
        <w:t>综合评估法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color w:val="auto"/>
          <w:sz w:val="24"/>
          <w:szCs w:val="24"/>
          <w:highlight w:val="none"/>
        </w:rPr>
        <w:t>1.1</w:t>
      </w:r>
      <w:r>
        <w:rPr>
          <w:rFonts w:hint="eastAsia" w:ascii="宋体"/>
          <w:color w:val="auto"/>
          <w:sz w:val="24"/>
          <w:szCs w:val="24"/>
          <w:highlight w:val="none"/>
          <w:lang w:eastAsia="zh-CN"/>
        </w:rPr>
        <w:t>综合评估法</w:t>
      </w:r>
      <w:r>
        <w:rPr>
          <w:rFonts w:hint="eastAsia" w:ascii="宋体"/>
          <w:color w:val="auto"/>
          <w:sz w:val="24"/>
          <w:szCs w:val="24"/>
          <w:highlight w:val="none"/>
        </w:rPr>
        <w:t>是指投标文件满足招标文件全部实质性要求且按照评审因素的量化指标评审总得分从高到低的</w:t>
      </w:r>
      <w:r>
        <w:rPr>
          <w:rFonts w:hint="eastAsia" w:ascii="宋体"/>
          <w:color w:val="auto"/>
          <w:sz w:val="24"/>
          <w:szCs w:val="24"/>
          <w:highlight w:val="none"/>
          <w:lang w:eastAsia="zh-CN"/>
        </w:rPr>
        <w:t>投标人</w:t>
      </w:r>
      <w:r>
        <w:rPr>
          <w:rFonts w:hint="eastAsia" w:ascii="宋体"/>
          <w:color w:val="auto"/>
          <w:sz w:val="24"/>
          <w:szCs w:val="24"/>
          <w:highlight w:val="none"/>
        </w:rPr>
        <w:t>为中标候选人的评标方法。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 1.2</w:t>
      </w:r>
      <w:r>
        <w:rPr>
          <w:rFonts w:hint="eastAsia" w:ascii="宋体"/>
          <w:color w:val="auto"/>
          <w:sz w:val="24"/>
          <w:szCs w:val="24"/>
          <w:highlight w:val="none"/>
          <w:lang w:eastAsia="zh-CN"/>
        </w:rPr>
        <w:t>综合评估法</w:t>
      </w:r>
      <w:r>
        <w:rPr>
          <w:rFonts w:hint="eastAsia" w:ascii="宋体"/>
          <w:color w:val="auto"/>
          <w:sz w:val="24"/>
          <w:szCs w:val="24"/>
          <w:highlight w:val="none"/>
        </w:rPr>
        <w:t>一般适用于较为复杂、评价指标难以量化且价格为非主要因素的非标准定制商品和非通用服务项目的项目评审。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b/>
          <w:color w:val="auto"/>
          <w:sz w:val="24"/>
          <w:szCs w:val="24"/>
          <w:highlight w:val="none"/>
        </w:rPr>
      </w:pPr>
      <w:r>
        <w:rPr>
          <w:rFonts w:hint="eastAsia" w:ascii="宋体"/>
          <w:b/>
          <w:color w:val="auto"/>
          <w:sz w:val="24"/>
          <w:szCs w:val="24"/>
          <w:highlight w:val="none"/>
        </w:rPr>
        <w:t>2．评标程序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2.1投标文件的初审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2.1.1资格性检查。依据法律法规和招标文件的规定，对投标文件进行审查，以确定投标人是否具备投标资格。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2.1.2符合性检查。依据招标文件的规定，从投标文件的有效性、完整性和对招标文件的响应程度进行审查，以确定投标人是否对招标文件的实质性要求作出响应。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2.2投标文件的澄清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2.2.1在评标过程中，评标委员会认为需要，在见证人员在场的情况下，可要求投标人对投标文件中的有关问题进行澄清或提供补充说明及有关资料，投标人应做出书面答复。书面答复中不得变更价格、供货期、自报质量等实质性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2.2.3  </w:t>
      </w:r>
      <w:r>
        <w:rPr>
          <w:rFonts w:hint="eastAsia" w:ascii="宋体"/>
          <w:color w:val="auto"/>
          <w:sz w:val="24"/>
          <w:szCs w:val="24"/>
          <w:highlight w:val="none"/>
          <w:lang w:eastAsia="zh-CN"/>
        </w:rPr>
        <w:t>招标人</w:t>
      </w:r>
      <w:r>
        <w:rPr>
          <w:rFonts w:hint="eastAsia" w:ascii="宋体"/>
          <w:color w:val="auto"/>
          <w:sz w:val="24"/>
          <w:szCs w:val="24"/>
          <w:highlight w:val="none"/>
        </w:rPr>
        <w:t>不接受投标人主动提出的澄清。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2.3比较与评价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2．3.1按招标文件中规定的评标方法和标准，对资格性检查和符合性检查合格的投标文件进行资信、商务评估，综合比较与评价。 </w:t>
      </w:r>
      <w:r>
        <w:rPr>
          <w:rFonts w:hint="eastAsia" w:ascii="宋体"/>
          <w:color w:val="auto"/>
          <w:sz w:val="24"/>
          <w:szCs w:val="24"/>
          <w:highlight w:val="none"/>
        </w:rPr>
        <w:br w:type="textWrapping"/>
      </w:r>
      <w:r>
        <w:rPr>
          <w:rFonts w:hint="eastAsia" w:ascii="宋体"/>
          <w:color w:val="auto"/>
          <w:sz w:val="24"/>
          <w:szCs w:val="24"/>
          <w:highlight w:val="none"/>
        </w:rPr>
        <w:t xml:space="preserve">    2.4推荐中标候选人名单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2.4.1中标候选人数量应当根据采购需要确定，但必须按顺序排列中标候选人。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2.5在投标文件的审查、澄清、评价和比较以及授予合同过程中，投标人对</w:t>
      </w:r>
      <w:r>
        <w:rPr>
          <w:rFonts w:hint="eastAsia" w:ascii="宋体"/>
          <w:color w:val="auto"/>
          <w:sz w:val="24"/>
          <w:szCs w:val="24"/>
          <w:highlight w:val="none"/>
          <w:lang w:eastAsia="zh-CN"/>
        </w:rPr>
        <w:t>招标人</w:t>
      </w:r>
      <w:r>
        <w:rPr>
          <w:rFonts w:hint="eastAsia" w:ascii="宋体"/>
          <w:color w:val="auto"/>
          <w:sz w:val="24"/>
          <w:szCs w:val="24"/>
          <w:highlight w:val="none"/>
        </w:rPr>
        <w:t>和评标委员会成员施加影响的任何行为，都将导致取消其中标资格。</w:t>
      </w:r>
    </w:p>
    <w:p>
      <w:pPr>
        <w:spacing w:before="156" w:beforeLines="50" w:after="156" w:afterLines="50" w:line="360" w:lineRule="auto"/>
        <w:outlineLvl w:val="1"/>
        <w:rPr>
          <w:rFonts w:ascii="宋体"/>
          <w:b/>
          <w:color w:val="auto"/>
          <w:sz w:val="24"/>
          <w:szCs w:val="24"/>
          <w:highlight w:val="none"/>
        </w:rPr>
        <w:sectPr>
          <w:footerReference r:id="rId9" w:type="default"/>
          <w:pgSz w:w="11906" w:h="16838"/>
          <w:pgMar w:top="1440" w:right="1040" w:bottom="1440" w:left="1406" w:header="851" w:footer="992" w:gutter="0"/>
          <w:pgNumType w:fmt="decimal" w:start="1"/>
          <w:cols w:space="720" w:num="1"/>
          <w:docGrid w:type="lines" w:linePitch="312" w:charSpace="0"/>
        </w:sectPr>
      </w:pPr>
      <w:bookmarkStart w:id="61" w:name="_Toc362983802"/>
    </w:p>
    <w:p>
      <w:pPr>
        <w:jc w:val="center"/>
        <w:outlineLvl w:val="1"/>
        <w:rPr>
          <w:rFonts w:hint="eastAsia" w:ascii="宋体" w:eastAsia="宋体"/>
          <w:b/>
          <w:color w:val="auto"/>
          <w:sz w:val="28"/>
          <w:szCs w:val="28"/>
          <w:highlight w:val="none"/>
          <w:lang w:eastAsia="zh-CN"/>
        </w:rPr>
      </w:pPr>
      <w:bookmarkStart w:id="62" w:name="_Toc449028878"/>
      <w:bookmarkStart w:id="63" w:name="_Toc58430318"/>
      <w:r>
        <w:rPr>
          <w:rFonts w:hint="eastAsia" w:ascii="宋体"/>
          <w:b/>
          <w:color w:val="auto"/>
          <w:sz w:val="28"/>
          <w:szCs w:val="28"/>
          <w:highlight w:val="none"/>
        </w:rPr>
        <w:t>二、投标文件</w:t>
      </w:r>
      <w:bookmarkEnd w:id="61"/>
      <w:bookmarkEnd w:id="62"/>
      <w:bookmarkEnd w:id="63"/>
      <w:r>
        <w:rPr>
          <w:rFonts w:hint="eastAsia" w:ascii="宋体"/>
          <w:b/>
          <w:color w:val="auto"/>
          <w:sz w:val="28"/>
          <w:szCs w:val="28"/>
          <w:highlight w:val="none"/>
          <w:lang w:val="en-US" w:eastAsia="zh-CN"/>
        </w:rPr>
        <w:t>评审</w:t>
      </w:r>
    </w:p>
    <w:p>
      <w:pPr>
        <w:pageBreakBefore w:val="0"/>
        <w:widowControl w:val="0"/>
        <w:kinsoku/>
        <w:wordWrap/>
        <w:overflowPunct/>
        <w:topLinePunct w:val="0"/>
        <w:autoSpaceDN/>
        <w:bidi w:val="0"/>
        <w:adjustRightInd/>
        <w:snapToGrid/>
        <w:spacing w:line="440" w:lineRule="exact"/>
        <w:ind w:firstLine="422" w:firstLineChars="200"/>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1</w:t>
      </w:r>
      <w:r>
        <w:rPr>
          <w:rFonts w:hint="eastAsia" w:ascii="宋体"/>
          <w:b/>
          <w:color w:val="auto"/>
          <w:sz w:val="21"/>
          <w:szCs w:val="21"/>
          <w:highlight w:val="none"/>
        </w:rPr>
        <w:t>.资格性审查:</w:t>
      </w:r>
    </w:p>
    <w:p>
      <w:pPr>
        <w:pageBreakBefore w:val="0"/>
        <w:widowControl w:val="0"/>
        <w:kinsoku/>
        <w:wordWrap/>
        <w:overflowPunct/>
        <w:topLinePunct w:val="0"/>
        <w:autoSpaceDN/>
        <w:bidi w:val="0"/>
        <w:adjustRightInd/>
        <w:snapToGrid/>
        <w:spacing w:line="440" w:lineRule="exact"/>
        <w:ind w:firstLine="420" w:firstLineChars="200"/>
        <w:textAlignment w:val="auto"/>
        <w:rPr>
          <w:rFonts w:hint="eastAsia"/>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rPr>
        <w:t>.1</w:t>
      </w:r>
      <w:r>
        <w:rPr>
          <w:rFonts w:hint="eastAsia"/>
          <w:color w:val="auto"/>
          <w:sz w:val="21"/>
          <w:szCs w:val="21"/>
          <w:highlight w:val="none"/>
        </w:rPr>
        <w:t>评审细则</w:t>
      </w:r>
    </w:p>
    <w:tbl>
      <w:tblPr>
        <w:tblStyle w:val="45"/>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61"/>
        <w:gridCol w:w="8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30" w:type="dxa"/>
            <w:gridSpan w:val="2"/>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黑体" w:hAnsi="黑体" w:eastAsia="黑体" w:cs="宋体"/>
                <w:b/>
                <w:bCs/>
                <w:color w:val="auto"/>
                <w:sz w:val="21"/>
                <w:szCs w:val="21"/>
                <w:highlight w:val="none"/>
              </w:rPr>
              <w:t>条款号</w:t>
            </w:r>
          </w:p>
        </w:tc>
        <w:tc>
          <w:tcPr>
            <w:tcW w:w="8344" w:type="dxa"/>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黑体" w:hAnsi="黑体" w:eastAsia="黑体" w:cs="宋体"/>
                <w:b/>
                <w:bCs/>
                <w:color w:val="auto"/>
                <w:sz w:val="21"/>
                <w:szCs w:val="21"/>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9" w:type="dxa"/>
            <w:vMerge w:val="restart"/>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061" w:type="dxa"/>
            <w:vMerge w:val="restart"/>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jc w:val="both"/>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审查资料</w:t>
            </w:r>
          </w:p>
        </w:tc>
        <w:tc>
          <w:tcPr>
            <w:tcW w:w="8344" w:type="dxa"/>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法定代表人身份证明文件和本人有效身份证(或法定代表人授权委托书和委托代理人有效身份证) （格式见附件）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9"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8344" w:type="dxa"/>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color w:val="auto"/>
                <w:sz w:val="21"/>
                <w:szCs w:val="21"/>
                <w:highlight w:val="none"/>
              </w:rPr>
            </w:pPr>
            <w:r>
              <w:rPr>
                <w:rFonts w:hint="eastAsia" w:ascii="宋体" w:hAnsi="宋体" w:cs="宋体"/>
                <w:color w:val="auto"/>
                <w:sz w:val="21"/>
                <w:szCs w:val="21"/>
                <w:highlight w:val="none"/>
              </w:rPr>
              <w:t>诚信投标承诺书（格式见附件）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9"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8344" w:type="dxa"/>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投标人营业执照</w:t>
            </w:r>
            <w:r>
              <w:rPr>
                <w:rFonts w:hint="eastAsia" w:ascii="宋体" w:hAnsi="宋体"/>
                <w:color w:val="auto"/>
                <w:sz w:val="21"/>
                <w:szCs w:val="21"/>
                <w:highlight w:val="none"/>
              </w:rPr>
              <w:t>（或三证合一的有效证件）</w:t>
            </w:r>
            <w:r>
              <w:rPr>
                <w:rFonts w:hint="eastAsia" w:ascii="宋体" w:hAnsi="宋体" w:cs="宋体"/>
                <w:color w:val="auto"/>
                <w:sz w:val="21"/>
                <w:szCs w:val="21"/>
                <w:highlight w:val="none"/>
              </w:rPr>
              <w:t>（复印件加盖单位公章）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669"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8344" w:type="dxa"/>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拟派项目负责人的有效身份证及资质要求的相关证书（复印件加盖单位公章）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69"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8344" w:type="dxa"/>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投标人的法定代表人(或委托代理人)和拟任项目负责人须持有社保部门出具的本单位为其缴纳的投标前近</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69"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bookmarkStart w:id="64" w:name="_Toc1191"/>
            <w:bookmarkStart w:id="65" w:name="_Toc58430320"/>
            <w:bookmarkStart w:id="66" w:name="_Toc449028880"/>
          </w:p>
        </w:tc>
        <w:tc>
          <w:tcPr>
            <w:tcW w:w="1061" w:type="dxa"/>
            <w:vMerge w:val="continue"/>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8344" w:type="dxa"/>
            <w:noWrap w:val="0"/>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项目组成员注册证书复印件加盖投标人公章和证明专业的证明材料。</w:t>
            </w:r>
          </w:p>
        </w:tc>
      </w:tr>
    </w:tbl>
    <w:p>
      <w:pPr>
        <w:pStyle w:val="7"/>
        <w:pageBreakBefore w:val="0"/>
        <w:widowControl w:val="0"/>
        <w:numPr>
          <w:ilvl w:val="1"/>
          <w:numId w:val="0"/>
        </w:numPr>
        <w:kinsoku/>
        <w:wordWrap/>
        <w:overflowPunct/>
        <w:topLinePunct w:val="0"/>
        <w:autoSpaceDN/>
        <w:bidi w:val="0"/>
        <w:adjustRightInd/>
        <w:snapToGrid/>
        <w:spacing w:before="0"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1.审查资料</w:t>
      </w:r>
      <w:bookmarkEnd w:id="64"/>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67" w:name="_Toc506107320"/>
      <w:bookmarkStart w:id="68" w:name="_Toc324404867"/>
      <w:bookmarkStart w:id="69" w:name="_Toc37230750"/>
      <w:bookmarkStart w:id="70" w:name="_Toc17672"/>
      <w:bookmarkStart w:id="71" w:name="_Toc15058909"/>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（2）诚信投标承诺书（格式见附件）；</w:t>
      </w:r>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（3）企业营业执照（或三证合一的有效证件）；</w:t>
      </w:r>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（4）拟派项目负责人有效身份证及资质要求的相关证书</w:t>
      </w:r>
      <w:r>
        <w:rPr>
          <w:rFonts w:hint="eastAsia" w:ascii="宋体" w:hAnsi="宋体" w:eastAsia="宋体" w:cs="宋体"/>
          <w:color w:val="auto"/>
          <w:spacing w:val="-1"/>
          <w:sz w:val="21"/>
          <w:szCs w:val="21"/>
          <w:highlight w:val="none"/>
        </w:rPr>
        <w:t>；</w:t>
      </w:r>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（5）投标人的法定代表人(或委托代理人)和拟任项目负责人须持有社保部门出具的本单位为其缴纳的投标前近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个月连续的养老保险证明</w:t>
      </w:r>
      <w:r>
        <w:rPr>
          <w:rFonts w:hint="eastAsia" w:ascii="宋体" w:hAnsi="宋体" w:eastAsia="宋体" w:cs="宋体"/>
          <w:color w:val="auto"/>
          <w:sz w:val="21"/>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项目组成员注册证书复印件加盖投标人公章和证明专业的证明材料；</w:t>
      </w:r>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投标人认为需要提供的其它证明材料。</w:t>
      </w:r>
    </w:p>
    <w:p>
      <w:pPr>
        <w:pStyle w:val="7"/>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2.审查办法</w:t>
      </w:r>
      <w:bookmarkEnd w:id="67"/>
      <w:bookmarkEnd w:id="68"/>
      <w:bookmarkEnd w:id="69"/>
      <w:bookmarkEnd w:id="70"/>
      <w:bookmarkEnd w:id="71"/>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1、由资格审查委员会（评审委员会）按资格审查办法前附表中资格审查必要合格条件评审表要求对投标人审查资料进行核验。投标人有下列情形之一的，其资格审查为不合格：</w:t>
      </w:r>
      <w:bookmarkStart w:id="72" w:name="_Toc324404868"/>
      <w:bookmarkStart w:id="73" w:name="_Toc506107321"/>
      <w:bookmarkStart w:id="74" w:name="_Toc37230751"/>
      <w:bookmarkStart w:id="75" w:name="_Toc15058910"/>
      <w:bookmarkStart w:id="76" w:name="_Toc7413"/>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逾期送达的或未送达指定地点的；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未按招标文件要求密封的；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无单位盖章、无法定代表人或法定代表人授权的代理人签字或盖章的；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未按规定的格式填写，内容不全或关键字迹模糊、无法辨认的；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bidi="ar-SA"/>
        </w:rPr>
        <w:t>工期或质量不符合招标文件要求的；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未按要求缴纳投标保证金的；</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授权代表未出席开标会议；</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法律、法规、规章和招标文件规定的其他否决投标情形。</w:t>
      </w:r>
    </w:p>
    <w:p>
      <w:pPr>
        <w:pStyle w:val="7"/>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3.资格审查委员会和审查标准</w:t>
      </w:r>
      <w:bookmarkEnd w:id="72"/>
      <w:bookmarkEnd w:id="73"/>
      <w:bookmarkEnd w:id="74"/>
      <w:bookmarkEnd w:id="75"/>
      <w:bookmarkEnd w:id="76"/>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资格审查由招标单位依法组建的资格审查委员会（或评审委员会）负责。审查标准见资格审查办法前附表。</w:t>
      </w:r>
    </w:p>
    <w:p>
      <w:pPr>
        <w:pStyle w:val="7"/>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bookmarkStart w:id="77" w:name="_Toc7217"/>
      <w:bookmarkStart w:id="78" w:name="_Toc37230752"/>
      <w:bookmarkStart w:id="79" w:name="_Toc506107322"/>
      <w:bookmarkStart w:id="80" w:name="_Toc324404869"/>
      <w:bookmarkStart w:id="81" w:name="_Toc15058911"/>
      <w:r>
        <w:rPr>
          <w:rFonts w:hint="eastAsia" w:ascii="宋体" w:hAnsi="宋体" w:eastAsia="宋体" w:cs="宋体"/>
          <w:color w:val="auto"/>
          <w:sz w:val="21"/>
          <w:szCs w:val="21"/>
          <w:highlight w:val="none"/>
        </w:rPr>
        <w:t>4.审查结果</w:t>
      </w:r>
      <w:bookmarkEnd w:id="77"/>
      <w:bookmarkEnd w:id="78"/>
      <w:bookmarkEnd w:id="79"/>
      <w:bookmarkEnd w:id="80"/>
      <w:bookmarkEnd w:id="81"/>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只有通过资格审查的投标人才能进入下一步的评审程序。</w:t>
      </w:r>
    </w:p>
    <w:p>
      <w:pPr>
        <w:spacing w:line="400" w:lineRule="exact"/>
        <w:jc w:val="center"/>
        <w:outlineLvl w:val="1"/>
        <w:rPr>
          <w:rFonts w:hint="eastAsia" w:ascii="宋体"/>
          <w:b/>
          <w:color w:val="auto"/>
          <w:sz w:val="21"/>
          <w:szCs w:val="21"/>
          <w:highlight w:val="none"/>
        </w:rPr>
      </w:pPr>
    </w:p>
    <w:p>
      <w:pPr>
        <w:spacing w:line="400" w:lineRule="exact"/>
        <w:jc w:val="center"/>
        <w:outlineLvl w:val="1"/>
        <w:rPr>
          <w:rFonts w:hint="eastAsia" w:ascii="宋体"/>
          <w:b/>
          <w:color w:val="auto"/>
          <w:sz w:val="21"/>
          <w:szCs w:val="21"/>
          <w:highlight w:val="none"/>
        </w:rPr>
      </w:pPr>
      <w:r>
        <w:rPr>
          <w:rFonts w:hint="eastAsia" w:ascii="宋体"/>
          <w:b/>
          <w:color w:val="auto"/>
          <w:sz w:val="21"/>
          <w:szCs w:val="21"/>
          <w:highlight w:val="none"/>
        </w:rPr>
        <w:t>比较与评价</w:t>
      </w:r>
      <w:bookmarkEnd w:id="65"/>
      <w:bookmarkEnd w:id="66"/>
    </w:p>
    <w:p>
      <w:pPr>
        <w:keepNext w:val="0"/>
        <w:keepLines w:val="0"/>
        <w:pageBreakBefore w:val="0"/>
        <w:widowControl w:val="0"/>
        <w:kinsoku/>
        <w:overflowPunct/>
        <w:topLinePunct w:val="0"/>
        <w:autoSpaceDE/>
        <w:autoSpaceDN/>
        <w:bidi w:val="0"/>
        <w:adjustRightInd/>
        <w:snapToGrid/>
        <w:spacing w:line="440" w:lineRule="exact"/>
        <w:ind w:firstLine="417" w:firstLineChars="198"/>
        <w:textAlignment w:val="auto"/>
        <w:rPr>
          <w:rFonts w:ascii="宋体"/>
          <w:b/>
          <w:color w:val="auto"/>
          <w:sz w:val="21"/>
          <w:szCs w:val="21"/>
          <w:highlight w:val="none"/>
        </w:rPr>
      </w:pPr>
      <w:r>
        <w:rPr>
          <w:rFonts w:hint="eastAsia" w:ascii="宋体" w:hAnsi="宋体"/>
          <w:b/>
          <w:color w:val="auto"/>
          <w:sz w:val="21"/>
          <w:szCs w:val="21"/>
          <w:highlight w:val="none"/>
        </w:rPr>
        <w:t xml:space="preserve"> </w:t>
      </w: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w:t>
      </w:r>
      <w:bookmarkStart w:id="82" w:name="_Toc362983805"/>
      <w:r>
        <w:rPr>
          <w:rFonts w:hint="eastAsia" w:ascii="宋体" w:hAnsi="宋体"/>
          <w:b/>
          <w:color w:val="auto"/>
          <w:sz w:val="21"/>
          <w:szCs w:val="21"/>
          <w:highlight w:val="none"/>
        </w:rPr>
        <w:t xml:space="preserve"> </w:t>
      </w:r>
      <w:r>
        <w:rPr>
          <w:rFonts w:hint="eastAsia" w:ascii="宋体"/>
          <w:b/>
          <w:color w:val="auto"/>
          <w:sz w:val="21"/>
          <w:szCs w:val="21"/>
          <w:highlight w:val="none"/>
        </w:rPr>
        <w:t>详细评审即按招标文件中规定的评标方法和标准，评标委员会将对通过初审的投标文件，进行商务部分评估、综合比较与评价。</w:t>
      </w:r>
    </w:p>
    <w:p>
      <w:pPr>
        <w:keepNext w:val="0"/>
        <w:keepLines w:val="0"/>
        <w:pageBreakBefore w:val="0"/>
        <w:widowControl w:val="0"/>
        <w:kinsoku/>
        <w:overflowPunct/>
        <w:topLinePunct w:val="0"/>
        <w:autoSpaceDE/>
        <w:autoSpaceDN/>
        <w:bidi w:val="0"/>
        <w:adjustRightInd/>
        <w:snapToGrid/>
        <w:spacing w:line="440" w:lineRule="exact"/>
        <w:ind w:firstLine="517" w:firstLineChars="245"/>
        <w:textAlignment w:val="auto"/>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资信评审细则（10分）</w:t>
      </w:r>
    </w:p>
    <w:tbl>
      <w:tblPr>
        <w:tblStyle w:val="45"/>
        <w:tblW w:w="9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162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评分因素</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企业业绩（5分）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投标人自20</w:t>
            </w:r>
            <w:r>
              <w:rPr>
                <w:rFonts w:hint="eastAsia" w:ascii="宋体" w:hAnsi="宋体" w:eastAsia="宋体" w:cs="宋体"/>
                <w:kern w:val="2"/>
                <w:sz w:val="21"/>
                <w:szCs w:val="21"/>
                <w:highlight w:val="none"/>
                <w:lang w:val="en-US" w:eastAsia="zh-CN"/>
              </w:rPr>
              <w:t>20</w:t>
            </w:r>
            <w:r>
              <w:rPr>
                <w:rFonts w:hint="eastAsia" w:ascii="宋体" w:hAnsi="宋体" w:eastAsia="宋体" w:cs="宋体"/>
                <w:kern w:val="2"/>
                <w:sz w:val="21"/>
                <w:szCs w:val="21"/>
                <w:highlight w:val="none"/>
              </w:rPr>
              <w:t>年1月1日至投标文件提交截止时间前，承担过单个合同施工总金额</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rPr>
              <w:t>000万元以上的</w:t>
            </w:r>
            <w:r>
              <w:rPr>
                <w:rFonts w:hint="eastAsia" w:ascii="宋体" w:hAnsi="宋体" w:eastAsia="宋体" w:cs="宋体"/>
                <w:kern w:val="2"/>
                <w:sz w:val="21"/>
                <w:szCs w:val="21"/>
                <w:highlight w:val="none"/>
                <w:lang w:val="en-US" w:eastAsia="zh-CN"/>
              </w:rPr>
              <w:t>房屋</w:t>
            </w:r>
            <w:r>
              <w:rPr>
                <w:rFonts w:hint="eastAsia" w:ascii="宋体" w:hAnsi="宋体" w:eastAsia="宋体" w:cs="宋体"/>
                <w:kern w:val="2"/>
                <w:sz w:val="21"/>
                <w:szCs w:val="21"/>
                <w:highlight w:val="none"/>
              </w:rPr>
              <w:t>建筑工程【不包含工业建筑、钢结构】新建施工审计业绩（同时提供①结算审核报告（或跟踪审计结论性文书）；②合同业绩时间以合同签订时间为准，工程造价金额以审计咨询成果文件核定的金额为准）</w:t>
            </w:r>
            <w:r>
              <w:rPr>
                <w:rFonts w:hint="eastAsia" w:ascii="宋体" w:hAnsi="宋体" w:eastAsia="宋体" w:cs="宋体"/>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项目负责人业绩（5分）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w:t>
            </w:r>
            <w:r>
              <w:rPr>
                <w:rFonts w:hint="eastAsia" w:ascii="宋体" w:hAnsi="宋体" w:eastAsia="宋体" w:cs="宋体"/>
                <w:kern w:val="2"/>
                <w:sz w:val="21"/>
                <w:szCs w:val="21"/>
                <w:highlight w:val="none"/>
                <w:lang w:val="en-US" w:eastAsia="zh-CN"/>
              </w:rPr>
              <w:t>拟派项目负责人</w:t>
            </w:r>
            <w:r>
              <w:rPr>
                <w:rFonts w:hint="eastAsia" w:ascii="宋体" w:hAnsi="宋体" w:eastAsia="宋体" w:cs="宋体"/>
                <w:kern w:val="2"/>
                <w:sz w:val="21"/>
                <w:szCs w:val="21"/>
                <w:highlight w:val="none"/>
              </w:rPr>
              <w:t>自2020年1月1日至投标文件提交截止时间前，承担过单个合同施工总金额5000万元以上的房屋建筑工程【不包含工业建筑、钢结构】新建施工审计业绩（同时提供①结算审核报告（或跟踪审计结论性文书）；②合同业绩时间以合同签订时间为准，工程造价金额以审计咨询成果文件核定的金额为准）。</w:t>
            </w:r>
          </w:p>
          <w:p>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关于“拟派项目负责人业绩”的重要说明：</w:t>
            </w:r>
          </w:p>
          <w:p>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①所提供上述成果文件编制报告中必须明确反映出工程类型、规模和拟派项目负责人参与该项目的编制或审核工作。 </w:t>
            </w:r>
          </w:p>
          <w:p>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②所提供上述成果文件必须是项目负责人注册在投标单位时参与编制（或审核）。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9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b/>
                <w:bCs w:val="0"/>
                <w:kern w:val="2"/>
                <w:sz w:val="21"/>
                <w:szCs w:val="21"/>
                <w:highlight w:val="none"/>
                <w:lang w:val="en-US" w:eastAsia="zh-CN" w:bidi="ar"/>
              </w:rPr>
              <w:t>注：企业业绩与项目负责人业绩不得为同一业绩，同一业绩的不重复计分</w:t>
            </w:r>
            <w:r>
              <w:rPr>
                <w:rFonts w:hint="eastAsia" w:ascii="宋体" w:hAnsi="宋体" w:eastAsia="宋体" w:cs="宋体"/>
                <w:b/>
                <w:bCs/>
                <w:kern w:val="2"/>
                <w:sz w:val="21"/>
                <w:szCs w:val="21"/>
                <w:highlight w:val="none"/>
                <w:lang w:val="en-US" w:eastAsia="zh-CN" w:bidi="ar"/>
              </w:rPr>
              <w:t>。</w:t>
            </w:r>
          </w:p>
        </w:tc>
      </w:tr>
    </w:tbl>
    <w:p>
      <w:pPr>
        <w:keepNext w:val="0"/>
        <w:keepLines w:val="0"/>
        <w:pageBreakBefore w:val="0"/>
        <w:widowControl w:val="0"/>
        <w:kinsoku/>
        <w:overflowPunct/>
        <w:topLinePunct w:val="0"/>
        <w:autoSpaceDE/>
        <w:autoSpaceDN/>
        <w:bidi w:val="0"/>
        <w:adjustRightInd/>
        <w:snapToGrid/>
        <w:spacing w:line="440" w:lineRule="exact"/>
        <w:ind w:firstLine="517" w:firstLineChars="245"/>
        <w:textAlignment w:val="auto"/>
        <w:rPr>
          <w:rFonts w:hint="eastAsia" w:ascii="宋体" w:hAnsi="宋体"/>
          <w:b/>
          <w:color w:val="auto"/>
          <w:sz w:val="21"/>
          <w:szCs w:val="21"/>
          <w:highlight w:val="none"/>
        </w:rPr>
      </w:pPr>
    </w:p>
    <w:p>
      <w:pPr>
        <w:keepNext w:val="0"/>
        <w:keepLines w:val="0"/>
        <w:pageBreakBefore w:val="0"/>
        <w:widowControl w:val="0"/>
        <w:kinsoku/>
        <w:overflowPunct/>
        <w:topLinePunct w:val="0"/>
        <w:autoSpaceDE/>
        <w:autoSpaceDN/>
        <w:bidi w:val="0"/>
        <w:adjustRightInd/>
        <w:snapToGrid/>
        <w:spacing w:line="440" w:lineRule="exact"/>
        <w:ind w:firstLine="517" w:firstLineChars="245"/>
        <w:textAlignment w:val="auto"/>
        <w:rPr>
          <w:rFonts w:hint="eastAsia" w:ascii="宋体" w:hAnsi="宋体" w:eastAsia="宋体" w:cs="Times New Roman"/>
          <w:b/>
          <w:color w:val="auto"/>
          <w:sz w:val="21"/>
          <w:szCs w:val="21"/>
          <w:highlight w:val="none"/>
        </w:rPr>
      </w:pPr>
      <w:r>
        <w:rPr>
          <w:rFonts w:hint="eastAsia" w:ascii="宋体" w:hAnsi="宋体"/>
          <w:b/>
          <w:color w:val="auto"/>
          <w:sz w:val="21"/>
          <w:szCs w:val="21"/>
          <w:highlight w:val="none"/>
          <w:lang w:val="en-US" w:eastAsia="zh-CN"/>
        </w:rPr>
        <w:t>1.2</w:t>
      </w:r>
      <w:r>
        <w:rPr>
          <w:rFonts w:hint="eastAsia" w:ascii="宋体" w:hAnsi="宋体" w:eastAsia="宋体" w:cs="Times New Roman"/>
          <w:b/>
          <w:color w:val="auto"/>
          <w:sz w:val="21"/>
          <w:szCs w:val="21"/>
          <w:highlight w:val="none"/>
        </w:rPr>
        <w:t>商务标评审细则（</w:t>
      </w:r>
      <w:r>
        <w:rPr>
          <w:rFonts w:hint="eastAsia" w:ascii="宋体" w:hAnsi="宋体" w:cs="Times New Roman"/>
          <w:b/>
          <w:color w:val="auto"/>
          <w:sz w:val="21"/>
          <w:szCs w:val="21"/>
          <w:highlight w:val="none"/>
          <w:lang w:val="en-US" w:eastAsia="zh-CN"/>
        </w:rPr>
        <w:t>9</w:t>
      </w:r>
      <w:r>
        <w:rPr>
          <w:rFonts w:hint="eastAsia" w:ascii="宋体" w:hAnsi="宋体" w:eastAsia="宋体" w:cs="Times New Roman"/>
          <w:b/>
          <w:color w:val="auto"/>
          <w:sz w:val="21"/>
          <w:szCs w:val="21"/>
          <w:highlight w:val="none"/>
          <w:lang w:val="en-US" w:eastAsia="zh-CN"/>
        </w:rPr>
        <w:t>0</w:t>
      </w:r>
      <w:r>
        <w:rPr>
          <w:rFonts w:hint="eastAsia" w:ascii="宋体" w:hAnsi="宋体" w:eastAsia="宋体" w:cs="Times New Roman"/>
          <w:b/>
          <w:color w:val="auto"/>
          <w:sz w:val="21"/>
          <w:szCs w:val="21"/>
          <w:highlight w:val="none"/>
        </w:rPr>
        <w:t>分）</w:t>
      </w:r>
    </w:p>
    <w:tbl>
      <w:tblPr>
        <w:tblStyle w:val="45"/>
        <w:tblW w:w="9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65"/>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8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价</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6855" w:type="dxa"/>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1、招标人设置投标报价最高限价，各投标人有效报价不得高于最高限价，否则，其投标文件按无效标处理。基本费率最高限价：</w:t>
            </w:r>
            <w:r>
              <w:rPr>
                <w:rFonts w:hint="eastAsia" w:ascii="Times New Roman" w:hAnsi="Times New Roman" w:eastAsia="宋体" w:cs="宋体"/>
                <w:b w:val="0"/>
                <w:bCs/>
                <w:color w:val="auto"/>
                <w:sz w:val="21"/>
                <w:szCs w:val="21"/>
                <w:highlight w:val="none"/>
                <w:lang w:val="en-US" w:eastAsia="zh-CN"/>
              </w:rPr>
              <w:t>2</w:t>
            </w:r>
            <w:r>
              <w:rPr>
                <w:rFonts w:hint="eastAsia" w:ascii="Times New Roman" w:hAnsi="Times New Roman" w:eastAsia="宋体" w:cs="宋体"/>
                <w:b w:val="0"/>
                <w:bCs/>
                <w:color w:val="auto"/>
                <w:sz w:val="21"/>
                <w:szCs w:val="21"/>
                <w:highlight w:val="none"/>
              </w:rPr>
              <w:t>‰（注：报价时只需报基本费率，保留两位小数）；</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2、评标基准值为B，B值为经评审合格的有效投标人的投标报价（基本费率）的算术平均值。评标基准值的计算结果以</w:t>
            </w:r>
            <w:r>
              <w:rPr>
                <w:rFonts w:hint="eastAsia" w:ascii="Times New Roman" w:hAnsi="Times New Roman" w:eastAsia="宋体" w:cs="宋体"/>
                <w:b w:val="0"/>
                <w:bCs/>
                <w:color w:val="auto"/>
                <w:sz w:val="21"/>
                <w:szCs w:val="21"/>
                <w:highlight w:val="none"/>
                <w:lang w:val="en-US" w:eastAsia="zh-CN"/>
              </w:rPr>
              <w:t>千</w:t>
            </w:r>
            <w:r>
              <w:rPr>
                <w:rFonts w:hint="eastAsia" w:ascii="Times New Roman" w:hAnsi="Times New Roman" w:eastAsia="宋体" w:cs="宋体"/>
                <w:b w:val="0"/>
                <w:bCs/>
                <w:color w:val="auto"/>
                <w:sz w:val="21"/>
                <w:szCs w:val="21"/>
                <w:highlight w:val="none"/>
              </w:rPr>
              <w:t>分数形式，</w:t>
            </w:r>
            <w:r>
              <w:rPr>
                <w:rFonts w:hint="eastAsia" w:ascii="Times New Roman" w:hAnsi="Times New Roman" w:eastAsia="宋体" w:cs="宋体"/>
                <w:b w:val="0"/>
                <w:bCs/>
                <w:color w:val="auto"/>
                <w:sz w:val="21"/>
                <w:szCs w:val="21"/>
                <w:highlight w:val="none"/>
                <w:lang w:val="en-US" w:eastAsia="zh-CN"/>
              </w:rPr>
              <w:t>千</w:t>
            </w:r>
            <w:r>
              <w:rPr>
                <w:rFonts w:hint="eastAsia" w:ascii="Times New Roman" w:hAnsi="Times New Roman" w:eastAsia="宋体" w:cs="宋体"/>
                <w:b w:val="0"/>
                <w:bCs/>
                <w:color w:val="auto"/>
                <w:sz w:val="21"/>
                <w:szCs w:val="21"/>
                <w:highlight w:val="none"/>
              </w:rPr>
              <w:t>分数小数点后保留两位小数。（例如0.74‰或0.79‰）</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3、各有效投标人的投标报价（费率）与评标基准值B相比，相同的得</w:t>
            </w:r>
            <w:r>
              <w:rPr>
                <w:rFonts w:hint="eastAsia" w:ascii="Times New Roman" w:hAnsi="Times New Roman" w:eastAsia="宋体" w:cs="宋体"/>
                <w:b w:val="0"/>
                <w:bCs/>
                <w:color w:val="auto"/>
                <w:sz w:val="21"/>
                <w:szCs w:val="21"/>
                <w:highlight w:val="none"/>
                <w:lang w:val="en-US" w:eastAsia="zh-CN"/>
              </w:rPr>
              <w:t>100</w:t>
            </w:r>
            <w:r>
              <w:rPr>
                <w:rFonts w:hint="eastAsia" w:ascii="Times New Roman" w:hAnsi="Times New Roman" w:eastAsia="宋体" w:cs="宋体"/>
                <w:b w:val="0"/>
                <w:bCs/>
                <w:color w:val="auto"/>
                <w:sz w:val="21"/>
                <w:szCs w:val="21"/>
                <w:highlight w:val="none"/>
              </w:rPr>
              <w:t>分，每增加1%扣</w:t>
            </w:r>
            <w:r>
              <w:rPr>
                <w:rFonts w:hint="eastAsia" w:ascii="Times New Roman" w:hAnsi="Times New Roman" w:eastAsia="宋体" w:cs="宋体"/>
                <w:b w:val="0"/>
                <w:bCs/>
                <w:color w:val="auto"/>
                <w:sz w:val="21"/>
                <w:szCs w:val="21"/>
                <w:highlight w:val="none"/>
                <w:lang w:val="en-US" w:eastAsia="zh-CN"/>
              </w:rPr>
              <w:t>1</w:t>
            </w:r>
            <w:r>
              <w:rPr>
                <w:rFonts w:hint="eastAsia" w:ascii="Times New Roman" w:hAnsi="Times New Roman" w:eastAsia="宋体" w:cs="宋体"/>
                <w:b w:val="0"/>
                <w:bCs/>
                <w:color w:val="auto"/>
                <w:sz w:val="21"/>
                <w:szCs w:val="21"/>
                <w:highlight w:val="none"/>
              </w:rPr>
              <w:t>分，每减少1%扣0.</w:t>
            </w:r>
            <w:r>
              <w:rPr>
                <w:rFonts w:hint="eastAsia" w:ascii="Times New Roman" w:hAnsi="Times New Roman" w:eastAsia="宋体" w:cs="宋体"/>
                <w:b w:val="0"/>
                <w:bCs/>
                <w:color w:val="auto"/>
                <w:sz w:val="21"/>
                <w:szCs w:val="21"/>
                <w:highlight w:val="none"/>
                <w:lang w:val="en-US" w:eastAsia="zh-CN"/>
              </w:rPr>
              <w:t>5</w:t>
            </w:r>
            <w:r>
              <w:rPr>
                <w:rFonts w:hint="eastAsia" w:ascii="Times New Roman" w:hAnsi="Times New Roman" w:eastAsia="宋体" w:cs="宋体"/>
                <w:b w:val="0"/>
                <w:bCs/>
                <w:color w:val="auto"/>
                <w:sz w:val="21"/>
                <w:szCs w:val="21"/>
                <w:highlight w:val="none"/>
              </w:rPr>
              <w:t>分；不足1%时按插入法计算，百分数取两位小数，小数点后第三位四舍五入。</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4、本项分值由招标代理机构负责组织计算，报评标委员会进行审核。</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例如：评标基准值B为0.65‰，投标人甲的报价为0.70‰、投标人乙的报价为0.62‰，计算各投标人得分（保留两位小数）如下：</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计算投标人甲投标报价与评标基准值的百分比为：【（0.70‰-0.65‰）÷0.65‰】×100=7.69%，其得分=</w:t>
            </w:r>
            <w:r>
              <w:rPr>
                <w:rFonts w:hint="eastAsia" w:cs="宋体"/>
                <w:b w:val="0"/>
                <w:bCs/>
                <w:color w:val="auto"/>
                <w:sz w:val="21"/>
                <w:szCs w:val="21"/>
                <w:highlight w:val="none"/>
                <w:lang w:val="en-US" w:eastAsia="zh-CN"/>
              </w:rPr>
              <w:t>9</w:t>
            </w:r>
            <w:r>
              <w:rPr>
                <w:rFonts w:hint="eastAsia" w:ascii="Times New Roman" w:hAnsi="Times New Roman" w:eastAsia="宋体" w:cs="宋体"/>
                <w:b w:val="0"/>
                <w:bCs/>
                <w:color w:val="auto"/>
                <w:sz w:val="21"/>
                <w:szCs w:val="21"/>
                <w:highlight w:val="none"/>
                <w:lang w:val="en-US" w:eastAsia="zh-CN"/>
              </w:rPr>
              <w:t>0</w:t>
            </w:r>
            <w:r>
              <w:rPr>
                <w:rFonts w:hint="eastAsia" w:ascii="Times New Roman" w:hAnsi="Times New Roman" w:eastAsia="宋体" w:cs="宋体"/>
                <w:b w:val="0"/>
                <w:bCs/>
                <w:color w:val="auto"/>
                <w:sz w:val="21"/>
                <w:szCs w:val="21"/>
                <w:highlight w:val="none"/>
              </w:rPr>
              <w:t>-7.69*</w:t>
            </w:r>
            <w:r>
              <w:rPr>
                <w:rFonts w:hint="eastAsia" w:ascii="Times New Roman" w:hAnsi="Times New Roman" w:eastAsia="宋体" w:cs="宋体"/>
                <w:b w:val="0"/>
                <w:bCs/>
                <w:color w:val="auto"/>
                <w:sz w:val="21"/>
                <w:szCs w:val="21"/>
                <w:highlight w:val="none"/>
                <w:lang w:val="en-US" w:eastAsia="zh-CN"/>
              </w:rPr>
              <w:t>1</w:t>
            </w:r>
            <w:r>
              <w:rPr>
                <w:rFonts w:hint="eastAsia" w:ascii="Times New Roman" w:hAnsi="Times New Roman" w:eastAsia="宋体" w:cs="宋体"/>
                <w:b w:val="0"/>
                <w:bCs/>
                <w:color w:val="auto"/>
                <w:sz w:val="21"/>
                <w:szCs w:val="21"/>
                <w:highlight w:val="none"/>
              </w:rPr>
              <w:t>=</w:t>
            </w:r>
            <w:r>
              <w:rPr>
                <w:rFonts w:hint="eastAsia" w:cs="宋体"/>
                <w:b w:val="0"/>
                <w:bCs/>
                <w:color w:val="auto"/>
                <w:sz w:val="21"/>
                <w:szCs w:val="21"/>
                <w:highlight w:val="none"/>
                <w:lang w:val="en-US" w:eastAsia="zh-CN"/>
              </w:rPr>
              <w:t>8</w:t>
            </w:r>
            <w:r>
              <w:rPr>
                <w:rFonts w:hint="eastAsia" w:ascii="Times New Roman" w:hAnsi="Times New Roman" w:eastAsia="宋体" w:cs="宋体"/>
                <w:b w:val="0"/>
                <w:bCs/>
                <w:color w:val="auto"/>
                <w:sz w:val="21"/>
                <w:szCs w:val="21"/>
                <w:highlight w:val="none"/>
                <w:lang w:val="en-US" w:eastAsia="zh-CN"/>
              </w:rPr>
              <w:t>2.31</w:t>
            </w:r>
            <w:r>
              <w:rPr>
                <w:rFonts w:hint="eastAsia" w:ascii="Times New Roman" w:hAnsi="Times New Roman" w:eastAsia="宋体" w:cs="宋体"/>
                <w:b w:val="0"/>
                <w:bCs/>
                <w:color w:val="auto"/>
                <w:sz w:val="21"/>
                <w:szCs w:val="21"/>
                <w:highlight w:val="none"/>
              </w:rPr>
              <w:t>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计算投标人乙投标报价与评标基准值的百分比为：【（0.62‰-0.65‰）÷0.65‰】×100=-4.62%，其得分=</w:t>
            </w:r>
            <w:r>
              <w:rPr>
                <w:rFonts w:hint="eastAsia" w:cs="宋体"/>
                <w:b w:val="0"/>
                <w:bCs/>
                <w:color w:val="auto"/>
                <w:sz w:val="21"/>
                <w:szCs w:val="21"/>
                <w:highlight w:val="none"/>
                <w:lang w:val="en-US" w:eastAsia="zh-CN"/>
              </w:rPr>
              <w:t>9</w:t>
            </w:r>
            <w:r>
              <w:rPr>
                <w:rFonts w:hint="eastAsia" w:ascii="Times New Roman" w:hAnsi="Times New Roman" w:eastAsia="宋体" w:cs="宋体"/>
                <w:b w:val="0"/>
                <w:bCs/>
                <w:color w:val="auto"/>
                <w:sz w:val="21"/>
                <w:szCs w:val="21"/>
                <w:highlight w:val="none"/>
                <w:lang w:val="en-US" w:eastAsia="zh-CN"/>
              </w:rPr>
              <w:t>0</w:t>
            </w:r>
            <w:r>
              <w:rPr>
                <w:rFonts w:hint="eastAsia" w:ascii="Times New Roman" w:hAnsi="Times New Roman" w:eastAsia="宋体" w:cs="宋体"/>
                <w:b w:val="0"/>
                <w:bCs/>
                <w:color w:val="auto"/>
                <w:sz w:val="21"/>
                <w:szCs w:val="21"/>
                <w:highlight w:val="none"/>
              </w:rPr>
              <w:t>-4.62*0.</w:t>
            </w:r>
            <w:r>
              <w:rPr>
                <w:rFonts w:hint="eastAsia" w:ascii="Times New Roman" w:hAnsi="Times New Roman" w:eastAsia="宋体" w:cs="宋体"/>
                <w:b w:val="0"/>
                <w:bCs/>
                <w:color w:val="auto"/>
                <w:sz w:val="21"/>
                <w:szCs w:val="21"/>
                <w:highlight w:val="none"/>
                <w:lang w:val="en-US" w:eastAsia="zh-CN"/>
              </w:rPr>
              <w:t>5</w:t>
            </w:r>
            <w:r>
              <w:rPr>
                <w:rFonts w:hint="eastAsia" w:ascii="Times New Roman" w:hAnsi="Times New Roman" w:eastAsia="宋体" w:cs="宋体"/>
                <w:b w:val="0"/>
                <w:bCs/>
                <w:color w:val="auto"/>
                <w:sz w:val="21"/>
                <w:szCs w:val="21"/>
                <w:highlight w:val="none"/>
              </w:rPr>
              <w:t>=</w:t>
            </w:r>
            <w:r>
              <w:rPr>
                <w:rFonts w:hint="eastAsia" w:cs="宋体"/>
                <w:b w:val="0"/>
                <w:bCs/>
                <w:color w:val="auto"/>
                <w:sz w:val="21"/>
                <w:szCs w:val="21"/>
                <w:highlight w:val="none"/>
                <w:lang w:val="en-US" w:eastAsia="zh-CN"/>
              </w:rPr>
              <w:t>8</w:t>
            </w:r>
            <w:r>
              <w:rPr>
                <w:rFonts w:hint="eastAsia" w:ascii="Times New Roman" w:hAnsi="Times New Roman" w:eastAsia="宋体" w:cs="宋体"/>
                <w:b w:val="0"/>
                <w:bCs/>
                <w:color w:val="auto"/>
                <w:sz w:val="21"/>
                <w:szCs w:val="21"/>
                <w:highlight w:val="none"/>
                <w:lang w:val="en-US" w:eastAsia="zh-CN"/>
              </w:rPr>
              <w:t>7.69</w:t>
            </w:r>
            <w:r>
              <w:rPr>
                <w:rFonts w:hint="eastAsia" w:ascii="Times New Roman" w:hAnsi="Times New Roman" w:eastAsia="宋体" w:cs="宋体"/>
                <w:b w:val="0"/>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0" w:type="dxa"/>
            <w:gridSpan w:val="3"/>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cs="宋体"/>
                <w:b/>
                <w:color w:val="auto"/>
                <w:sz w:val="21"/>
                <w:szCs w:val="21"/>
                <w:highlight w:val="none"/>
                <w:lang w:val="en-US" w:eastAsia="zh-CN"/>
              </w:rPr>
              <w:t>注：投标单位所报基本费为</w:t>
            </w:r>
            <w:r>
              <w:rPr>
                <w:rFonts w:hint="eastAsia"/>
                <w:b/>
                <w:bCs/>
                <w:color w:val="auto"/>
                <w:sz w:val="21"/>
                <w:szCs w:val="21"/>
                <w:highlight w:val="none"/>
              </w:rPr>
              <w:t>0或负数的</w:t>
            </w:r>
            <w:r>
              <w:rPr>
                <w:rFonts w:hint="eastAsia"/>
                <w:b/>
                <w:bCs/>
                <w:color w:val="auto"/>
                <w:sz w:val="21"/>
                <w:szCs w:val="21"/>
                <w:highlight w:val="none"/>
                <w:lang w:eastAsia="zh-CN"/>
              </w:rPr>
              <w:t>，</w:t>
            </w:r>
            <w:r>
              <w:rPr>
                <w:rFonts w:hint="eastAsia"/>
                <w:b/>
                <w:bCs/>
                <w:color w:val="auto"/>
                <w:sz w:val="21"/>
                <w:szCs w:val="21"/>
                <w:highlight w:val="none"/>
                <w:lang w:val="en-US" w:eastAsia="zh-CN"/>
              </w:rPr>
              <w:t>其报价不参与评标基准值的计算，且商务标不得分。</w:t>
            </w:r>
          </w:p>
        </w:tc>
      </w:tr>
      <w:bookmarkEnd w:id="59"/>
      <w:bookmarkEnd w:id="82"/>
    </w:tbl>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3" w:name="_Toc95223429"/>
      <w:r>
        <w:rPr>
          <w:rFonts w:hint="eastAsia" w:ascii="黑体" w:hAnsi="黑体" w:cs="黑体"/>
          <w:color w:val="auto"/>
          <w:sz w:val="21"/>
          <w:szCs w:val="21"/>
          <w:highlight w:val="none"/>
        </w:rPr>
        <w:t>1. 评标方法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由高到低顺序推荐中标候选人应当不超过2名，并标明排序，但投标报价低于其成本的除外。如总得分相等，以投标报价低的优先，投标报价仍相等，由评标委员会主任委员或招标人随机抽取确定排名。</w:t>
      </w:r>
    </w:p>
    <w:bookmarkEnd w:id="83"/>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4" w:name="_Toc95223430"/>
      <w:r>
        <w:rPr>
          <w:rFonts w:hint="eastAsia" w:ascii="黑体" w:hAnsi="黑体" w:cs="黑体"/>
          <w:color w:val="auto"/>
          <w:sz w:val="21"/>
          <w:szCs w:val="21"/>
          <w:highlight w:val="none"/>
        </w:rPr>
        <w:t>2.评标委员会的职责</w:t>
      </w:r>
      <w:bookmarkEnd w:id="84"/>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85"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3.评标程序</w:t>
      </w:r>
      <w:bookmarkEnd w:id="85"/>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6" w:name="_Toc95223432"/>
      <w:r>
        <w:rPr>
          <w:rFonts w:hint="eastAsia" w:ascii="黑体" w:hAnsi="黑体" w:cs="黑体"/>
          <w:color w:val="auto"/>
          <w:sz w:val="21"/>
          <w:szCs w:val="21"/>
          <w:highlight w:val="none"/>
        </w:rPr>
        <w:t>3.1评标准备工作</w:t>
      </w:r>
      <w:bookmarkEnd w:id="86"/>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7" w:name="_Toc95223433"/>
      <w:r>
        <w:rPr>
          <w:rFonts w:hint="eastAsia" w:ascii="黑体" w:hAnsi="黑体" w:cs="黑体"/>
          <w:color w:val="auto"/>
          <w:sz w:val="21"/>
          <w:szCs w:val="21"/>
          <w:highlight w:val="none"/>
        </w:rPr>
        <w:t>3.2</w:t>
      </w:r>
      <w:bookmarkEnd w:id="87"/>
      <w:bookmarkStart w:id="88" w:name="_Toc95223434"/>
      <w:r>
        <w:rPr>
          <w:rFonts w:hint="eastAsia" w:ascii="黑体" w:hAnsi="黑体" w:cs="黑体"/>
          <w:color w:val="auto"/>
          <w:sz w:val="21"/>
          <w:szCs w:val="21"/>
          <w:highlight w:val="none"/>
        </w:rPr>
        <w:t>商务标评审</w:t>
      </w:r>
      <w:bookmarkEnd w:id="88"/>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w:t>
      </w:r>
      <w:r>
        <w:rPr>
          <w:rFonts w:hint="eastAsia" w:ascii="黑体" w:hAnsi="黑体" w:cs="黑体"/>
          <w:color w:val="auto"/>
          <w:sz w:val="21"/>
          <w:szCs w:val="21"/>
          <w:highlight w:val="none"/>
          <w:lang w:val="en-US" w:eastAsia="zh-CN"/>
        </w:rPr>
        <w:t>3</w:t>
      </w:r>
      <w:r>
        <w:rPr>
          <w:rFonts w:hint="eastAsia" w:ascii="黑体" w:hAnsi="黑体" w:cs="黑体"/>
          <w:color w:val="auto"/>
          <w:sz w:val="21"/>
          <w:szCs w:val="21"/>
          <w:highlight w:val="none"/>
        </w:rPr>
        <w:t>推荐中标候选人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资信评审</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商务标评审后，推荐中标候选人，并标明排序。</w:t>
      </w:r>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9" w:name="_Toc95223435"/>
      <w:r>
        <w:rPr>
          <w:rFonts w:hint="eastAsia" w:ascii="黑体" w:hAnsi="黑体" w:cs="黑体"/>
          <w:color w:val="auto"/>
          <w:sz w:val="21"/>
          <w:szCs w:val="21"/>
          <w:highlight w:val="none"/>
        </w:rPr>
        <w:t>4.评审内容</w:t>
      </w:r>
      <w:bookmarkEnd w:id="89"/>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0" w:name="_Toc95223436"/>
      <w:r>
        <w:rPr>
          <w:rFonts w:hint="eastAsia" w:ascii="黑体" w:hAnsi="黑体" w:cs="黑体"/>
          <w:color w:val="auto"/>
          <w:sz w:val="21"/>
          <w:szCs w:val="21"/>
          <w:highlight w:val="none"/>
        </w:rPr>
        <w:t>4.1</w:t>
      </w:r>
      <w:bookmarkEnd w:id="90"/>
      <w:bookmarkStart w:id="91" w:name="_Toc95223437"/>
      <w:r>
        <w:rPr>
          <w:rFonts w:hint="eastAsia" w:ascii="黑体" w:hAnsi="黑体" w:cs="黑体"/>
          <w:color w:val="auto"/>
          <w:sz w:val="21"/>
          <w:szCs w:val="21"/>
          <w:highlight w:val="none"/>
        </w:rPr>
        <w:t>商务标评审</w:t>
      </w:r>
      <w:bookmarkEnd w:id="91"/>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只有通过资信评审的投标才能够进入本阶段评审。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2" w:name="_Toc95223438"/>
      <w:r>
        <w:rPr>
          <w:rFonts w:hint="eastAsia" w:ascii="黑体" w:hAnsi="黑体" w:cs="黑体"/>
          <w:color w:val="auto"/>
          <w:sz w:val="21"/>
          <w:szCs w:val="21"/>
          <w:highlight w:val="none"/>
        </w:rPr>
        <w:t>5.无效投标条款</w:t>
      </w:r>
      <w:bookmarkEnd w:id="92"/>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未在投标截止时间前递交有效投标文件的，投标将被拒绝；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（2）未按招标文件要求密封标书的。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（1）投标人有串通投标、视为串通投标、弄虚作假、行贿等违法行为。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（2）投标文件没有对招标文件的实质性要求和条件作出响应。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（3）实质性内容不全或关键字迹模糊、无法辨认的，经评委会一致认定的。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（4）未按规定的格式填写，经评委会一致认定的。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（5）同一投标人提交两个以上不同的投标文件或者投标报价，但招标文件规定提交备选投标的除外。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（6）投标文件中存在招标人不能接受的其他实质性条件。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（7）投标文件中填报的拟任项目负责人与资格审查通过的项目负责人前后不一致的。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（8）投标人拒不按照要求对投标文件进行澄清、说明、补正的，或评标委员会根据招标文件的规定对招标文件的计算错误进行修正后，投标人不接受修正的投标报价的。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（9）投标人单方面出现其他投标人材料。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（10）法律、法规规定的其他情形。</w:t>
      </w:r>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3" w:name="_Toc95223439"/>
      <w:r>
        <w:rPr>
          <w:rFonts w:hint="eastAsia" w:ascii="黑体" w:hAnsi="黑体" w:cs="黑体"/>
          <w:color w:val="auto"/>
          <w:sz w:val="21"/>
          <w:szCs w:val="21"/>
          <w:highlight w:val="none"/>
        </w:rPr>
        <w:t>6.投标文件的澄清和补正</w:t>
      </w:r>
      <w:bookmarkEnd w:id="9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4" w:name="_Toc95223440"/>
      <w:r>
        <w:rPr>
          <w:rFonts w:hint="eastAsia" w:ascii="黑体" w:hAnsi="黑体" w:cs="黑体"/>
          <w:color w:val="auto"/>
          <w:sz w:val="21"/>
          <w:szCs w:val="21"/>
          <w:highlight w:val="none"/>
        </w:rPr>
        <w:t>7.评分标准</w:t>
      </w:r>
      <w:bookmarkEnd w:id="94"/>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7.1评分标准：见资信、技术及商务评分表。</w:t>
      </w:r>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5" w:name="_Toc95223441"/>
      <w:r>
        <w:rPr>
          <w:rFonts w:hint="eastAsia" w:ascii="黑体" w:hAnsi="黑体" w:cs="黑体"/>
          <w:color w:val="auto"/>
          <w:sz w:val="21"/>
          <w:szCs w:val="21"/>
          <w:highlight w:val="none"/>
        </w:rPr>
        <w:t>8.评审结果</w:t>
      </w:r>
      <w:bookmarkEnd w:id="95"/>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8.1除“投标人须知”及其前附表授权直接确定中标人外，评标委员会按照总得分由高到低顺序推荐中标候选人。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（3）开标记录。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6" w:name="_Toc95223442"/>
      <w:r>
        <w:rPr>
          <w:rFonts w:hint="eastAsia" w:ascii="黑体" w:hAnsi="黑体" w:cs="黑体"/>
          <w:color w:val="auto"/>
          <w:sz w:val="21"/>
          <w:szCs w:val="21"/>
          <w:highlight w:val="none"/>
        </w:rPr>
        <w:t>9.其他</w:t>
      </w:r>
      <w:bookmarkEnd w:id="96"/>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pPr>
        <w:rPr>
          <w:rFonts w:hint="eastAsia" w:ascii="宋体" w:hAnsi="宋体" w:eastAsia="宋体" w:cs="宋体"/>
          <w:color w:val="auto"/>
          <w:kern w:val="2"/>
          <w:sz w:val="28"/>
          <w:szCs w:val="28"/>
          <w:highlight w:val="none"/>
          <w:lang w:val="en-US" w:eastAsia="zh-CN"/>
        </w:rPr>
      </w:pPr>
      <w:bookmarkStart w:id="97" w:name="_Toc58430328"/>
      <w:r>
        <w:rPr>
          <w:rFonts w:hint="eastAsia" w:ascii="宋体" w:hAnsi="宋体" w:eastAsia="宋体" w:cs="宋体"/>
          <w:color w:val="auto"/>
          <w:kern w:val="2"/>
          <w:sz w:val="28"/>
          <w:szCs w:val="28"/>
          <w:highlight w:val="none"/>
          <w:lang w:val="en-US" w:eastAsia="zh-CN"/>
        </w:rPr>
        <w:br w:type="page"/>
      </w:r>
    </w:p>
    <w:p>
      <w:pPr>
        <w:pStyle w:val="6"/>
        <w:pageBreakBefore w:val="0"/>
        <w:kinsoku/>
        <w:wordWrap/>
        <w:overflowPunct/>
        <w:topLinePunct w:val="0"/>
        <w:autoSpaceDE/>
        <w:autoSpaceDN/>
        <w:bidi w:val="0"/>
        <w:spacing w:before="0" w:after="0" w:line="560" w:lineRule="exact"/>
        <w:textAlignment w:val="auto"/>
        <w:outlineLvl w:val="0"/>
        <w:rPr>
          <w:rFonts w:hint="eastAsia" w:ascii="宋体" w:hAnsi="宋体" w:eastAsia="宋体" w:cs="宋体"/>
          <w:color w:val="auto"/>
          <w:kern w:val="2"/>
          <w:sz w:val="28"/>
          <w:szCs w:val="28"/>
          <w:highlight w:val="none"/>
        </w:rPr>
      </w:pPr>
      <w:bookmarkStart w:id="98" w:name="_Toc13446"/>
      <w:r>
        <w:rPr>
          <w:rFonts w:hint="eastAsia" w:ascii="宋体" w:hAnsi="宋体" w:eastAsia="宋体" w:cs="宋体"/>
          <w:color w:val="auto"/>
          <w:kern w:val="2"/>
          <w:sz w:val="28"/>
          <w:szCs w:val="28"/>
          <w:highlight w:val="none"/>
          <w:lang w:val="en-US" w:eastAsia="zh-CN"/>
        </w:rPr>
        <w:t>第四章</w:t>
      </w:r>
      <w:r>
        <w:rPr>
          <w:rFonts w:hint="eastAsia" w:ascii="宋体" w:hAnsi="宋体" w:eastAsia="宋体" w:cs="宋体"/>
          <w:color w:val="auto"/>
          <w:kern w:val="2"/>
          <w:sz w:val="28"/>
          <w:szCs w:val="28"/>
          <w:highlight w:val="none"/>
        </w:rPr>
        <w:t xml:space="preserve">  采购需求及服务要求</w:t>
      </w:r>
      <w:bookmarkEnd w:id="60"/>
      <w:bookmarkEnd w:id="97"/>
      <w:bookmarkEnd w:id="98"/>
    </w:p>
    <w:p>
      <w:pPr>
        <w:snapToGrid w:val="0"/>
        <w:spacing w:line="640" w:lineRule="exact"/>
        <w:jc w:val="center"/>
        <w:rPr>
          <w:rFonts w:hint="eastAsia" w:ascii="宋体"/>
          <w:b/>
          <w:color w:val="auto"/>
          <w:sz w:val="32"/>
          <w:szCs w:val="32"/>
          <w:highlight w:val="none"/>
        </w:rPr>
      </w:pPr>
      <w:r>
        <w:rPr>
          <w:rFonts w:hint="eastAsia" w:ascii="宋体" w:hAnsi="宋体" w:cs="宋体"/>
          <w:color w:val="auto"/>
          <w:highlight w:val="none"/>
        </w:rPr>
        <w:t>按第五章《跟踪审计委托协议》要求及相关规定</w:t>
      </w:r>
    </w:p>
    <w:p>
      <w:pPr>
        <w:pStyle w:val="6"/>
        <w:pageBreakBefore w:val="0"/>
        <w:kinsoku/>
        <w:wordWrap/>
        <w:overflowPunct/>
        <w:topLinePunct w:val="0"/>
        <w:autoSpaceDE/>
        <w:autoSpaceDN/>
        <w:bidi w:val="0"/>
        <w:spacing w:before="0" w:after="0" w:line="560" w:lineRule="exact"/>
        <w:textAlignment w:val="auto"/>
        <w:rPr>
          <w:rFonts w:ascii="宋体" w:hAnsi="宋体" w:eastAsia="宋体" w:cs="宋体"/>
          <w:color w:val="auto"/>
          <w:kern w:val="2"/>
          <w:sz w:val="28"/>
          <w:szCs w:val="28"/>
          <w:highlight w:val="none"/>
        </w:rPr>
      </w:pPr>
      <w:bookmarkStart w:id="99" w:name="_Toc14427"/>
      <w:bookmarkStart w:id="100" w:name="_Toc25362"/>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五</w:t>
      </w:r>
      <w:r>
        <w:rPr>
          <w:rFonts w:hint="eastAsia" w:ascii="宋体" w:hAnsi="宋体" w:eastAsia="宋体" w:cs="宋体"/>
          <w:color w:val="auto"/>
          <w:kern w:val="2"/>
          <w:sz w:val="28"/>
          <w:szCs w:val="28"/>
          <w:highlight w:val="none"/>
        </w:rPr>
        <w:t>章  合同条款</w:t>
      </w:r>
      <w:bookmarkEnd w:id="53"/>
      <w:bookmarkEnd w:id="54"/>
      <w:bookmarkEnd w:id="55"/>
      <w:bookmarkEnd w:id="99"/>
      <w:bookmarkEnd w:id="100"/>
    </w:p>
    <w:p>
      <w:pPr>
        <w:keepNext w:val="0"/>
        <w:keepLines w:val="0"/>
        <w:pageBreakBefore w:val="0"/>
        <w:kinsoku/>
        <w:wordWrap/>
        <w:overflowPunct/>
        <w:topLinePunct w:val="0"/>
        <w:autoSpaceDE/>
        <w:autoSpaceDN/>
        <w:bidi w:val="0"/>
        <w:adjustRightInd w:val="0"/>
        <w:snapToGrid w:val="0"/>
        <w:spacing w:line="520" w:lineRule="exact"/>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委托方（甲方）：</w:t>
      </w:r>
      <w:r>
        <w:rPr>
          <w:rFonts w:hint="eastAsia" w:ascii="宋体" w:hAnsi="宋体" w:cs="宋体"/>
          <w:color w:val="auto"/>
          <w:kern w:val="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20" w:lineRule="exact"/>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受托方（乙方）：</w:t>
      </w:r>
      <w:r>
        <w:rPr>
          <w:rFonts w:hint="eastAsia" w:ascii="宋体" w:hAnsi="宋体" w:cs="宋体"/>
          <w:color w:val="auto"/>
          <w:kern w:val="0"/>
          <w:highlight w:val="none"/>
          <w:u w:val="single"/>
        </w:rPr>
        <w:t xml:space="preserve">                         </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宋体" w:hAnsi="宋体" w:cs="宋体"/>
          <w:color w:val="auto"/>
          <w:kern w:val="0"/>
          <w:highlight w:val="none"/>
        </w:rPr>
      </w:pPr>
    </w:p>
    <w:p>
      <w:pPr>
        <w:keepNext w:val="0"/>
        <w:keepLines w:val="0"/>
        <w:pageBreakBefore w:val="0"/>
        <w:widowControl/>
        <w:kinsoku/>
        <w:wordWrap/>
        <w:overflowPunct/>
        <w:topLinePunct w:val="0"/>
        <w:autoSpaceDE/>
        <w:autoSpaceDN/>
        <w:bidi w:val="0"/>
        <w:adjustRightInd/>
        <w:snapToGrid/>
        <w:spacing w:line="520" w:lineRule="exact"/>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为保证</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跟踪审计工作质量和效率，依据《中华人民共和国审计法》、《中华人民共和国民法典》等有关法律法规，甲、乙双方经协商一致，自愿签订本协议。</w:t>
      </w:r>
    </w:p>
    <w:p>
      <w:pPr>
        <w:keepNext w:val="0"/>
        <w:keepLines w:val="0"/>
        <w:pageBreakBefore w:val="0"/>
        <w:kinsoku/>
        <w:wordWrap/>
        <w:overflowPunct/>
        <w:topLinePunct w:val="0"/>
        <w:autoSpaceDE/>
        <w:autoSpaceDN/>
        <w:bidi w:val="0"/>
        <w:snapToGrid w:val="0"/>
        <w:spacing w:line="520" w:lineRule="exact"/>
        <w:ind w:firstLine="472" w:firstLineChars="196"/>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一、跟踪审计项目</w:t>
      </w:r>
    </w:p>
    <w:p>
      <w:pPr>
        <w:keepNext w:val="0"/>
        <w:keepLines w:val="0"/>
        <w:pageBreakBefore w:val="0"/>
        <w:widowControl w:val="0"/>
        <w:kinsoku/>
        <w:wordWrap/>
        <w:overflowPunct/>
        <w:topLinePunct w:val="0"/>
        <w:autoSpaceDE/>
        <w:autoSpaceDN/>
        <w:bidi w:val="0"/>
        <w:adjustRightInd/>
        <w:snapToGrid w:val="0"/>
        <w:spacing w:line="520" w:lineRule="exact"/>
        <w:ind w:firstLine="573"/>
        <w:jc w:val="left"/>
        <w:textAlignment w:val="auto"/>
        <w:rPr>
          <w:rFonts w:ascii="宋体" w:hAnsi="宋体" w:cs="宋体"/>
          <w:color w:val="auto"/>
          <w:kern w:val="0"/>
          <w:highlight w:val="none"/>
        </w:rPr>
      </w:pPr>
      <w:r>
        <w:rPr>
          <w:rFonts w:hint="eastAsia" w:ascii="宋体" w:hAnsi="宋体" w:cs="宋体"/>
          <w:color w:val="auto"/>
          <w:kern w:val="0"/>
          <w:highlight w:val="none"/>
        </w:rPr>
        <w:t xml:space="preserve">1.项目名称： </w:t>
      </w:r>
      <w:r>
        <w:rPr>
          <w:rFonts w:hint="eastAsia" w:ascii="宋体" w:hAnsi="宋体" w:cs="宋体"/>
          <w:color w:val="auto"/>
          <w:kern w:val="0"/>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73"/>
        <w:jc w:val="left"/>
        <w:textAlignment w:val="auto"/>
        <w:rPr>
          <w:rFonts w:ascii="宋体" w:hAnsi="宋体" w:cs="宋体"/>
          <w:color w:val="auto"/>
          <w:kern w:val="0"/>
          <w:highlight w:val="none"/>
        </w:rPr>
      </w:pPr>
      <w:r>
        <w:rPr>
          <w:rFonts w:hint="eastAsia" w:ascii="宋体" w:hAnsi="宋体" w:cs="宋体"/>
          <w:color w:val="auto"/>
          <w:kern w:val="0"/>
          <w:highlight w:val="none"/>
        </w:rPr>
        <w:t xml:space="preserve">2.项目投资额： </w:t>
      </w:r>
      <w:r>
        <w:rPr>
          <w:rFonts w:hint="eastAsia" w:ascii="宋体" w:hAnsi="宋体" w:cs="宋体"/>
          <w:color w:val="auto"/>
          <w:kern w:val="0"/>
          <w:highlight w:val="none"/>
          <w:u w:val="single"/>
        </w:rPr>
        <w:t xml:space="preserve">                         </w:t>
      </w:r>
    </w:p>
    <w:p>
      <w:pPr>
        <w:keepNext w:val="0"/>
        <w:keepLines w:val="0"/>
        <w:pageBreakBefore w:val="0"/>
        <w:kinsoku/>
        <w:wordWrap/>
        <w:overflowPunct/>
        <w:topLinePunct w:val="0"/>
        <w:autoSpaceDE/>
        <w:autoSpaceDN/>
        <w:bidi w:val="0"/>
        <w:snapToGrid w:val="0"/>
        <w:spacing w:line="520" w:lineRule="exact"/>
        <w:ind w:firstLine="472" w:firstLineChars="196"/>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二、项目跟踪审计内容</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 xml:space="preserve">1.成立项目跟踪审计组，编制跟踪审计实施方案，确定投资控制目标、重点环节及应对措施； </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2.审核项目前期资料（图纸、工程量清单及控制价、招标响应文件、施工合同等），向甲方提交审核结果；</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3.对承包方上报的请款期已完成合格工程量的计量、计价进行审核，并提供按工程形象进度付款的意见、建议。</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4.及时核定分阶段完工的项目分部、分项工程价款结算，项目竣工后，及时提交完整的竣工结算审核报告；</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5.协助甲方及时审核设计变更、经济签证等发生的费用，超过一定限额的，提请甲方履行报批程序；</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6.项目承、发包方发生工程价款结算争议时，为甲方提供咨询意见；</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 xml:space="preserve">7.参与项目建设管理的有关会议，对项目投资控制的有关事项发表独立审计意见； </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8.其他与项目投资控制相关的工作。</w:t>
      </w:r>
    </w:p>
    <w:p>
      <w:pPr>
        <w:keepNext w:val="0"/>
        <w:keepLines w:val="0"/>
        <w:pageBreakBefore w:val="0"/>
        <w:kinsoku/>
        <w:wordWrap/>
        <w:overflowPunct/>
        <w:topLinePunct w:val="0"/>
        <w:autoSpaceDE/>
        <w:autoSpaceDN/>
        <w:bidi w:val="0"/>
        <w:snapToGrid w:val="0"/>
        <w:spacing w:line="520" w:lineRule="exact"/>
        <w:ind w:firstLine="472" w:firstLineChars="196"/>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三、项目跟踪审计制度及相关要求</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1.滁州市政府投资项目审计“八不准制度”；</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2.滁州市政府投资项目竣工结算审计结果备案制度；</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3.滁州市建设项目施工阶段全过程造价控制管理暂行办法；</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4.实行定期、分段报告制度。乙方应及时提交项目前期资料审核结果、竣工结算审核报告；</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5.加强对项目变更事项的合理性、经济性审核。对涉及工程造价的重大事项（如工程造价10万元以上的变更事项和设备、材料询价采购等）须及时书面报告甲方；</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6.协助甲方完成项目投资控制的各项工作，接受甲方的项目现场管理。</w:t>
      </w:r>
    </w:p>
    <w:p>
      <w:pPr>
        <w:keepNext w:val="0"/>
        <w:keepLines w:val="0"/>
        <w:pageBreakBefore w:val="0"/>
        <w:kinsoku/>
        <w:wordWrap/>
        <w:overflowPunct/>
        <w:topLinePunct w:val="0"/>
        <w:autoSpaceDE/>
        <w:autoSpaceDN/>
        <w:bidi w:val="0"/>
        <w:snapToGrid w:val="0"/>
        <w:spacing w:line="520" w:lineRule="exact"/>
        <w:ind w:firstLine="472" w:firstLineChars="196"/>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四、项目跟踪审计组及人员配备要求</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1.乙方须成立项目跟踪审计组，配备相应数量具有相关专业执业资质的审计人员（满足文件要求）。本项目审计组负责人为</w:t>
      </w:r>
      <w:r>
        <w:rPr>
          <w:rFonts w:hint="eastAsia" w:ascii="宋体" w:hAnsi="宋体" w:cs="宋体"/>
          <w:color w:val="auto"/>
          <w:highlight w:val="none"/>
          <w:u w:val="single"/>
        </w:rPr>
        <w:t>姓名、一级注册造价工程证书号、联系电话</w:t>
      </w:r>
      <w:r>
        <w:rPr>
          <w:rFonts w:hint="eastAsia" w:ascii="宋体" w:hAnsi="宋体" w:cs="宋体"/>
          <w:color w:val="auto"/>
          <w:highlight w:val="none"/>
        </w:rPr>
        <w:t>，成员为</w:t>
      </w:r>
      <w:r>
        <w:rPr>
          <w:rFonts w:hint="eastAsia" w:ascii="宋体" w:hAnsi="宋体" w:cs="宋体"/>
          <w:color w:val="auto"/>
          <w:highlight w:val="none"/>
          <w:u w:val="single"/>
        </w:rPr>
        <w:t>姓名、一级注册造价工程证师或二级注册造价工程师或造价员证书号、联系电话</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2.项目审计人员须服从甲方的工作安排，未经甲方许可，乙方不得随意更换、调整审计组人员。</w:t>
      </w:r>
    </w:p>
    <w:p>
      <w:pPr>
        <w:keepNext w:val="0"/>
        <w:keepLines w:val="0"/>
        <w:pageBreakBefore w:val="0"/>
        <w:kinsoku/>
        <w:wordWrap/>
        <w:overflowPunct/>
        <w:topLinePunct w:val="0"/>
        <w:autoSpaceDE/>
        <w:autoSpaceDN/>
        <w:bidi w:val="0"/>
        <w:snapToGrid w:val="0"/>
        <w:spacing w:line="520" w:lineRule="exact"/>
        <w:ind w:firstLine="472" w:firstLineChars="196"/>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五、项目跟踪审计质量要求</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甲方对乙方出具的项目竣工结算审核报告进行复审或抽查，审查结果误差按以下办法处理：（1）审查结果误差率在2%以内（含），可按照委托协议约定收取审计服务费用；（2）审查结果误差在2%-3%（含）之间，审计服务费用扣除15%；（3）审查结果误差在3%-4%（含）之间，审计服务费用扣除30%；（4）审查结果误差超过4%, 全额扣除审计服务费用；</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2.若乙方出现无证人员执业、挂靠执业、执业人员不到岗等违反国家、省、市相关工程造价管理文件规定，被建设行政主管部门记两次不良行为记录或列入黑名单的，甲方将终止委托审计业务；</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3.若乙方出现因违背行业准则和规范的行为被司法、纪检、检察、公安、建设行政主管部门等查处的，甲方将终止委托审计业务。</w:t>
      </w:r>
    </w:p>
    <w:p>
      <w:pPr>
        <w:keepNext w:val="0"/>
        <w:keepLines w:val="0"/>
        <w:pageBreakBefore w:val="0"/>
        <w:kinsoku/>
        <w:wordWrap/>
        <w:overflowPunct/>
        <w:topLinePunct w:val="0"/>
        <w:autoSpaceDE/>
        <w:autoSpaceDN/>
        <w:bidi w:val="0"/>
        <w:snapToGrid w:val="0"/>
        <w:spacing w:line="520" w:lineRule="exact"/>
        <w:ind w:firstLine="472" w:firstLineChars="196"/>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六、项目跟踪审计服务费用标准及结算方式</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1.项目跟踪审计服务费用标准</w:t>
      </w:r>
    </w:p>
    <w:p>
      <w:pPr>
        <w:keepNext w:val="0"/>
        <w:keepLines w:val="0"/>
        <w:pageBreakBefore w:val="0"/>
        <w:kinsoku/>
        <w:wordWrap/>
        <w:overflowPunct/>
        <w:topLinePunct w:val="0"/>
        <w:autoSpaceDE/>
        <w:autoSpaceDN/>
        <w:bidi w:val="0"/>
        <w:snapToGrid w:val="0"/>
        <w:spacing w:line="520" w:lineRule="exact"/>
        <w:ind w:firstLine="555"/>
        <w:jc w:val="left"/>
        <w:textAlignment w:val="auto"/>
        <w:rPr>
          <w:rFonts w:ascii="宋体" w:hAnsi="宋体" w:cs="宋体"/>
          <w:color w:val="auto"/>
          <w:highlight w:val="none"/>
        </w:rPr>
      </w:pPr>
      <w:r>
        <w:rPr>
          <w:rFonts w:hint="eastAsia" w:ascii="宋体" w:hAnsi="宋体" w:cs="宋体"/>
          <w:color w:val="auto"/>
          <w:highlight w:val="none"/>
        </w:rPr>
        <w:t>本项目基本费为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，审核成果费率为：</w:t>
      </w:r>
      <w:r>
        <w:rPr>
          <w:rFonts w:hint="eastAsia" w:ascii="宋体" w:hAnsi="宋体" w:cs="宋体"/>
          <w:color w:val="auto"/>
          <w:highlight w:val="none"/>
          <w:u w:val="single"/>
        </w:rPr>
        <w:t xml:space="preserve"> 1.5  </w:t>
      </w:r>
      <w:r>
        <w:rPr>
          <w:rFonts w:hint="eastAsia" w:ascii="宋体" w:hAnsi="宋体" w:cs="宋体"/>
          <w:color w:val="auto"/>
          <w:highlight w:val="none"/>
        </w:rPr>
        <w:t>％</w:t>
      </w:r>
      <w:r>
        <w:rPr>
          <w:rFonts w:hint="eastAsia" w:ascii="宋体" w:hAnsi="宋体" w:cs="宋体"/>
          <w:color w:val="auto"/>
          <w:sz w:val="24"/>
          <w:szCs w:val="24"/>
          <w:highlight w:val="none"/>
        </w:rPr>
        <w:t>（审核成果费率固定不变，由施工单位支付）</w:t>
      </w:r>
    </w:p>
    <w:p>
      <w:pPr>
        <w:keepNext w:val="0"/>
        <w:keepLines w:val="0"/>
        <w:pageBreakBefore w:val="0"/>
        <w:kinsoku/>
        <w:wordWrap/>
        <w:overflowPunct/>
        <w:topLinePunct w:val="0"/>
        <w:autoSpaceDE/>
        <w:autoSpaceDN/>
        <w:bidi w:val="0"/>
        <w:snapToGrid w:val="0"/>
        <w:spacing w:line="520" w:lineRule="exact"/>
        <w:ind w:firstLine="555"/>
        <w:jc w:val="left"/>
        <w:textAlignment w:val="auto"/>
        <w:rPr>
          <w:rFonts w:ascii="宋体" w:hAnsi="宋体" w:cs="宋体"/>
          <w:color w:val="auto"/>
          <w:highlight w:val="none"/>
        </w:rPr>
      </w:pPr>
      <w:r>
        <w:rPr>
          <w:rFonts w:hint="eastAsia" w:ascii="宋体" w:hAnsi="宋体" w:cs="宋体"/>
          <w:color w:val="auto"/>
          <w:highlight w:val="none"/>
        </w:rPr>
        <w:t>说明：（1）跟踪审计费用计算方式为：基本费用+审核成果费用;</w:t>
      </w:r>
    </w:p>
    <w:p>
      <w:pPr>
        <w:keepNext w:val="0"/>
        <w:keepLines w:val="0"/>
        <w:pageBreakBefore w:val="0"/>
        <w:kinsoku/>
        <w:wordWrap/>
        <w:overflowPunct/>
        <w:topLinePunct w:val="0"/>
        <w:autoSpaceDE/>
        <w:autoSpaceDN/>
        <w:bidi w:val="0"/>
        <w:snapToGrid w:val="0"/>
        <w:spacing w:line="520" w:lineRule="exact"/>
        <w:ind w:firstLine="555"/>
        <w:jc w:val="left"/>
        <w:textAlignment w:val="auto"/>
        <w:rPr>
          <w:rFonts w:ascii="宋体" w:hAnsi="宋体" w:cs="宋体"/>
          <w:color w:val="auto"/>
          <w:highlight w:val="none"/>
        </w:rPr>
      </w:pPr>
      <w:r>
        <w:rPr>
          <w:rFonts w:hint="eastAsia" w:ascii="宋体" w:hAnsi="宋体" w:cs="宋体"/>
          <w:color w:val="auto"/>
          <w:highlight w:val="none"/>
        </w:rPr>
        <w:t>2.项目跟踪审计费用结算方式</w:t>
      </w:r>
    </w:p>
    <w:p>
      <w:pPr>
        <w:keepNext w:val="0"/>
        <w:keepLines w:val="0"/>
        <w:pageBreakBefore w:val="0"/>
        <w:kinsoku/>
        <w:wordWrap/>
        <w:overflowPunct/>
        <w:topLinePunct w:val="0"/>
        <w:autoSpaceDE/>
        <w:autoSpaceDN/>
        <w:bidi w:val="0"/>
        <w:snapToGrid w:val="0"/>
        <w:spacing w:line="520" w:lineRule="exact"/>
        <w:ind w:firstLine="422" w:firstLineChars="200"/>
        <w:jc w:val="left"/>
        <w:textAlignment w:val="auto"/>
        <w:rPr>
          <w:rFonts w:hint="eastAsia" w:ascii="宋体" w:hAnsi="宋体" w:cs="宋体"/>
          <w:b/>
          <w:bCs/>
          <w:color w:val="auto"/>
          <w:highlight w:val="none"/>
        </w:rPr>
      </w:pPr>
      <w:r>
        <w:rPr>
          <w:rFonts w:hint="eastAsia" w:ascii="宋体" w:hAnsi="宋体" w:cs="宋体"/>
          <w:b/>
          <w:bCs/>
          <w:color w:val="auto"/>
          <w:highlight w:val="none"/>
        </w:rPr>
        <w:t>（1）各项目独立结算，结算费率根据工程造价按照中标费率结算。</w:t>
      </w:r>
    </w:p>
    <w:p>
      <w:pPr>
        <w:keepNext w:val="0"/>
        <w:keepLines w:val="0"/>
        <w:pageBreakBefore w:val="0"/>
        <w:kinsoku/>
        <w:wordWrap/>
        <w:overflowPunct/>
        <w:topLinePunct w:val="0"/>
        <w:autoSpaceDE/>
        <w:autoSpaceDN/>
        <w:bidi w:val="0"/>
        <w:snapToGrid w:val="0"/>
        <w:spacing w:line="520" w:lineRule="exact"/>
        <w:ind w:firstLine="422" w:firstLineChars="200"/>
        <w:jc w:val="left"/>
        <w:textAlignment w:val="auto"/>
        <w:rPr>
          <w:rFonts w:hint="eastAsia" w:ascii="宋体" w:hAnsi="宋体" w:cs="宋体"/>
          <w:b/>
          <w:bCs/>
          <w:color w:val="auto"/>
          <w:highlight w:val="none"/>
        </w:rPr>
      </w:pPr>
      <w:r>
        <w:rPr>
          <w:rFonts w:hint="eastAsia" w:ascii="宋体" w:hAnsi="宋体" w:cs="宋体"/>
          <w:b/>
          <w:bCs/>
          <w:color w:val="auto"/>
          <w:highlight w:val="none"/>
        </w:rPr>
        <w:t>每季度支付已完工程基本费率的60%，项目竣工验收合格且审计定案完成后一次性无息支付全部费用（初期以施工中标价扣除暂列金为计算基数，最终结算以审定价格为计算基数）</w:t>
      </w:r>
      <w:r>
        <w:rPr>
          <w:rFonts w:hint="eastAsia" w:ascii="宋体" w:hAnsi="宋体" w:cs="宋体"/>
          <w:b/>
          <w:bCs/>
          <w:color w:val="auto"/>
          <w:szCs w:val="21"/>
          <w:highlight w:val="none"/>
          <w:lang w:eastAsia="zh-CN"/>
        </w:rPr>
        <w:t>。</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（2）乙方未按要求完成跟踪审计工作并移交相关资料，甲方有权拒付审计服务费用，</w:t>
      </w:r>
      <w:r>
        <w:rPr>
          <w:rFonts w:hint="eastAsia" w:ascii="宋体" w:hAnsi="宋体" w:cs="宋体"/>
          <w:color w:val="auto"/>
          <w:highlight w:val="none"/>
        </w:rPr>
        <w:t>并按照《政府投资项目跟踪审计协审机构跟踪审计工作考核办法》的</w:t>
      </w:r>
      <w:r>
        <w:rPr>
          <w:rFonts w:hint="eastAsia" w:ascii="宋体" w:hAnsi="宋体" w:cs="宋体"/>
          <w:color w:val="auto"/>
          <w:highlight w:val="none"/>
        </w:rPr>
        <w:t>有关规定追究项目协审机构相关责任。</w:t>
      </w:r>
    </w:p>
    <w:p>
      <w:pPr>
        <w:keepNext w:val="0"/>
        <w:keepLines w:val="0"/>
        <w:pageBreakBefore w:val="0"/>
        <w:kinsoku/>
        <w:wordWrap/>
        <w:overflowPunct/>
        <w:topLinePunct w:val="0"/>
        <w:autoSpaceDE/>
        <w:autoSpaceDN/>
        <w:bidi w:val="0"/>
        <w:snapToGrid w:val="0"/>
        <w:spacing w:line="520" w:lineRule="exact"/>
        <w:ind w:firstLine="472" w:firstLineChars="196"/>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七、项目跟踪审计工作考核</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经核实，乙方有下列情形之一的，甲方可对乙方警告、扣减审计服务费用、终止审计委托协议等：</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（1）工程结算审核报告存在重大失误或质量低劣；</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（2）因自身工作错误或过失造成重大损失；</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（3）未经允许私自向施工单位透露审核情况或信息；</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（4）向相关单位或个人索要财物等谋取不正当利益；</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（5）单独或与其他各方串通舞弊、弄虚作假虚增；</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（6）其他违反法律法规和政策的行为。</w:t>
      </w:r>
    </w:p>
    <w:p>
      <w:pPr>
        <w:keepNext w:val="0"/>
        <w:keepLines w:val="0"/>
        <w:pageBreakBefore w:val="0"/>
        <w:kinsoku/>
        <w:wordWrap/>
        <w:overflowPunct/>
        <w:topLinePunct w:val="0"/>
        <w:autoSpaceDE/>
        <w:autoSpaceDN/>
        <w:bidi w:val="0"/>
        <w:snapToGrid w:val="0"/>
        <w:spacing w:line="520" w:lineRule="exact"/>
        <w:ind w:firstLine="482" w:firstLineChars="200"/>
        <w:jc w:val="left"/>
        <w:textAlignment w:val="auto"/>
        <w:rPr>
          <w:rFonts w:ascii="宋体" w:hAnsi="宋体" w:cs="宋体"/>
          <w:color w:val="auto"/>
          <w:highlight w:val="none"/>
        </w:rPr>
      </w:pPr>
      <w:r>
        <w:rPr>
          <w:rFonts w:hint="eastAsia" w:ascii="宋体" w:hAnsi="宋体" w:cs="宋体"/>
          <w:b/>
          <w:bCs/>
          <w:color w:val="auto"/>
          <w:sz w:val="24"/>
          <w:szCs w:val="24"/>
          <w:highlight w:val="none"/>
        </w:rPr>
        <w:t>八、甲乙双方的权利和义务</w:t>
      </w:r>
      <w:r>
        <w:rPr>
          <w:rFonts w:hint="eastAsia" w:ascii="宋体" w:hAnsi="宋体" w:cs="宋体"/>
          <w:color w:val="auto"/>
          <w:highlight w:val="none"/>
        </w:rPr>
        <w:t xml:space="preserve"> </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 xml:space="preserve">1.甲方权利和义务 </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（1）甲方有权对乙方的跟踪审计项目实施监督，对乙方审计工作程序、质量和效率等进行检查考核；</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（2）项目跟踪审计过程中，甲方如发现乙方所派审计人员不符合要求或不能胜任岗位工作职责的，甲方有权要求乙方及时调换，或视情况给予相应的处理、处罚；</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（3）甲方保证乙方审计服务费用的按时到位。</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2.乙方权利和义务</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（1）乙方在完成审计任务后，有权及时取得审计服务费用；</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（2）乙方须依照甲方工作要求及行业准则、规范，按时、保质、保量完成所承担的审计任务；</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（3）乙方必须对审计人员进行廉政教育，如发现有违反廉洁自律规定的行为，应立即更换人员，并对其严肃处理。同时，甲方可根据性质及情节，扣减相应审计服务费用。</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）拟派人员实行考勤，考勤由建设单位或监理单位负责，项目负责人每月在岗时间不得少于22天，且每天驻场人员不得少于2人，否则扣除5000元/天，若发现三次以上，招标人有权清退出场。</w:t>
      </w:r>
    </w:p>
    <w:p>
      <w:pPr>
        <w:keepNext w:val="0"/>
        <w:keepLines w:val="0"/>
        <w:pageBreakBefore w:val="0"/>
        <w:kinsoku/>
        <w:wordWrap/>
        <w:overflowPunct/>
        <w:topLinePunct w:val="0"/>
        <w:autoSpaceDE/>
        <w:autoSpaceDN/>
        <w:bidi w:val="0"/>
        <w:snapToGrid w:val="0"/>
        <w:spacing w:line="520" w:lineRule="exact"/>
        <w:ind w:firstLine="472" w:firstLineChars="196"/>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九、附则</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b/>
          <w:color w:val="auto"/>
          <w:highlight w:val="none"/>
        </w:rPr>
      </w:pPr>
      <w:r>
        <w:rPr>
          <w:rFonts w:hint="eastAsia" w:ascii="宋体" w:hAnsi="宋体" w:cs="宋体"/>
          <w:color w:val="auto"/>
          <w:highlight w:val="none"/>
        </w:rPr>
        <w:t>1.本协议一式肆份，具有同等法律效力，甲方、乙方各执贰份。</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2.本协议未尽事宜，由甲乙双方协商解决。协商不成，可向滁州市南谯区人民法院提起诉讼。</w:t>
      </w:r>
    </w:p>
    <w:p>
      <w:pPr>
        <w:keepNext w:val="0"/>
        <w:keepLines w:val="0"/>
        <w:pageBreakBefore w:val="0"/>
        <w:kinsoku/>
        <w:wordWrap/>
        <w:overflowPunct/>
        <w:topLinePunct w:val="0"/>
        <w:autoSpaceDE/>
        <w:autoSpaceDN/>
        <w:bidi w:val="0"/>
        <w:snapToGrid w:val="0"/>
        <w:spacing w:line="52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3.本合同自双方签章后生效。</w:t>
      </w:r>
    </w:p>
    <w:p>
      <w:pPr>
        <w:pageBreakBefore w:val="0"/>
        <w:kinsoku/>
        <w:wordWrap/>
        <w:overflowPunct/>
        <w:topLinePunct w:val="0"/>
        <w:autoSpaceDE/>
        <w:autoSpaceDN/>
        <w:bidi w:val="0"/>
        <w:spacing w:line="560" w:lineRule="exact"/>
        <w:ind w:firstLine="1680" w:firstLineChars="800"/>
        <w:jc w:val="left"/>
        <w:textAlignment w:val="auto"/>
        <w:rPr>
          <w:rFonts w:hint="eastAsia" w:ascii="宋体" w:hAnsi="宋体" w:cs="宋体"/>
          <w:color w:val="auto"/>
          <w:highlight w:val="none"/>
        </w:rPr>
      </w:pPr>
    </w:p>
    <w:p>
      <w:pPr>
        <w:pageBreakBefore w:val="0"/>
        <w:kinsoku/>
        <w:wordWrap/>
        <w:overflowPunct/>
        <w:topLinePunct w:val="0"/>
        <w:autoSpaceDE/>
        <w:autoSpaceDN/>
        <w:bidi w:val="0"/>
        <w:spacing w:line="560" w:lineRule="exact"/>
        <w:ind w:firstLine="1680" w:firstLineChars="800"/>
        <w:jc w:val="left"/>
        <w:textAlignment w:val="auto"/>
        <w:rPr>
          <w:rFonts w:hint="eastAsia" w:ascii="宋体" w:hAnsi="宋体" w:cs="宋体"/>
          <w:color w:val="auto"/>
          <w:highlight w:val="none"/>
        </w:rPr>
      </w:pPr>
    </w:p>
    <w:p>
      <w:pPr>
        <w:pageBreakBefore w:val="0"/>
        <w:kinsoku/>
        <w:wordWrap/>
        <w:overflowPunct/>
        <w:topLinePunct w:val="0"/>
        <w:autoSpaceDE/>
        <w:autoSpaceDN/>
        <w:bidi w:val="0"/>
        <w:spacing w:line="560" w:lineRule="exact"/>
        <w:ind w:firstLine="840" w:firstLineChars="400"/>
        <w:jc w:val="left"/>
        <w:textAlignment w:val="auto"/>
        <w:rPr>
          <w:rFonts w:ascii="宋体" w:hAnsi="宋体" w:cs="宋体"/>
          <w:color w:val="auto"/>
          <w:highlight w:val="none"/>
        </w:rPr>
      </w:pPr>
      <w:r>
        <w:rPr>
          <w:rFonts w:hint="eastAsia" w:ascii="宋体" w:hAnsi="宋体" w:cs="宋体"/>
          <w:color w:val="auto"/>
          <w:highlight w:val="none"/>
        </w:rPr>
        <w:t xml:space="preserve">甲方（签章）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乙方（签章）</w:t>
      </w:r>
    </w:p>
    <w:p>
      <w:pPr>
        <w:pStyle w:val="42"/>
        <w:pageBreakBefore w:val="0"/>
        <w:kinsoku/>
        <w:wordWrap/>
        <w:overflowPunct/>
        <w:topLinePunct w:val="0"/>
        <w:autoSpaceDE/>
        <w:autoSpaceDN/>
        <w:bidi w:val="0"/>
        <w:snapToGrid w:val="0"/>
        <w:spacing w:before="0" w:beforeAutospacing="0" w:after="0" w:afterAutospacing="0" w:line="560" w:lineRule="exact"/>
        <w:ind w:firstLine="840" w:firstLineChars="400"/>
        <w:textAlignment w:val="auto"/>
        <w:rPr>
          <w:rFonts w:ascii="仿宋_GB2312" w:hAnsi="仿宋" w:eastAsia="仿宋_GB2312" w:cs="Times New Roman"/>
          <w:color w:val="auto"/>
          <w:kern w:val="2"/>
          <w:sz w:val="28"/>
          <w:szCs w:val="28"/>
          <w:highlight w:val="none"/>
        </w:rPr>
      </w:pPr>
      <w:r>
        <w:rPr>
          <w:rFonts w:hint="eastAsia"/>
          <w:color w:val="auto"/>
          <w:sz w:val="21"/>
          <w:szCs w:val="21"/>
          <w:highlight w:val="none"/>
        </w:rPr>
        <w:t xml:space="preserve">年    月    日                </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年   月   日</w:t>
      </w:r>
      <w:r>
        <w:rPr>
          <w:rFonts w:hint="eastAsia" w:ascii="仿宋_GB2312" w:hAnsi="仿宋" w:eastAsia="仿宋_GB2312" w:cs="Times New Roman"/>
          <w:color w:val="auto"/>
          <w:kern w:val="2"/>
          <w:sz w:val="28"/>
          <w:szCs w:val="28"/>
          <w:highlight w:val="none"/>
        </w:rPr>
        <w:t xml:space="preserve"> </w:t>
      </w:r>
    </w:p>
    <w:p>
      <w:pPr>
        <w:spacing w:before="159" w:beforeLines="50" w:after="159" w:afterLines="50"/>
        <w:jc w:val="center"/>
        <w:rPr>
          <w:rFonts w:ascii="宋体"/>
          <w:b/>
          <w:color w:val="auto"/>
          <w:sz w:val="32"/>
          <w:szCs w:val="32"/>
          <w:highlight w:val="none"/>
        </w:rPr>
      </w:pPr>
    </w:p>
    <w:p>
      <w:pPr>
        <w:rPr>
          <w:color w:val="auto"/>
          <w:highlight w:val="none"/>
        </w:rPr>
      </w:pPr>
      <w:r>
        <w:rPr>
          <w:rFonts w:hint="eastAsia" w:ascii="仿宋_GB2312" w:eastAsia="仿宋_GB2312"/>
          <w:color w:val="auto"/>
          <w:sz w:val="28"/>
          <w:szCs w:val="28"/>
          <w:highlight w:val="none"/>
          <w:u w:val="single"/>
        </w:rPr>
        <w:t xml:space="preserve">       </w:t>
      </w:r>
    </w:p>
    <w:p>
      <w:pPr>
        <w:pStyle w:val="6"/>
        <w:spacing w:before="0" w:after="0"/>
        <w:rPr>
          <w:rFonts w:hint="eastAsia" w:ascii="宋体" w:hAnsi="宋体" w:eastAsia="宋体" w:cs="宋体"/>
          <w:color w:val="auto"/>
          <w:kern w:val="2"/>
          <w:sz w:val="28"/>
          <w:szCs w:val="28"/>
          <w:highlight w:val="none"/>
        </w:rPr>
      </w:pPr>
      <w:bookmarkStart w:id="101" w:name="_Toc20381"/>
      <w:bookmarkStart w:id="102" w:name="_Toc31238"/>
    </w:p>
    <w:p>
      <w:pP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br w:type="page"/>
      </w:r>
    </w:p>
    <w:p>
      <w:pPr>
        <w:pStyle w:val="6"/>
        <w:spacing w:before="0" w:after="0"/>
        <w:rPr>
          <w:rFonts w:ascii="宋体" w:hAnsi="宋体" w:eastAsia="宋体" w:cs="宋体"/>
          <w:color w:val="auto"/>
          <w:kern w:val="2"/>
          <w:sz w:val="28"/>
          <w:szCs w:val="28"/>
          <w:highlight w:val="none"/>
        </w:rPr>
      </w:pPr>
      <w:bookmarkStart w:id="103" w:name="_Toc20559"/>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六</w:t>
      </w:r>
      <w:r>
        <w:rPr>
          <w:rFonts w:hint="eastAsia" w:ascii="宋体" w:hAnsi="宋体" w:eastAsia="宋体" w:cs="宋体"/>
          <w:color w:val="auto"/>
          <w:kern w:val="2"/>
          <w:sz w:val="28"/>
          <w:szCs w:val="28"/>
          <w:highlight w:val="none"/>
        </w:rPr>
        <w:t>章投标文件格式</w:t>
      </w:r>
      <w:bookmarkEnd w:id="101"/>
      <w:bookmarkEnd w:id="102"/>
      <w:bookmarkEnd w:id="103"/>
    </w:p>
    <w:p>
      <w:pPr>
        <w:jc w:val="center"/>
        <w:rPr>
          <w:rFonts w:ascii="宋体" w:hAnsi="宋体" w:cs="宋体"/>
          <w:color w:val="auto"/>
          <w:sz w:val="28"/>
          <w:szCs w:val="28"/>
          <w:highlight w:val="none"/>
          <w:u w:val="single"/>
        </w:rPr>
      </w:pPr>
    </w:p>
    <w:p>
      <w:pPr>
        <w:pStyle w:val="2"/>
        <w:ind w:firstLine="560"/>
        <w:rPr>
          <w:color w:val="auto"/>
          <w:highlight w:val="none"/>
        </w:rPr>
      </w:pPr>
    </w:p>
    <w:p>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hint="eastAsia" w:eastAsia="黑体"/>
          <w:color w:val="auto"/>
          <w:sz w:val="44"/>
          <w:szCs w:val="44"/>
          <w:highlight w:val="none"/>
          <w:lang w:eastAsia="zh-CN"/>
        </w:rPr>
      </w:pPr>
      <w:r>
        <w:rPr>
          <w:rFonts w:eastAsia="黑体"/>
          <w:color w:val="auto"/>
          <w:sz w:val="44"/>
          <w:szCs w:val="44"/>
          <w:highlight w:val="none"/>
        </w:rPr>
        <w:t xml:space="preserve">投  标  文  件  </w:t>
      </w:r>
      <w:r>
        <w:rPr>
          <w:rFonts w:hint="eastAsia" w:eastAsia="黑体"/>
          <w:color w:val="auto"/>
          <w:sz w:val="44"/>
          <w:szCs w:val="44"/>
          <w:highlight w:val="none"/>
          <w:lang w:val="en-US" w:eastAsia="zh-CN"/>
        </w:rPr>
        <w:t>一</w:t>
      </w:r>
    </w:p>
    <w:p>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资信证明</w:t>
      </w:r>
      <w:r>
        <w:rPr>
          <w:rFonts w:eastAsia="黑体"/>
          <w:color w:val="auto"/>
          <w:sz w:val="44"/>
          <w:szCs w:val="44"/>
          <w:highlight w:val="none"/>
        </w:rPr>
        <w:t>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pPr>
        <w:jc w:val="center"/>
        <w:rPr>
          <w:b/>
          <w:color w:val="auto"/>
          <w:sz w:val="28"/>
          <w:szCs w:val="28"/>
          <w:highlight w:val="none"/>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（1）法定代表人身份证明文件和本人有效身份证(或法定代表人授权委托书和委托代理人有效身份证)；</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（2）诚信投标承诺书（格式见附件）；</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企业营业执照（或三证合一的有效证件）</w:t>
      </w:r>
      <w:r>
        <w:rPr>
          <w:rFonts w:hint="eastAsia" w:ascii="宋体" w:hAnsi="宋体" w:cs="宋体"/>
          <w:color w:val="auto"/>
          <w:szCs w:val="21"/>
          <w:highlight w:val="none"/>
        </w:rPr>
        <w:t>；</w:t>
      </w:r>
    </w:p>
    <w:p>
      <w:pPr>
        <w:spacing w:line="440" w:lineRule="exact"/>
        <w:ind w:firstLine="420" w:firstLineChars="200"/>
        <w:jc w:val="left"/>
        <w:rPr>
          <w:rFonts w:hint="eastAsia" w:ascii="宋体" w:hAnsi="宋体" w:cs="宋体"/>
          <w:color w:val="auto"/>
          <w:spacing w:val="-1"/>
          <w:szCs w:val="21"/>
          <w:highlight w:val="none"/>
        </w:rPr>
      </w:pPr>
      <w:r>
        <w:rPr>
          <w:rFonts w:hint="eastAsia" w:ascii="宋体" w:hAnsi="宋体" w:cs="宋体"/>
          <w:color w:val="auto"/>
          <w:szCs w:val="21"/>
          <w:highlight w:val="none"/>
        </w:rPr>
        <w:t>（5）拟派项目负责人有效身份证及资质要求的相关证书</w:t>
      </w:r>
      <w:r>
        <w:rPr>
          <w:rFonts w:hint="eastAsia" w:ascii="宋体" w:hAnsi="宋体" w:cs="宋体"/>
          <w:color w:val="auto"/>
          <w:spacing w:val="-1"/>
          <w:szCs w:val="21"/>
          <w:highlight w:val="none"/>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）投标人的法定代表人(或委托代理人)和拟任项目负责人须持有社保部门出具的本单位为其缴纳的投标前近</w:t>
      </w:r>
      <w:r>
        <w:rPr>
          <w:rFonts w:hint="eastAsia" w:ascii="宋体" w:hAnsi="宋体" w:cs="宋体"/>
          <w:color w:val="auto"/>
          <w:szCs w:val="21"/>
          <w:highlight w:val="none"/>
          <w:lang w:eastAsia="zh-CN"/>
        </w:rPr>
        <w:t>六个月连续的养老保险证明</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项目组成员注册证书复印件加盖投标人公章和证明专业的证明材料；</w:t>
      </w:r>
    </w:p>
    <w:p>
      <w:pPr>
        <w:spacing w:line="440" w:lineRule="exact"/>
        <w:ind w:firstLine="420" w:firstLineChars="200"/>
        <w:jc w:val="left"/>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8）资信评分证明材料；</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投标人认为需要提供的其它证明材料。</w:t>
      </w:r>
    </w:p>
    <w:p>
      <w:pPr>
        <w:spacing w:line="500" w:lineRule="exact"/>
        <w:jc w:val="left"/>
        <w:rPr>
          <w:rFonts w:ascii="仿宋" w:hAnsi="仿宋" w:eastAsia="仿宋" w:cs="仿宋"/>
          <w:b/>
          <w:color w:val="auto"/>
          <w:sz w:val="28"/>
          <w:szCs w:val="28"/>
          <w:highlight w:val="none"/>
        </w:rPr>
      </w:pPr>
      <w:r>
        <w:rPr>
          <w:rFonts w:hint="eastAsia" w:ascii="宋体" w:hAnsi="宋体" w:cs="宋体"/>
          <w:b/>
          <w:color w:val="auto"/>
          <w:sz w:val="24"/>
          <w:szCs w:val="24"/>
          <w:highlight w:val="none"/>
        </w:rPr>
        <w:t>以上材料须提供原件或复印件加盖投标人公章，否则按无效标处理。</w:t>
      </w:r>
      <w:r>
        <w:rPr>
          <w:rFonts w:ascii="仿宋" w:hAnsi="仿宋" w:eastAsia="仿宋" w:cs="仿宋"/>
          <w:b/>
          <w:color w:val="auto"/>
          <w:sz w:val="28"/>
          <w:szCs w:val="28"/>
          <w:highlight w:val="none"/>
        </w:rPr>
        <w:br w:type="page"/>
      </w:r>
    </w:p>
    <w:p>
      <w:pPr>
        <w:jc w:val="center"/>
        <w:rPr>
          <w:rFonts w:ascii="仿宋" w:hAnsi="仿宋" w:eastAsia="仿宋" w:cs="仿宋"/>
          <w:color w:val="auto"/>
          <w:sz w:val="32"/>
          <w:szCs w:val="32"/>
          <w:highlight w:val="none"/>
        </w:rPr>
      </w:pPr>
      <w:r>
        <w:rPr>
          <w:rFonts w:hint="eastAsia" w:ascii="仿宋" w:hAnsi="仿宋" w:eastAsia="仿宋" w:cs="仿宋"/>
          <w:b/>
          <w:color w:val="auto"/>
          <w:sz w:val="28"/>
          <w:szCs w:val="28"/>
          <w:highlight w:val="none"/>
        </w:rPr>
        <w:t>法定代表人身份证明或授权委托书</w:t>
      </w:r>
    </w:p>
    <w:p>
      <w:pPr>
        <w:pStyle w:val="145"/>
        <w:spacing w:before="318" w:beforeLines="100" w:after="318" w:afterLines="100" w:line="480" w:lineRule="exact"/>
        <w:ind w:firstLine="180" w:firstLineChars="75"/>
        <w:rPr>
          <w:rFonts w:ascii="宋体" w:hAnsi="宋体" w:cs="宋体"/>
          <w:b/>
          <w:color w:val="auto"/>
          <w:sz w:val="24"/>
          <w:szCs w:val="24"/>
          <w:highlight w:val="none"/>
        </w:rPr>
      </w:pPr>
      <w:bookmarkStart w:id="104" w:name="OLE_LINK13"/>
      <w:r>
        <w:rPr>
          <w:rFonts w:hint="eastAsia" w:ascii="宋体" w:hAnsi="宋体" w:cs="宋体"/>
          <w:color w:val="auto"/>
          <w:sz w:val="24"/>
          <w:szCs w:val="24"/>
          <w:highlight w:val="none"/>
        </w:rPr>
        <w:t>1、法定代表人身份证明</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80" w:lineRule="exact"/>
        <w:ind w:firstLine="1440" w:firstLineChars="200"/>
        <w:rPr>
          <w:rFonts w:ascii="宋体" w:hAnsi="宋体" w:cs="宋体"/>
          <w:color w:val="auto"/>
          <w:sz w:val="24"/>
          <w:highlight w:val="non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_职务：</w:t>
      </w:r>
      <w:r>
        <w:rPr>
          <w:rFonts w:hint="eastAsia" w:ascii="宋体" w:hAnsi="宋体" w:cs="宋体"/>
          <w:color w:val="auto"/>
          <w:sz w:val="24"/>
          <w:highlight w:val="none"/>
          <w:u w:val="single"/>
        </w:rPr>
        <w:t xml:space="preserve">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pPr>
        <w:spacing w:line="48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firstLine="3480" w:firstLineChars="145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bookmarkEnd w:id="104"/>
    </w:p>
    <w:p>
      <w:pPr>
        <w:pStyle w:val="2"/>
        <w:ind w:firstLine="560"/>
        <w:rPr>
          <w:color w:val="auto"/>
          <w:highlight w:val="none"/>
        </w:rPr>
      </w:pPr>
    </w:p>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2、授权委托书</w:t>
      </w:r>
    </w:p>
    <w:p>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（投标人名称）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工程的投标活动。代理人在投标、开标、评标、合同谈判过程中所签署的一切文件和处理与之有关的一切事务，我均予以承认。</w:t>
      </w:r>
    </w:p>
    <w:p>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代理人无转委托权，特此委托。</w:t>
      </w:r>
    </w:p>
    <w:p>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附：法定代表人及授权委托人有效身份证复印件</w:t>
      </w:r>
    </w:p>
    <w:p>
      <w:pPr>
        <w:spacing w:line="480" w:lineRule="auto"/>
        <w:ind w:right="24"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授权代理人：</w:t>
      </w:r>
      <w:r>
        <w:rPr>
          <w:rFonts w:hint="eastAsia" w:ascii="宋体" w:hAnsi="宋体" w:cs="宋体"/>
          <w:color w:val="auto"/>
          <w:sz w:val="24"/>
          <w:szCs w:val="24"/>
          <w:highlight w:val="none"/>
          <w:u w:val="single"/>
        </w:rPr>
        <w:t xml:space="preserve">   （签字或盖章）</w:t>
      </w:r>
    </w:p>
    <w:p>
      <w:pPr>
        <w:spacing w:line="480" w:lineRule="auto"/>
        <w:ind w:firstLine="5040" w:firstLineChars="2100"/>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（盖章）</w:t>
      </w:r>
    </w:p>
    <w:p>
      <w:pPr>
        <w:spacing w:line="480" w:lineRule="auto"/>
        <w:ind w:right="204"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（签字或盖章）</w:t>
      </w:r>
    </w:p>
    <w:p>
      <w:pPr>
        <w:spacing w:line="480" w:lineRule="auto"/>
        <w:ind w:right="24" w:firstLine="4560" w:firstLineChars="1900"/>
        <w:rPr>
          <w:rFonts w:ascii="宋体" w:hAnsi="宋体" w:cs="宋体"/>
          <w:b/>
          <w:bCs/>
          <w:color w:val="auto"/>
          <w:kern w:val="0"/>
          <w:sz w:val="30"/>
          <w:szCs w:val="30"/>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年     月     日</w:t>
      </w:r>
    </w:p>
    <w:p>
      <w:pPr>
        <w:rPr>
          <w:b/>
          <w:color w:val="auto"/>
          <w:sz w:val="28"/>
          <w:szCs w:val="28"/>
          <w:highlight w:val="none"/>
        </w:rPr>
      </w:pPr>
      <w:r>
        <w:rPr>
          <w:rFonts w:ascii="仿宋" w:hAnsi="仿宋" w:eastAsia="仿宋" w:cs="仿宋"/>
          <w:b/>
          <w:bCs/>
          <w:color w:val="auto"/>
          <w:kern w:val="0"/>
          <w:sz w:val="30"/>
          <w:szCs w:val="30"/>
          <w:highlight w:val="none"/>
        </w:rPr>
        <w:br w:type="page"/>
      </w:r>
    </w:p>
    <w:p>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pPr>
        <w:spacing w:line="360" w:lineRule="auto"/>
        <w:jc w:val="center"/>
        <w:rPr>
          <w:rFonts w:hint="eastAsia"/>
          <w:b/>
          <w:color w:val="auto"/>
          <w:sz w:val="28"/>
          <w:szCs w:val="28"/>
          <w:highlight w:val="none"/>
        </w:rPr>
      </w:pPr>
      <w:r>
        <w:rPr>
          <w:rFonts w:hint="eastAsia"/>
          <w:b/>
          <w:color w:val="auto"/>
          <w:sz w:val="28"/>
          <w:szCs w:val="28"/>
          <w:highlight w:val="none"/>
        </w:rPr>
        <w:t>诚信投标承诺书 </w:t>
      </w:r>
    </w:p>
    <w:p>
      <w:pPr>
        <w:spacing w:line="50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、招标代理机构或其他投标人串通投标，损害国家利益、社会公共利益或者他人的合法权益；</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投标单位（盖单位章）：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p>
    <w:p>
      <w:pPr>
        <w:spacing w:line="500" w:lineRule="exact"/>
        <w:ind w:firstLine="420" w:firstLineChars="200"/>
        <w:rPr>
          <w:rFonts w:hint="eastAsia" w:ascii="宋体" w:hAnsi="宋体"/>
          <w:color w:val="auto"/>
          <w:szCs w:val="21"/>
          <w:highlight w:val="none"/>
        </w:rPr>
      </w:pPr>
    </w:p>
    <w:p>
      <w:pPr>
        <w:spacing w:line="560" w:lineRule="exact"/>
        <w:jc w:val="right"/>
        <w:rPr>
          <w:rFonts w:hint="eastAsia" w:ascii="宋体" w:hAnsi="宋体"/>
          <w:color w:val="auto"/>
          <w:szCs w:val="21"/>
          <w:highlight w:val="none"/>
        </w:rPr>
      </w:pPr>
    </w:p>
    <w:p>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pPr>
        <w:jc w:val="center"/>
        <w:rPr>
          <w:rFonts w:eastAsia="黑体"/>
          <w:color w:val="auto"/>
          <w:sz w:val="28"/>
          <w:szCs w:val="28"/>
          <w:highlight w:val="none"/>
          <w:u w:val="single"/>
        </w:rPr>
      </w:pPr>
    </w:p>
    <w:p>
      <w:pPr>
        <w:pStyle w:val="2"/>
        <w:rPr>
          <w:rFonts w:eastAsia="黑体"/>
          <w:color w:val="auto"/>
          <w:sz w:val="28"/>
          <w:szCs w:val="28"/>
          <w:highlight w:val="none"/>
          <w:u w:val="single"/>
        </w:rPr>
      </w:pPr>
    </w:p>
    <w:p>
      <w:pPr>
        <w:rPr>
          <w:rFonts w:eastAsia="黑体"/>
          <w:color w:val="auto"/>
          <w:sz w:val="28"/>
          <w:szCs w:val="28"/>
          <w:highlight w:val="none"/>
          <w:u w:val="single"/>
        </w:rPr>
      </w:pPr>
    </w:p>
    <w:p>
      <w:pPr>
        <w:pStyle w:val="2"/>
        <w:rPr>
          <w:rFonts w:eastAsia="黑体"/>
          <w:color w:val="auto"/>
          <w:sz w:val="28"/>
          <w:szCs w:val="28"/>
          <w:highlight w:val="none"/>
          <w:u w:val="single"/>
        </w:rPr>
      </w:pPr>
    </w:p>
    <w:p>
      <w:pPr>
        <w:rPr>
          <w:rFonts w:eastAsia="黑体"/>
          <w:color w:val="auto"/>
          <w:sz w:val="28"/>
          <w:szCs w:val="28"/>
          <w:highlight w:val="none"/>
          <w:u w:val="single"/>
        </w:rPr>
      </w:pPr>
    </w:p>
    <w:p>
      <w:pPr>
        <w:pStyle w:val="2"/>
        <w:rPr>
          <w:rFonts w:eastAsia="黑体"/>
          <w:color w:val="auto"/>
          <w:sz w:val="28"/>
          <w:szCs w:val="28"/>
          <w:highlight w:val="none"/>
          <w:u w:val="single"/>
        </w:rPr>
      </w:pPr>
    </w:p>
    <w:p>
      <w:pPr>
        <w:rPr>
          <w:rFonts w:eastAsia="黑体"/>
          <w:color w:val="auto"/>
          <w:sz w:val="28"/>
          <w:szCs w:val="28"/>
          <w:highlight w:val="none"/>
          <w:u w:val="single"/>
        </w:rPr>
      </w:pPr>
    </w:p>
    <w:p>
      <w:pPr>
        <w:rPr>
          <w:rFonts w:eastAsia="黑体"/>
          <w:color w:val="auto"/>
          <w:sz w:val="28"/>
          <w:szCs w:val="28"/>
          <w:highlight w:val="none"/>
          <w:u w:val="single"/>
        </w:rPr>
      </w:pPr>
      <w:r>
        <w:rPr>
          <w:rFonts w:eastAsia="黑体"/>
          <w:color w:val="auto"/>
          <w:sz w:val="28"/>
          <w:szCs w:val="28"/>
          <w:highlight w:val="none"/>
          <w:u w:val="single"/>
        </w:rPr>
        <w:br w:type="page"/>
      </w:r>
    </w:p>
    <w:p>
      <w:pPr>
        <w:rPr>
          <w:highlight w:val="none"/>
        </w:rPr>
      </w:pPr>
    </w:p>
    <w:p>
      <w:pPr>
        <w:rPr>
          <w:color w:val="auto"/>
          <w:highlight w:val="none"/>
        </w:rPr>
      </w:pPr>
    </w:p>
    <w:p>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hint="eastAsia" w:eastAsia="黑体"/>
          <w:color w:val="auto"/>
          <w:sz w:val="44"/>
          <w:szCs w:val="44"/>
          <w:highlight w:val="none"/>
        </w:rPr>
      </w:pPr>
      <w:r>
        <w:rPr>
          <w:rFonts w:eastAsia="黑体"/>
          <w:color w:val="auto"/>
          <w:sz w:val="44"/>
          <w:szCs w:val="44"/>
          <w:highlight w:val="none"/>
        </w:rPr>
        <w:t xml:space="preserve">投  标  文  件  </w:t>
      </w:r>
      <w:r>
        <w:rPr>
          <w:rFonts w:hint="eastAsia" w:eastAsia="黑体"/>
          <w:color w:val="auto"/>
          <w:sz w:val="44"/>
          <w:szCs w:val="44"/>
          <w:highlight w:val="none"/>
        </w:rPr>
        <w:t>二</w:t>
      </w:r>
    </w:p>
    <w:p>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商务</w:t>
      </w:r>
      <w:r>
        <w:rPr>
          <w:rFonts w:eastAsia="黑体"/>
          <w:color w:val="auto"/>
          <w:sz w:val="44"/>
          <w:szCs w:val="44"/>
          <w:highlight w:val="none"/>
        </w:rPr>
        <w:t>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pPr>
        <w:jc w:val="center"/>
        <w:rPr>
          <w:rFonts w:hint="eastAsia" w:eastAsia="黑体"/>
          <w:b/>
          <w:color w:val="auto"/>
          <w:sz w:val="28"/>
          <w:szCs w:val="28"/>
          <w:highlight w:val="none"/>
          <w:u w:val="none"/>
          <w:lang w:val="en-US" w:eastAsia="zh-CN"/>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u w:val="none"/>
          <w:lang w:val="en-US" w:eastAsia="zh-CN"/>
        </w:rPr>
        <w:t>日</w:t>
      </w:r>
    </w:p>
    <w:p>
      <w:pPr>
        <w:pStyle w:val="34"/>
        <w:ind w:left="420" w:hanging="420"/>
        <w:rPr>
          <w:rFonts w:hint="eastAsia"/>
          <w:color w:val="auto"/>
          <w:szCs w:val="21"/>
          <w:highlight w:val="none"/>
        </w:rPr>
      </w:pPr>
    </w:p>
    <w:p>
      <w:pPr>
        <w:widowControl/>
        <w:spacing w:line="440" w:lineRule="exact"/>
        <w:ind w:firstLine="420" w:firstLineChars="200"/>
        <w:jc w:val="center"/>
        <w:textAlignment w:val="baseline"/>
        <w:rPr>
          <w:rFonts w:hint="eastAsia" w:ascii="宋体" w:hAnsi="宋体" w:cs="宋体"/>
          <w:color w:val="auto"/>
          <w:kern w:val="0"/>
          <w:szCs w:val="21"/>
          <w:highlight w:val="none"/>
          <w:u w:color="000000"/>
          <w:lang w:val="en-US" w:eastAsia="zh-CN"/>
        </w:rPr>
      </w:pPr>
      <w:r>
        <w:rPr>
          <w:rFonts w:hint="eastAsia" w:ascii="宋体" w:hAnsi="宋体" w:cs="宋体"/>
          <w:color w:val="auto"/>
          <w:kern w:val="0"/>
          <w:szCs w:val="21"/>
          <w:highlight w:val="none"/>
          <w:u w:color="000000"/>
          <w:lang w:val="en-US" w:eastAsia="zh-CN"/>
        </w:rPr>
        <w:t>目  录</w:t>
      </w:r>
    </w:p>
    <w:p>
      <w:pPr>
        <w:widowControl/>
        <w:spacing w:line="440" w:lineRule="exact"/>
        <w:ind w:firstLine="420" w:firstLineChars="200"/>
        <w:textAlignment w:val="baseline"/>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w:t>
      </w:r>
      <w:r>
        <w:rPr>
          <w:rFonts w:hint="eastAsia" w:ascii="宋体" w:hAnsi="宋体" w:cs="宋体"/>
          <w:color w:val="auto"/>
          <w:kern w:val="0"/>
          <w:szCs w:val="21"/>
          <w:highlight w:val="none"/>
          <w:u w:color="000000"/>
          <w:lang w:val="en-US" w:eastAsia="zh-CN"/>
        </w:rPr>
        <w:t>1</w:t>
      </w:r>
      <w:r>
        <w:rPr>
          <w:rFonts w:hint="eastAsia" w:ascii="宋体" w:hAnsi="宋体" w:cs="宋体"/>
          <w:color w:val="auto"/>
          <w:kern w:val="0"/>
          <w:szCs w:val="21"/>
          <w:highlight w:val="none"/>
          <w:u w:color="000000"/>
        </w:rPr>
        <w:t>）投标函（格式见附件）；</w:t>
      </w:r>
    </w:p>
    <w:p>
      <w:pPr>
        <w:widowControl/>
        <w:spacing w:line="440" w:lineRule="exact"/>
        <w:ind w:firstLine="420" w:firstLineChars="200"/>
        <w:textAlignment w:val="baseline"/>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w:t>
      </w:r>
      <w:r>
        <w:rPr>
          <w:rFonts w:hint="eastAsia" w:ascii="宋体" w:hAnsi="宋体" w:cs="宋体"/>
          <w:color w:val="auto"/>
          <w:kern w:val="0"/>
          <w:szCs w:val="21"/>
          <w:highlight w:val="none"/>
          <w:u w:color="000000"/>
          <w:lang w:val="en-US" w:eastAsia="zh-CN"/>
        </w:rPr>
        <w:t>2</w:t>
      </w:r>
      <w:r>
        <w:rPr>
          <w:rFonts w:hint="eastAsia" w:ascii="宋体" w:hAnsi="宋体" w:cs="宋体"/>
          <w:color w:val="auto"/>
          <w:kern w:val="0"/>
          <w:szCs w:val="21"/>
          <w:highlight w:val="none"/>
          <w:u w:color="000000"/>
        </w:rPr>
        <w:t>）招标文件要求提供的其他证明材料。</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rPr>
          <w:rFonts w:hint="eastAsia"/>
          <w:b/>
          <w:color w:val="auto"/>
          <w:sz w:val="28"/>
          <w:szCs w:val="28"/>
          <w:highlight w:val="none"/>
        </w:rPr>
      </w:pPr>
      <w:r>
        <w:rPr>
          <w:rFonts w:hint="eastAsia"/>
          <w:b/>
          <w:color w:val="auto"/>
          <w:sz w:val="28"/>
          <w:szCs w:val="28"/>
          <w:highlight w:val="none"/>
        </w:rPr>
        <w:br w:type="page"/>
      </w:r>
    </w:p>
    <w:p>
      <w:pPr>
        <w:spacing w:line="360" w:lineRule="auto"/>
        <w:jc w:val="center"/>
        <w:rPr>
          <w:b/>
          <w:bCs/>
          <w:color w:val="auto"/>
          <w:sz w:val="36"/>
          <w:highlight w:val="none"/>
        </w:rPr>
      </w:pPr>
      <w:r>
        <w:rPr>
          <w:rFonts w:hint="eastAsia"/>
          <w:b/>
          <w:color w:val="auto"/>
          <w:sz w:val="28"/>
          <w:szCs w:val="28"/>
          <w:highlight w:val="none"/>
        </w:rPr>
        <w:t>投 标 函</w:t>
      </w:r>
    </w:p>
    <w:p>
      <w:pPr>
        <w:spacing w:line="360" w:lineRule="auto"/>
        <w:ind w:firstLine="480" w:firstLineChars="200"/>
        <w:rPr>
          <w:color w:val="auto"/>
          <w:sz w:val="24"/>
          <w:highlight w:val="none"/>
        </w:rPr>
      </w:pPr>
    </w:p>
    <w:p>
      <w:pPr>
        <w:spacing w:line="440" w:lineRule="exact"/>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(招标人)       </w:t>
      </w:r>
      <w:r>
        <w:rPr>
          <w:rFonts w:hint="eastAsia" w:ascii="宋体"/>
          <w:color w:val="auto"/>
          <w:sz w:val="24"/>
          <w:highlight w:val="none"/>
        </w:rPr>
        <w:t xml:space="preserve"> </w:t>
      </w:r>
    </w:p>
    <w:p>
      <w:pPr>
        <w:spacing w:line="440" w:lineRule="exact"/>
        <w:ind w:firstLine="480" w:firstLineChars="200"/>
        <w:rPr>
          <w:rFonts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 xml:space="preserve">”的采购。我方授权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pPr>
        <w:spacing w:line="440" w:lineRule="exact"/>
        <w:ind w:firstLine="480" w:firstLineChars="200"/>
        <w:rPr>
          <w:rFonts w:ascii="宋体"/>
          <w:color w:val="auto"/>
          <w:sz w:val="24"/>
          <w:highlight w:val="none"/>
          <w:u w:val="single"/>
        </w:rPr>
      </w:pPr>
      <w:r>
        <w:rPr>
          <w:rFonts w:hint="eastAsia" w:ascii="宋体"/>
          <w:color w:val="auto"/>
          <w:sz w:val="24"/>
          <w:highlight w:val="none"/>
        </w:rPr>
        <w:t xml:space="preserve">2.我方愿意按照招标文件规定的各项要求，向招标人提供“ </w:t>
      </w:r>
      <w:r>
        <w:rPr>
          <w:rFonts w:hint="eastAsia" w:ascii="宋体"/>
          <w:color w:val="auto"/>
          <w:sz w:val="24"/>
          <w:highlight w:val="none"/>
          <w:u w:val="single"/>
        </w:rPr>
        <w:t xml:space="preserve">     </w:t>
      </w:r>
      <w:r>
        <w:rPr>
          <w:rFonts w:hint="eastAsia" w:ascii="宋体"/>
          <w:color w:val="auto"/>
          <w:sz w:val="24"/>
          <w:highlight w:val="none"/>
        </w:rPr>
        <w:t>（项目编号）”项目的货物与服务，</w:t>
      </w:r>
      <w:r>
        <w:rPr>
          <w:rFonts w:hint="eastAsia" w:ascii="宋体"/>
          <w:color w:val="auto"/>
          <w:highlight w:val="none"/>
        </w:rPr>
        <w:t>我方报价为</w:t>
      </w:r>
      <w:r>
        <w:rPr>
          <w:rFonts w:hint="eastAsia" w:ascii="宋体"/>
          <w:b/>
          <w:bCs/>
          <w:color w:val="auto"/>
          <w:highlight w:val="none"/>
        </w:rPr>
        <w:t>基本费</w:t>
      </w:r>
      <w:r>
        <w:rPr>
          <w:rFonts w:hint="eastAsia" w:ascii="宋体"/>
          <w:b/>
          <w:bCs/>
          <w:color w:val="auto"/>
          <w:highlight w:val="none"/>
          <w:lang w:val="en-US" w:eastAsia="zh-CN"/>
        </w:rPr>
        <w:t>费率</w:t>
      </w:r>
      <w:r>
        <w:rPr>
          <w:rFonts w:hint="eastAsia" w:ascii="宋体"/>
          <w:b/>
          <w:bCs/>
          <w:color w:val="auto"/>
          <w:highlight w:val="none"/>
        </w:rPr>
        <w:t xml:space="preserve"> </w:t>
      </w:r>
      <w:r>
        <w:rPr>
          <w:rFonts w:hint="eastAsia" w:ascii="宋体"/>
          <w:b/>
          <w:bCs/>
          <w:color w:val="auto"/>
          <w:highlight w:val="none"/>
          <w:u w:val="single"/>
        </w:rPr>
        <w:t xml:space="preserve">       </w:t>
      </w:r>
      <w:r>
        <w:rPr>
          <w:rFonts w:hint="eastAsia" w:ascii="宋体"/>
          <w:b/>
          <w:bCs/>
          <w:color w:val="auto"/>
          <w:highlight w:val="none"/>
        </w:rPr>
        <w:t xml:space="preserve"> ，审核成果费率1.50%。</w:t>
      </w:r>
      <w:r>
        <w:rPr>
          <w:rFonts w:hint="eastAsia" w:ascii="宋体"/>
          <w:color w:val="auto"/>
          <w:highlight w:val="none"/>
        </w:rPr>
        <w:t>项目负责人为</w:t>
      </w:r>
      <w:r>
        <w:rPr>
          <w:rFonts w:hint="eastAsia" w:ascii="宋体"/>
          <w:color w:val="auto"/>
          <w:highlight w:val="none"/>
          <w:u w:val="single"/>
        </w:rPr>
        <w:t xml:space="preserve">       </w:t>
      </w:r>
      <w:r>
        <w:rPr>
          <w:rFonts w:hint="eastAsia" w:ascii="宋体"/>
          <w:color w:val="auto"/>
          <w:highlight w:val="none"/>
        </w:rPr>
        <w:t>，</w:t>
      </w:r>
      <w:r>
        <w:rPr>
          <w:rFonts w:hint="eastAsia" w:ascii="宋体"/>
          <w:color w:val="auto"/>
          <w:sz w:val="24"/>
          <w:highlight w:val="none"/>
        </w:rPr>
        <w:t>服务期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自签订合同之日起至整体竣工验收合格并出具审核成果文件止。</w:t>
      </w:r>
    </w:p>
    <w:p>
      <w:pPr>
        <w:pStyle w:val="2"/>
        <w:spacing w:line="400" w:lineRule="exact"/>
        <w:ind w:firstLine="480"/>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日历天（从投标截止之日算起）。</w:t>
      </w:r>
    </w:p>
    <w:p>
      <w:pPr>
        <w:spacing w:line="400" w:lineRule="exact"/>
        <w:ind w:firstLine="480" w:firstLineChars="200"/>
        <w:rPr>
          <w:rFonts w:ascii="宋体"/>
          <w:color w:val="auto"/>
          <w:sz w:val="24"/>
          <w:highlight w:val="none"/>
        </w:rPr>
      </w:pPr>
      <w:r>
        <w:rPr>
          <w:rFonts w:hint="eastAsia" w:ascii="宋体"/>
          <w:color w:val="auto"/>
          <w:sz w:val="24"/>
          <w:highlight w:val="none"/>
        </w:rPr>
        <w:t>4.一旦我方成为合同签字人，我方将严格履行合同规定的责任和义务。</w:t>
      </w:r>
    </w:p>
    <w:p>
      <w:pPr>
        <w:spacing w:line="400" w:lineRule="exact"/>
        <w:ind w:firstLine="480" w:firstLineChars="200"/>
        <w:rPr>
          <w:rFonts w:ascii="宋体"/>
          <w:color w:val="auto"/>
          <w:sz w:val="24"/>
          <w:highlight w:val="none"/>
        </w:rPr>
      </w:pPr>
      <w:r>
        <w:rPr>
          <w:rFonts w:hint="eastAsia" w:ascii="宋体"/>
          <w:color w:val="auto"/>
          <w:sz w:val="24"/>
          <w:highlight w:val="none"/>
        </w:rPr>
        <w:t>5.我方同意按照招标文件的要求，递交金额为人民币</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w:t>
      </w:r>
      <w:r>
        <w:rPr>
          <w:rFonts w:hint="eastAsia" w:ascii="宋体"/>
          <w:color w:val="auto"/>
          <w:sz w:val="24"/>
          <w:highlight w:val="none"/>
          <w:u w:val="single"/>
        </w:rPr>
        <w:t xml:space="preserve"> </w:t>
      </w:r>
      <w:r>
        <w:rPr>
          <w:rFonts w:hint="eastAsia" w:ascii="宋体"/>
          <w:color w:val="auto"/>
          <w:sz w:val="24"/>
          <w:highlight w:val="none"/>
        </w:rPr>
        <w:t xml:space="preserve">（大写）的投标保证金。并且承诺，在投标有效期内如果我方撤回投标文件或成为合同签字人后拒绝签订合同，我方将放弃要求退还该保证金的权力。 </w:t>
      </w:r>
    </w:p>
    <w:p>
      <w:pPr>
        <w:spacing w:line="440" w:lineRule="exact"/>
        <w:ind w:firstLine="480" w:firstLineChars="200"/>
        <w:rPr>
          <w:rFonts w:ascii="宋体"/>
          <w:color w:val="auto"/>
          <w:sz w:val="24"/>
          <w:highlight w:val="none"/>
        </w:rPr>
      </w:pPr>
      <w:r>
        <w:rPr>
          <w:rFonts w:hint="eastAsia" w:ascii="宋体"/>
          <w:color w:val="auto"/>
          <w:sz w:val="24"/>
          <w:highlight w:val="none"/>
        </w:rPr>
        <w:t>6.若我方中标，愿意为本项目提交的纸质投标文件一式三份，其中正本一份、副本二份。</w:t>
      </w:r>
    </w:p>
    <w:p>
      <w:pPr>
        <w:spacing w:line="440" w:lineRule="exact"/>
        <w:ind w:firstLine="480" w:firstLineChars="200"/>
        <w:rPr>
          <w:rFonts w:ascii="宋体"/>
          <w:color w:val="auto"/>
          <w:sz w:val="24"/>
          <w:highlight w:val="none"/>
        </w:rPr>
      </w:pPr>
      <w:r>
        <w:rPr>
          <w:rFonts w:hint="eastAsia" w:ascii="宋体"/>
          <w:color w:val="auto"/>
          <w:sz w:val="24"/>
          <w:highlight w:val="none"/>
        </w:rPr>
        <w:t>7.我方愿意提供可能另外要求的、与采购投标有关的文件资料，并保证我方已提供和将要提供的文件是真实的、准确的。</w:t>
      </w:r>
    </w:p>
    <w:p>
      <w:pPr>
        <w:spacing w:line="440" w:lineRule="exact"/>
        <w:ind w:firstLine="480" w:firstLineChars="200"/>
        <w:rPr>
          <w:rFonts w:ascii="宋体"/>
          <w:color w:val="auto"/>
          <w:sz w:val="24"/>
          <w:highlight w:val="none"/>
        </w:rPr>
      </w:pPr>
      <w:r>
        <w:rPr>
          <w:rFonts w:hint="eastAsia" w:ascii="宋体"/>
          <w:color w:val="auto"/>
          <w:sz w:val="24"/>
          <w:highlight w:val="none"/>
        </w:rPr>
        <w:t>8.我单位提供如下通讯地址：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pPr>
        <w:ind w:right="-178" w:rightChars="-85" w:firstLine="2520" w:firstLineChars="1050"/>
        <w:rPr>
          <w:rFonts w:ascii="宋体"/>
          <w:color w:val="auto"/>
          <w:sz w:val="24"/>
          <w:highlight w:val="none"/>
          <w:u w:val="single"/>
        </w:rPr>
      </w:pPr>
      <w:r>
        <w:rPr>
          <w:rFonts w:hint="eastAsia" w:ascii="宋体"/>
          <w:color w:val="auto"/>
          <w:sz w:val="24"/>
          <w:highlight w:val="none"/>
        </w:rPr>
        <w:t xml:space="preserve">           </w:t>
      </w:r>
    </w:p>
    <w:p>
      <w:pPr>
        <w:spacing w:line="400" w:lineRule="exact"/>
        <w:ind w:firstLine="2520" w:firstLineChars="1200"/>
        <w:rPr>
          <w:rFonts w:ascii="宋体"/>
          <w:color w:val="auto"/>
          <w:highlight w:val="none"/>
        </w:rPr>
      </w:pPr>
    </w:p>
    <w:p>
      <w:pPr>
        <w:pStyle w:val="2"/>
        <w:ind w:firstLine="560"/>
        <w:rPr>
          <w:rFonts w:ascii="宋体"/>
          <w:color w:val="auto"/>
          <w:szCs w:val="21"/>
          <w:highlight w:val="none"/>
        </w:rPr>
      </w:pPr>
      <w:r>
        <w:rPr>
          <w:rFonts w:hint="eastAsia" w:ascii="宋体"/>
          <w:color w:val="auto"/>
          <w:szCs w:val="21"/>
          <w:highlight w:val="none"/>
        </w:rPr>
        <w:t xml:space="preserve">  </w:t>
      </w:r>
    </w:p>
    <w:p>
      <w:pPr>
        <w:rPr>
          <w:color w:val="auto"/>
          <w:highlight w:val="none"/>
        </w:rPr>
      </w:pPr>
    </w:p>
    <w:p>
      <w:pPr>
        <w:spacing w:line="408" w:lineRule="auto"/>
        <w:ind w:firstLine="3360" w:firstLineChars="1400"/>
        <w:rPr>
          <w:rFonts w:ascii="宋体"/>
          <w:color w:val="auto"/>
          <w:sz w:val="24"/>
          <w:szCs w:val="24"/>
          <w:highlight w:val="none"/>
          <w:u w:val="single"/>
        </w:rPr>
      </w:pPr>
      <w:r>
        <w:rPr>
          <w:rFonts w:hint="eastAsia" w:ascii="宋体" w:hAnsi="宋体"/>
          <w:color w:val="auto"/>
          <w:sz w:val="24"/>
          <w:szCs w:val="24"/>
          <w:highlight w:val="none"/>
        </w:rPr>
        <w:t>投标单位：</w:t>
      </w:r>
      <w:r>
        <w:rPr>
          <w:rFonts w:ascii="宋体" w:hAnsi="宋体"/>
          <w:color w:val="auto"/>
          <w:sz w:val="24"/>
          <w:szCs w:val="24"/>
          <w:highlight w:val="none"/>
          <w:u w:val="single"/>
        </w:rPr>
        <w:t xml:space="preserve">                              </w:t>
      </w:r>
      <w:r>
        <w:rPr>
          <w:rFonts w:hint="eastAsia"/>
          <w:color w:val="auto"/>
          <w:sz w:val="24"/>
          <w:szCs w:val="24"/>
          <w:highlight w:val="none"/>
          <w:u w:val="single"/>
        </w:rPr>
        <w:t>（盖章）</w:t>
      </w:r>
    </w:p>
    <w:p>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（签字或盖章）</w:t>
      </w:r>
    </w:p>
    <w:p>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单位地址：</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spacing w:line="408" w:lineRule="auto"/>
        <w:ind w:firstLine="3360" w:firstLineChars="1400"/>
        <w:rPr>
          <w:rFonts w:ascii="宋体"/>
          <w:color w:val="auto"/>
          <w:sz w:val="24"/>
          <w:szCs w:val="24"/>
          <w:highlight w:val="none"/>
          <w:u w:val="single"/>
        </w:rPr>
      </w:pPr>
      <w:r>
        <w:rPr>
          <w:rFonts w:hint="eastAsia" w:ascii="宋体" w:hAnsi="宋体"/>
          <w:color w:val="auto"/>
          <w:sz w:val="24"/>
          <w:szCs w:val="24"/>
          <w:highlight w:val="none"/>
        </w:rPr>
        <w:t>邮政编码：</w:t>
      </w:r>
      <w:r>
        <w:rPr>
          <w:rFonts w:ascii="宋体" w:hAnsi="宋体"/>
          <w:color w:val="auto"/>
          <w:sz w:val="24"/>
          <w:szCs w:val="24"/>
          <w:highlight w:val="none"/>
          <w:u w:val="single"/>
        </w:rPr>
        <w:t xml:space="preserve">            </w:t>
      </w:r>
      <w:r>
        <w:rPr>
          <w:rFonts w:hint="eastAsia" w:ascii="宋体" w:hAnsi="宋体"/>
          <w:color w:val="auto"/>
          <w:sz w:val="24"/>
          <w:szCs w:val="24"/>
          <w:highlight w:val="none"/>
        </w:rPr>
        <w:t>电话：</w:t>
      </w:r>
      <w:r>
        <w:rPr>
          <w:rFonts w:ascii="宋体" w:hAnsi="宋体"/>
          <w:color w:val="auto"/>
          <w:sz w:val="24"/>
          <w:szCs w:val="24"/>
          <w:highlight w:val="none"/>
          <w:u w:val="single"/>
        </w:rPr>
        <w:t xml:space="preserve">        </w:t>
      </w:r>
      <w:r>
        <w:rPr>
          <w:rFonts w:hint="eastAsia" w:ascii="宋体" w:hAnsi="宋体"/>
          <w:color w:val="auto"/>
          <w:sz w:val="24"/>
          <w:szCs w:val="24"/>
          <w:highlight w:val="none"/>
        </w:rPr>
        <w:t>传真：</w:t>
      </w:r>
      <w:r>
        <w:rPr>
          <w:rFonts w:ascii="宋体" w:hAnsi="宋体"/>
          <w:color w:val="auto"/>
          <w:sz w:val="24"/>
          <w:szCs w:val="24"/>
          <w:highlight w:val="none"/>
          <w:u w:val="single"/>
        </w:rPr>
        <w:t xml:space="preserve">               </w:t>
      </w:r>
    </w:p>
    <w:p>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rPr>
          <w:rFonts w:ascii="仿宋" w:hAnsi="仿宋" w:eastAsia="仿宋" w:cs="仿宋"/>
          <w:b/>
          <w:bCs/>
          <w:color w:val="auto"/>
          <w:kern w:val="0"/>
          <w:sz w:val="30"/>
          <w:szCs w:val="30"/>
          <w:highlight w:val="none"/>
        </w:rPr>
      </w:pPr>
      <w:r>
        <w:rPr>
          <w:rFonts w:ascii="仿宋" w:hAnsi="仿宋" w:eastAsia="仿宋" w:cs="仿宋"/>
          <w:b/>
          <w:bCs/>
          <w:color w:val="auto"/>
          <w:kern w:val="0"/>
          <w:sz w:val="30"/>
          <w:szCs w:val="30"/>
          <w:highlight w:val="none"/>
        </w:rPr>
        <w:br w:type="page"/>
      </w:r>
    </w:p>
    <w:p>
      <w:pPr>
        <w:pStyle w:val="6"/>
        <w:spacing w:before="0" w:after="0"/>
        <w:rPr>
          <w:rFonts w:ascii="宋体" w:hAnsi="宋体" w:eastAsia="宋体" w:cs="宋体"/>
          <w:color w:val="auto"/>
          <w:kern w:val="2"/>
          <w:sz w:val="28"/>
          <w:szCs w:val="28"/>
          <w:highlight w:val="none"/>
        </w:rPr>
      </w:pPr>
      <w:bookmarkStart w:id="105" w:name="_Toc23863"/>
      <w:bookmarkStart w:id="106" w:name="_Toc25509"/>
      <w:bookmarkStart w:id="107" w:name="_Toc6092"/>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七</w:t>
      </w:r>
      <w:r>
        <w:rPr>
          <w:rFonts w:hint="eastAsia" w:ascii="宋体" w:hAnsi="宋体" w:eastAsia="宋体" w:cs="宋体"/>
          <w:color w:val="auto"/>
          <w:kern w:val="2"/>
          <w:sz w:val="28"/>
          <w:szCs w:val="28"/>
          <w:highlight w:val="none"/>
        </w:rPr>
        <w:t>章招标单位、招标代理机构对本招标文件的确认</w:t>
      </w:r>
      <w:bookmarkEnd w:id="105"/>
      <w:bookmarkEnd w:id="106"/>
      <w:bookmarkEnd w:id="107"/>
    </w:p>
    <w:tbl>
      <w:tblPr>
        <w:tblStyle w:val="4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default" w:ascii="宋体" w:hAnsi="宋体" w:cs="宋体"/>
                <w:color w:val="auto"/>
                <w:sz w:val="28"/>
                <w:szCs w:val="28"/>
                <w:highlight w:val="none"/>
              </w:rPr>
            </w:pPr>
            <w:r>
              <w:rPr>
                <w:rFonts w:hint="eastAsia" w:ascii="宋体" w:hAnsi="宋体" w:cs="宋体"/>
                <w:color w:val="auto"/>
                <w:sz w:val="28"/>
                <w:szCs w:val="28"/>
                <w:highlight w:val="none"/>
              </w:rPr>
              <w:t>我单位对</w:t>
            </w:r>
            <w:r>
              <w:rPr>
                <w:rFonts w:hint="eastAsia" w:ascii="宋体" w:hAnsi="宋体" w:cs="宋体"/>
                <w:color w:val="auto"/>
                <w:sz w:val="28"/>
                <w:szCs w:val="28"/>
                <w:highlight w:val="none"/>
                <w:u w:val="single"/>
                <w:lang w:eastAsia="zh-CN"/>
              </w:rPr>
              <w:t>兴全矿业办公生活区项目跟踪审计服务</w:t>
            </w:r>
            <w:r>
              <w:rPr>
                <w:rFonts w:hint="eastAsia" w:ascii="宋体" w:hAnsi="宋体" w:cs="宋体"/>
                <w:color w:val="auto"/>
                <w:sz w:val="28"/>
                <w:szCs w:val="28"/>
                <w:highlight w:val="none"/>
              </w:rPr>
              <w:t>的招标文件进行确认。</w:t>
            </w:r>
          </w:p>
          <w:p>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pPr>
              <w:keepNext w:val="0"/>
              <w:keepLines w:val="0"/>
              <w:suppressLineNumbers w:val="0"/>
              <w:spacing w:before="0" w:beforeAutospacing="0" w:after="0" w:afterAutospacing="0" w:line="480" w:lineRule="auto"/>
              <w:ind w:left="0" w:right="0" w:firstLine="560" w:firstLineChars="200"/>
              <w:rPr>
                <w:rFonts w:hint="eastAsia" w:ascii="宋体" w:hAnsi="宋体" w:eastAsia="宋体" w:cs="宋体"/>
                <w:color w:val="auto"/>
                <w:sz w:val="30"/>
                <w:szCs w:val="30"/>
                <w:highlight w:val="none"/>
                <w:lang w:eastAsia="zh-CN"/>
              </w:rPr>
            </w:pPr>
            <w:r>
              <w:rPr>
                <w:rFonts w:hint="eastAsia" w:ascii="宋体" w:hAnsi="宋体" w:cs="宋体"/>
                <w:color w:val="auto"/>
                <w:sz w:val="28"/>
                <w:szCs w:val="28"/>
                <w:highlight w:val="none"/>
              </w:rPr>
              <w:t>招标人：</w:t>
            </w:r>
            <w:r>
              <w:rPr>
                <w:rFonts w:hint="eastAsia" w:ascii="宋体" w:hAnsi="宋体" w:cs="宋体"/>
                <w:color w:val="auto"/>
                <w:sz w:val="30"/>
                <w:szCs w:val="30"/>
                <w:highlight w:val="none"/>
                <w:lang w:eastAsia="zh-CN"/>
              </w:rPr>
              <w:t>滁州市兴全矿业投资有限公司</w:t>
            </w:r>
          </w:p>
          <w:p>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eastAsia="zh-CN"/>
              </w:rPr>
              <w:t>钱陆阳</w:t>
            </w:r>
          </w:p>
          <w:p>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eastAsia="zh-CN"/>
              </w:rPr>
              <w:t>0550-5180230</w:t>
            </w:r>
          </w:p>
          <w:p>
            <w:pPr>
              <w:keepNext w:val="0"/>
              <w:keepLines w:val="0"/>
              <w:suppressLineNumbers w:val="0"/>
              <w:spacing w:before="0" w:beforeAutospacing="0" w:after="0" w:afterAutospacing="0" w:line="500" w:lineRule="exact"/>
              <w:ind w:left="0" w:right="0" w:firstLine="281" w:firstLineChars="100"/>
              <w:rPr>
                <w:rFonts w:hint="default" w:ascii="宋体" w:hAnsi="宋体" w:cs="宋体"/>
                <w:b/>
                <w:bCs/>
                <w:color w:val="auto"/>
                <w:sz w:val="28"/>
                <w:szCs w:val="28"/>
                <w:highlight w:val="none"/>
              </w:rPr>
            </w:pPr>
          </w:p>
          <w:p>
            <w:pPr>
              <w:keepNext w:val="0"/>
              <w:keepLines w:val="0"/>
              <w:suppressLineNumbers w:val="0"/>
              <w:spacing w:before="0" w:beforeAutospacing="0" w:after="0" w:afterAutospacing="0" w:line="500" w:lineRule="exact"/>
              <w:ind w:left="0" w:right="0"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keepNext w:val="0"/>
              <w:keepLines w:val="0"/>
              <w:suppressLineNumbers w:val="0"/>
              <w:spacing w:before="0" w:beforeAutospacing="0" w:after="0" w:afterAutospacing="0"/>
              <w:ind w:left="0" w:right="0" w:firstLine="6720" w:firstLineChars="2400"/>
              <w:rPr>
                <w:rFonts w:hint="eastAsia" w:ascii="宋体" w:hAnsi="宋体" w:cs="宋体"/>
                <w:color w:val="auto"/>
                <w:sz w:val="28"/>
                <w:szCs w:val="28"/>
                <w:highlight w:val="none"/>
              </w:rPr>
            </w:pPr>
          </w:p>
          <w:p>
            <w:pPr>
              <w:keepNext w:val="0"/>
              <w:keepLines w:val="0"/>
              <w:suppressLineNumbers w:val="0"/>
              <w:spacing w:before="0" w:beforeAutospacing="0" w:after="0" w:afterAutospacing="0"/>
              <w:ind w:left="0" w:right="0" w:firstLine="6720" w:firstLineChars="24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pPr>
              <w:keepNext w:val="0"/>
              <w:keepLines w:val="0"/>
              <w:suppressLineNumbers w:val="0"/>
              <w:spacing w:before="0" w:beforeAutospacing="0" w:after="0" w:afterAutospacing="0"/>
              <w:ind w:left="0" w:right="0" w:firstLine="5320" w:firstLineChars="1900"/>
              <w:rPr>
                <w:rFonts w:hint="default" w:ascii="宋体" w:hAnsi="宋体" w:cs="宋体"/>
                <w:color w:val="auto"/>
                <w:sz w:val="28"/>
                <w:szCs w:val="28"/>
                <w:highlight w:val="none"/>
              </w:rPr>
            </w:pPr>
            <w:r>
              <w:rPr>
                <w:rFonts w:hint="eastAsia" w:ascii="宋体" w:hAnsi="宋体" w:cs="宋体"/>
                <w:color w:val="auto"/>
                <w:sz w:val="28"/>
                <w:szCs w:val="28"/>
                <w:highlight w:val="none"/>
              </w:rPr>
              <w:t xml:space="preserve">           202</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12</w:t>
            </w:r>
            <w:r>
              <w:rPr>
                <w:rFonts w:hint="eastAsia" w:ascii="宋体" w:hAnsi="宋体" w:cs="宋体"/>
                <w:color w:val="auto"/>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r>
              <w:rPr>
                <w:rFonts w:hint="eastAsia" w:ascii="宋体" w:hAnsi="宋体" w:cs="宋体"/>
                <w:color w:val="auto"/>
                <w:sz w:val="28"/>
                <w:szCs w:val="28"/>
                <w:highlight w:val="none"/>
              </w:rPr>
              <w:t>招标代理机构：滁州市城投工程咨询管理有限公司</w:t>
            </w:r>
          </w:p>
          <w:p>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eastAsia="zh-CN"/>
              </w:rPr>
              <w:t>胡国庆</w:t>
            </w:r>
          </w:p>
          <w:p>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联系电话： 0550-351951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CN"/>
              </w:rPr>
              <w:t>0550-3519517、18005500950</w:t>
            </w:r>
          </w:p>
          <w:p>
            <w:pPr>
              <w:keepNext w:val="0"/>
              <w:keepLines w:val="0"/>
              <w:suppressLineNumbers w:val="0"/>
              <w:spacing w:before="0" w:beforeAutospacing="0" w:after="0" w:afterAutospacing="0"/>
              <w:ind w:left="0" w:right="0"/>
              <w:rPr>
                <w:rFonts w:hint="default" w:ascii="宋体" w:hAnsi="宋体" w:cs="宋体"/>
                <w:color w:val="auto"/>
                <w:sz w:val="28"/>
                <w:szCs w:val="28"/>
                <w:highlight w:val="none"/>
              </w:rPr>
            </w:pPr>
          </w:p>
          <w:p>
            <w:pPr>
              <w:keepNext w:val="0"/>
              <w:keepLines w:val="0"/>
              <w:suppressLineNumbers w:val="0"/>
              <w:spacing w:before="0" w:beforeAutospacing="0" w:after="0" w:afterAutospacing="0"/>
              <w:ind w:left="0" w:right="0" w:firstLine="5320" w:firstLineChars="19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keepNext w:val="0"/>
              <w:keepLines w:val="0"/>
              <w:suppressLineNumbers w:val="0"/>
              <w:spacing w:before="0" w:beforeAutospacing="0" w:after="0" w:afterAutospacing="0"/>
              <w:ind w:left="0" w:right="0" w:firstLine="6720" w:firstLineChars="2400"/>
              <w:rPr>
                <w:rFonts w:hint="eastAsia" w:ascii="宋体" w:hAnsi="宋体" w:cs="宋体"/>
                <w:color w:val="auto"/>
                <w:sz w:val="28"/>
                <w:szCs w:val="28"/>
                <w:highlight w:val="none"/>
              </w:rPr>
            </w:pPr>
          </w:p>
          <w:p>
            <w:pPr>
              <w:keepNext w:val="0"/>
              <w:keepLines w:val="0"/>
              <w:suppressLineNumbers w:val="0"/>
              <w:spacing w:before="0" w:beforeAutospacing="0" w:after="0" w:afterAutospacing="0"/>
              <w:ind w:left="0" w:right="0" w:firstLine="6720" w:firstLineChars="24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pPr>
              <w:keepNext w:val="0"/>
              <w:keepLines w:val="0"/>
              <w:suppressLineNumbers w:val="0"/>
              <w:spacing w:before="0" w:beforeAutospacing="0" w:after="0" w:afterAutospacing="0"/>
              <w:ind w:left="0" w:right="0" w:firstLine="4900" w:firstLineChars="1750"/>
              <w:rPr>
                <w:rFonts w:hint="default"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202</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12</w:t>
            </w:r>
            <w:r>
              <w:rPr>
                <w:rFonts w:hint="eastAsia" w:ascii="宋体" w:hAnsi="宋体" w:cs="宋体"/>
                <w:color w:val="auto"/>
                <w:sz w:val="28"/>
                <w:szCs w:val="28"/>
                <w:highlight w:val="none"/>
              </w:rPr>
              <w:t>月</w:t>
            </w:r>
          </w:p>
        </w:tc>
      </w:tr>
    </w:tbl>
    <w:p>
      <w:pPr>
        <w:pStyle w:val="19"/>
        <w:jc w:val="left"/>
        <w:rPr>
          <w:rFonts w:ascii="仿宋" w:hAnsi="仿宋" w:eastAsia="仿宋" w:cs="仿宋"/>
          <w:color w:val="auto"/>
          <w:kern w:val="0"/>
          <w:sz w:val="24"/>
          <w:szCs w:val="24"/>
          <w:highlight w:val="none"/>
        </w:rPr>
      </w:pPr>
    </w:p>
    <w:bookmarkEnd w:id="108"/>
    <w:sectPr>
      <w:footerReference r:id="rId10"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p>
  <w:p>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p>
  <w:p>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lear" w:pos="4153"/>
        <w:tab w:val="clear" w:pos="8306"/>
      </w:tabs>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31</w:t>
                    </w:r>
                    <w:r>
                      <w:fldChar w:fldCharType="end"/>
                    </w:r>
                  </w:p>
                </w:txbxContent>
              </v:textbox>
            </v:shape>
          </w:pict>
        </mc:Fallback>
      </mc:AlternateContent>
    </w:r>
  </w:p>
  <w:p>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singleLevel"/>
    <w:tmpl w:val="0000001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277DEA"/>
    <w:rsid w:val="000407AC"/>
    <w:rsid w:val="00040A78"/>
    <w:rsid w:val="00057816"/>
    <w:rsid w:val="000E13AD"/>
    <w:rsid w:val="00131FFF"/>
    <w:rsid w:val="00135312"/>
    <w:rsid w:val="00144E2C"/>
    <w:rsid w:val="001643AB"/>
    <w:rsid w:val="0016450D"/>
    <w:rsid w:val="00182F47"/>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54075"/>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B1E23"/>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C2619"/>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842E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451D44"/>
    <w:rsid w:val="02860CE1"/>
    <w:rsid w:val="02966A1D"/>
    <w:rsid w:val="02A06DF6"/>
    <w:rsid w:val="03311B51"/>
    <w:rsid w:val="034073BB"/>
    <w:rsid w:val="035607B0"/>
    <w:rsid w:val="035A0B08"/>
    <w:rsid w:val="03DD3435"/>
    <w:rsid w:val="042D2167"/>
    <w:rsid w:val="04880F3B"/>
    <w:rsid w:val="04921CCE"/>
    <w:rsid w:val="04BB1052"/>
    <w:rsid w:val="04CF29CE"/>
    <w:rsid w:val="05943D22"/>
    <w:rsid w:val="059F141A"/>
    <w:rsid w:val="06176B26"/>
    <w:rsid w:val="07023E8A"/>
    <w:rsid w:val="073F34F8"/>
    <w:rsid w:val="07B90CB8"/>
    <w:rsid w:val="08091979"/>
    <w:rsid w:val="08EE1782"/>
    <w:rsid w:val="094625ED"/>
    <w:rsid w:val="098C0FAE"/>
    <w:rsid w:val="09A34B6E"/>
    <w:rsid w:val="0A1370D9"/>
    <w:rsid w:val="0A426E3F"/>
    <w:rsid w:val="0A783487"/>
    <w:rsid w:val="0A7A70EE"/>
    <w:rsid w:val="0A920A74"/>
    <w:rsid w:val="0B3B4932"/>
    <w:rsid w:val="0B594C9F"/>
    <w:rsid w:val="0B8A5AE2"/>
    <w:rsid w:val="0BD70F17"/>
    <w:rsid w:val="0C0134F9"/>
    <w:rsid w:val="0C0D4C1D"/>
    <w:rsid w:val="0C5E2909"/>
    <w:rsid w:val="0CDE4AF1"/>
    <w:rsid w:val="0D2F7233"/>
    <w:rsid w:val="0D31264B"/>
    <w:rsid w:val="0D503DE8"/>
    <w:rsid w:val="0D5E4FBA"/>
    <w:rsid w:val="0DB0649C"/>
    <w:rsid w:val="0E6D2AA6"/>
    <w:rsid w:val="0E832759"/>
    <w:rsid w:val="0F260D83"/>
    <w:rsid w:val="0F3872E6"/>
    <w:rsid w:val="0F74337A"/>
    <w:rsid w:val="106F1985"/>
    <w:rsid w:val="11FC0C31"/>
    <w:rsid w:val="12021072"/>
    <w:rsid w:val="12543983"/>
    <w:rsid w:val="12A948F2"/>
    <w:rsid w:val="12B665CC"/>
    <w:rsid w:val="137A735A"/>
    <w:rsid w:val="13B24508"/>
    <w:rsid w:val="13BD1EF1"/>
    <w:rsid w:val="140A3F0D"/>
    <w:rsid w:val="143A5F3C"/>
    <w:rsid w:val="14620C2E"/>
    <w:rsid w:val="14A64A45"/>
    <w:rsid w:val="151E0989"/>
    <w:rsid w:val="15280D0B"/>
    <w:rsid w:val="154E7339"/>
    <w:rsid w:val="15D60886"/>
    <w:rsid w:val="15EF66EB"/>
    <w:rsid w:val="16592CBA"/>
    <w:rsid w:val="16795E94"/>
    <w:rsid w:val="16A220B2"/>
    <w:rsid w:val="16AB249D"/>
    <w:rsid w:val="16B85EAA"/>
    <w:rsid w:val="16F07B27"/>
    <w:rsid w:val="182226C4"/>
    <w:rsid w:val="1830556D"/>
    <w:rsid w:val="18791F1E"/>
    <w:rsid w:val="18A84692"/>
    <w:rsid w:val="18D82529"/>
    <w:rsid w:val="19D85993"/>
    <w:rsid w:val="1A7408B4"/>
    <w:rsid w:val="1A7A2554"/>
    <w:rsid w:val="1A7F4297"/>
    <w:rsid w:val="1AB5410B"/>
    <w:rsid w:val="1B0F337F"/>
    <w:rsid w:val="1B334333"/>
    <w:rsid w:val="1B5C44DC"/>
    <w:rsid w:val="1B6338B0"/>
    <w:rsid w:val="1BA355D9"/>
    <w:rsid w:val="1BEC5215"/>
    <w:rsid w:val="1C136BB6"/>
    <w:rsid w:val="1C4B5EA8"/>
    <w:rsid w:val="1CC23B65"/>
    <w:rsid w:val="1D157916"/>
    <w:rsid w:val="1D4E7880"/>
    <w:rsid w:val="1DD14CA1"/>
    <w:rsid w:val="1DEB0A3D"/>
    <w:rsid w:val="1E1554ED"/>
    <w:rsid w:val="1E2D3E8E"/>
    <w:rsid w:val="1EA50719"/>
    <w:rsid w:val="1F4343CD"/>
    <w:rsid w:val="1FC72549"/>
    <w:rsid w:val="206778EF"/>
    <w:rsid w:val="20775E12"/>
    <w:rsid w:val="207B6E01"/>
    <w:rsid w:val="20A803FD"/>
    <w:rsid w:val="20C152CD"/>
    <w:rsid w:val="21721D27"/>
    <w:rsid w:val="219D0B32"/>
    <w:rsid w:val="221255C2"/>
    <w:rsid w:val="229654D3"/>
    <w:rsid w:val="233E1D76"/>
    <w:rsid w:val="23B333EF"/>
    <w:rsid w:val="23B802A0"/>
    <w:rsid w:val="23F15F55"/>
    <w:rsid w:val="240759C8"/>
    <w:rsid w:val="243D2848"/>
    <w:rsid w:val="248851A7"/>
    <w:rsid w:val="24CE2D2C"/>
    <w:rsid w:val="24D66607"/>
    <w:rsid w:val="25236015"/>
    <w:rsid w:val="25AD7A6E"/>
    <w:rsid w:val="25D05377"/>
    <w:rsid w:val="26252182"/>
    <w:rsid w:val="265E174C"/>
    <w:rsid w:val="265F1BC5"/>
    <w:rsid w:val="2686038F"/>
    <w:rsid w:val="26D6442E"/>
    <w:rsid w:val="27270303"/>
    <w:rsid w:val="28164313"/>
    <w:rsid w:val="28C72B2B"/>
    <w:rsid w:val="28D9041B"/>
    <w:rsid w:val="2A081AFD"/>
    <w:rsid w:val="2A241E9E"/>
    <w:rsid w:val="2AB033FD"/>
    <w:rsid w:val="2B0B00AD"/>
    <w:rsid w:val="2B420197"/>
    <w:rsid w:val="2C874AAF"/>
    <w:rsid w:val="2C8E66A6"/>
    <w:rsid w:val="2CAF5168"/>
    <w:rsid w:val="2CBB47F9"/>
    <w:rsid w:val="2D111FD8"/>
    <w:rsid w:val="2D275EB3"/>
    <w:rsid w:val="2D4A1910"/>
    <w:rsid w:val="2E6B0765"/>
    <w:rsid w:val="2E9077CD"/>
    <w:rsid w:val="2EFD1D1D"/>
    <w:rsid w:val="2F3A186E"/>
    <w:rsid w:val="2FD92302"/>
    <w:rsid w:val="32852601"/>
    <w:rsid w:val="332433C5"/>
    <w:rsid w:val="3376156C"/>
    <w:rsid w:val="339C188C"/>
    <w:rsid w:val="33BD26F8"/>
    <w:rsid w:val="3411315F"/>
    <w:rsid w:val="348E387D"/>
    <w:rsid w:val="34C870C7"/>
    <w:rsid w:val="35624F4C"/>
    <w:rsid w:val="359B0230"/>
    <w:rsid w:val="35A46FAE"/>
    <w:rsid w:val="3628257B"/>
    <w:rsid w:val="371F6D9C"/>
    <w:rsid w:val="3750497A"/>
    <w:rsid w:val="37E1553E"/>
    <w:rsid w:val="380A4A95"/>
    <w:rsid w:val="3923202B"/>
    <w:rsid w:val="397A0421"/>
    <w:rsid w:val="398960D8"/>
    <w:rsid w:val="39F2247F"/>
    <w:rsid w:val="3A066436"/>
    <w:rsid w:val="3A2516BB"/>
    <w:rsid w:val="3A374A52"/>
    <w:rsid w:val="3B086187"/>
    <w:rsid w:val="3B3C635C"/>
    <w:rsid w:val="3B9308FD"/>
    <w:rsid w:val="3B993AF3"/>
    <w:rsid w:val="3BCD1B9B"/>
    <w:rsid w:val="3C1C481B"/>
    <w:rsid w:val="3CCB04A6"/>
    <w:rsid w:val="3CD37326"/>
    <w:rsid w:val="3D4F308A"/>
    <w:rsid w:val="3DD408C3"/>
    <w:rsid w:val="3DD53C41"/>
    <w:rsid w:val="3E3B0878"/>
    <w:rsid w:val="3EED354E"/>
    <w:rsid w:val="3F173AB4"/>
    <w:rsid w:val="3F4E74DA"/>
    <w:rsid w:val="3F7A539C"/>
    <w:rsid w:val="3FA30AEA"/>
    <w:rsid w:val="3FB5783A"/>
    <w:rsid w:val="4060397D"/>
    <w:rsid w:val="408338D7"/>
    <w:rsid w:val="40D11000"/>
    <w:rsid w:val="41510996"/>
    <w:rsid w:val="41DA7286"/>
    <w:rsid w:val="41E96622"/>
    <w:rsid w:val="42147451"/>
    <w:rsid w:val="42D367F7"/>
    <w:rsid w:val="43881670"/>
    <w:rsid w:val="43AB65DF"/>
    <w:rsid w:val="43E82525"/>
    <w:rsid w:val="4431123E"/>
    <w:rsid w:val="446023D9"/>
    <w:rsid w:val="44646797"/>
    <w:rsid w:val="447D039C"/>
    <w:rsid w:val="44A8055A"/>
    <w:rsid w:val="45465E6E"/>
    <w:rsid w:val="45AF30FD"/>
    <w:rsid w:val="465B3014"/>
    <w:rsid w:val="46916DC7"/>
    <w:rsid w:val="46D84867"/>
    <w:rsid w:val="472F5293"/>
    <w:rsid w:val="479A0405"/>
    <w:rsid w:val="47C102C8"/>
    <w:rsid w:val="47DB0FE0"/>
    <w:rsid w:val="485A4022"/>
    <w:rsid w:val="48986B3F"/>
    <w:rsid w:val="49B66251"/>
    <w:rsid w:val="4AC7233B"/>
    <w:rsid w:val="4B1E5923"/>
    <w:rsid w:val="4B9F76BF"/>
    <w:rsid w:val="4BAA4F08"/>
    <w:rsid w:val="4BB93099"/>
    <w:rsid w:val="4C147838"/>
    <w:rsid w:val="4C9E15DF"/>
    <w:rsid w:val="4CD65604"/>
    <w:rsid w:val="4CD87112"/>
    <w:rsid w:val="4D4203D5"/>
    <w:rsid w:val="4D9B2BA2"/>
    <w:rsid w:val="4DDC7792"/>
    <w:rsid w:val="4E532013"/>
    <w:rsid w:val="4E5C029C"/>
    <w:rsid w:val="4F0A0A7E"/>
    <w:rsid w:val="4F8A1859"/>
    <w:rsid w:val="4FD23591"/>
    <w:rsid w:val="502D24E4"/>
    <w:rsid w:val="5087096D"/>
    <w:rsid w:val="51393D98"/>
    <w:rsid w:val="516B4DC3"/>
    <w:rsid w:val="52A2363E"/>
    <w:rsid w:val="52CE5689"/>
    <w:rsid w:val="53122999"/>
    <w:rsid w:val="53294814"/>
    <w:rsid w:val="54727BA5"/>
    <w:rsid w:val="558A3D0F"/>
    <w:rsid w:val="55A16B67"/>
    <w:rsid w:val="56327239"/>
    <w:rsid w:val="56395B87"/>
    <w:rsid w:val="569E5C28"/>
    <w:rsid w:val="56F5327C"/>
    <w:rsid w:val="571C5F2B"/>
    <w:rsid w:val="57313D11"/>
    <w:rsid w:val="578D69F6"/>
    <w:rsid w:val="59103D2C"/>
    <w:rsid w:val="599A4762"/>
    <w:rsid w:val="5AE12FDB"/>
    <w:rsid w:val="5B361E7C"/>
    <w:rsid w:val="5B554B3E"/>
    <w:rsid w:val="5B5877E2"/>
    <w:rsid w:val="5B5E287E"/>
    <w:rsid w:val="5BE3458F"/>
    <w:rsid w:val="5BE73983"/>
    <w:rsid w:val="5CC32F12"/>
    <w:rsid w:val="5D186A5C"/>
    <w:rsid w:val="5DD0286D"/>
    <w:rsid w:val="5EC84FF2"/>
    <w:rsid w:val="5EEA0F2A"/>
    <w:rsid w:val="5F0E45BB"/>
    <w:rsid w:val="5F9D1CA2"/>
    <w:rsid w:val="5FC81CAB"/>
    <w:rsid w:val="5FD300DB"/>
    <w:rsid w:val="60284D4C"/>
    <w:rsid w:val="602A1431"/>
    <w:rsid w:val="602F06F9"/>
    <w:rsid w:val="60350EDC"/>
    <w:rsid w:val="608C59E7"/>
    <w:rsid w:val="60C44DAC"/>
    <w:rsid w:val="60CA10D1"/>
    <w:rsid w:val="61095D5D"/>
    <w:rsid w:val="61284751"/>
    <w:rsid w:val="62202B07"/>
    <w:rsid w:val="628506F0"/>
    <w:rsid w:val="6294738C"/>
    <w:rsid w:val="62F006F1"/>
    <w:rsid w:val="62F814B0"/>
    <w:rsid w:val="63BC4518"/>
    <w:rsid w:val="63FA3522"/>
    <w:rsid w:val="64274D62"/>
    <w:rsid w:val="64C4269D"/>
    <w:rsid w:val="65027B05"/>
    <w:rsid w:val="6554585D"/>
    <w:rsid w:val="655541D3"/>
    <w:rsid w:val="65594766"/>
    <w:rsid w:val="657C753B"/>
    <w:rsid w:val="65AE22F3"/>
    <w:rsid w:val="65EB0365"/>
    <w:rsid w:val="66465782"/>
    <w:rsid w:val="664802EF"/>
    <w:rsid w:val="667747F4"/>
    <w:rsid w:val="66AD359D"/>
    <w:rsid w:val="66B94E0C"/>
    <w:rsid w:val="670A4733"/>
    <w:rsid w:val="67DE5EA5"/>
    <w:rsid w:val="683325DF"/>
    <w:rsid w:val="68E24E4E"/>
    <w:rsid w:val="699B02E9"/>
    <w:rsid w:val="69C81CE8"/>
    <w:rsid w:val="69F26A0E"/>
    <w:rsid w:val="6A16299D"/>
    <w:rsid w:val="6A546685"/>
    <w:rsid w:val="6A6D7173"/>
    <w:rsid w:val="6AC6490F"/>
    <w:rsid w:val="6ACE1747"/>
    <w:rsid w:val="6B1C6C77"/>
    <w:rsid w:val="6B2F50CF"/>
    <w:rsid w:val="6BB4626C"/>
    <w:rsid w:val="6C880962"/>
    <w:rsid w:val="6D0B604A"/>
    <w:rsid w:val="6DAC05BE"/>
    <w:rsid w:val="6E513045"/>
    <w:rsid w:val="6F8373FF"/>
    <w:rsid w:val="6FD16561"/>
    <w:rsid w:val="6FDE7145"/>
    <w:rsid w:val="7003131E"/>
    <w:rsid w:val="7025059A"/>
    <w:rsid w:val="702E0619"/>
    <w:rsid w:val="70E63DE0"/>
    <w:rsid w:val="71070D0D"/>
    <w:rsid w:val="71344FFF"/>
    <w:rsid w:val="715D4FE8"/>
    <w:rsid w:val="725809D6"/>
    <w:rsid w:val="737A421D"/>
    <w:rsid w:val="73875405"/>
    <w:rsid w:val="73B74532"/>
    <w:rsid w:val="74363C49"/>
    <w:rsid w:val="74425F26"/>
    <w:rsid w:val="74CC7CBB"/>
    <w:rsid w:val="74CD2DFA"/>
    <w:rsid w:val="74E20428"/>
    <w:rsid w:val="7561059F"/>
    <w:rsid w:val="75695FAC"/>
    <w:rsid w:val="75A3409C"/>
    <w:rsid w:val="75D961A0"/>
    <w:rsid w:val="762C6AF6"/>
    <w:rsid w:val="765A6376"/>
    <w:rsid w:val="76955006"/>
    <w:rsid w:val="774E2667"/>
    <w:rsid w:val="785C5E6F"/>
    <w:rsid w:val="7A4A386D"/>
    <w:rsid w:val="7A650E3C"/>
    <w:rsid w:val="7A9B18B0"/>
    <w:rsid w:val="7B360113"/>
    <w:rsid w:val="7B4A526C"/>
    <w:rsid w:val="7B4C4B65"/>
    <w:rsid w:val="7B780F7C"/>
    <w:rsid w:val="7B9D6375"/>
    <w:rsid w:val="7C6D63F4"/>
    <w:rsid w:val="7C6F0B11"/>
    <w:rsid w:val="7C8660BD"/>
    <w:rsid w:val="7CA05978"/>
    <w:rsid w:val="7D1370F0"/>
    <w:rsid w:val="7F09259F"/>
    <w:rsid w:val="7FBC5227"/>
    <w:rsid w:val="7FCD7FD5"/>
    <w:rsid w:val="7FD72BB2"/>
    <w:rsid w:val="7FEE047D"/>
    <w:rsid w:val="7FFC43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73"/>
    <w:semiHidden/>
    <w:qFormat/>
    <w:uiPriority w:val="99"/>
    <w:pPr>
      <w:shd w:val="clear" w:color="auto" w:fill="000080"/>
    </w:pPr>
    <w:rPr>
      <w:kern w:val="0"/>
      <w:sz w:val="20"/>
      <w:szCs w:val="20"/>
      <w:shd w:val="clear" w:color="auto" w:fill="000080"/>
    </w:rPr>
  </w:style>
  <w:style w:type="paragraph" w:styleId="17">
    <w:name w:val="annotation text"/>
    <w:basedOn w:val="1"/>
    <w:link w:val="74"/>
    <w:semiHidden/>
    <w:qFormat/>
    <w:uiPriority w:val="99"/>
    <w:pPr>
      <w:jc w:val="left"/>
    </w:pPr>
  </w:style>
  <w:style w:type="paragraph" w:styleId="18">
    <w:name w:val="Body Text 3"/>
    <w:basedOn w:val="1"/>
    <w:link w:val="75"/>
    <w:qFormat/>
    <w:uiPriority w:val="99"/>
    <w:rPr>
      <w:rFonts w:ascii="宋体" w:cs="宋体"/>
      <w:sz w:val="24"/>
      <w:szCs w:val="24"/>
    </w:rPr>
  </w:style>
  <w:style w:type="paragraph" w:styleId="19">
    <w:name w:val="Body Text"/>
    <w:basedOn w:val="1"/>
    <w:link w:val="76"/>
    <w:qFormat/>
    <w:uiPriority w:val="99"/>
    <w:pPr>
      <w:jc w:val="center"/>
    </w:pPr>
    <w:rPr>
      <w:b/>
      <w:bCs/>
      <w:sz w:val="44"/>
      <w:szCs w:val="44"/>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List"/>
    <w:basedOn w:val="1"/>
    <w:qFormat/>
    <w:locked/>
    <w:uiPriority w:val="0"/>
    <w:pPr>
      <w:ind w:left="200" w:hanging="200" w:hangingChars="200"/>
    </w:p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7"/>
    <w:next w:val="17"/>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Normal Indent1"/>
    <w:basedOn w:val="1"/>
    <w:qFormat/>
    <w:uiPriority w:val="0"/>
    <w:pPr>
      <w:adjustRightInd w:val="0"/>
      <w:spacing w:line="360" w:lineRule="atLeast"/>
      <w:ind w:firstLine="482"/>
      <w:textAlignment w:val="baseline"/>
    </w:pPr>
    <w:rPr>
      <w:kern w:val="0"/>
      <w:sz w:val="24"/>
      <w:szCs w:val="24"/>
    </w:rPr>
  </w:style>
  <w:style w:type="character" w:customStyle="1" w:styleId="64">
    <w:name w:val="标题 1 字符"/>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标题 2 字符"/>
    <w:basedOn w:val="47"/>
    <w:link w:val="7"/>
    <w:qFormat/>
    <w:locked/>
    <w:uiPriority w:val="99"/>
    <w:rPr>
      <w:rFonts w:ascii="Arial" w:hAnsi="Arial" w:eastAsia="黑体" w:cs="Arial"/>
      <w:b/>
      <w:bCs/>
      <w:kern w:val="2"/>
      <w:sz w:val="32"/>
      <w:szCs w:val="32"/>
      <w:lang w:val="en-US" w:eastAsia="zh-CN"/>
    </w:rPr>
  </w:style>
  <w:style w:type="character" w:customStyle="1" w:styleId="66">
    <w:name w:val="标题 3 字符"/>
    <w:basedOn w:val="47"/>
    <w:link w:val="8"/>
    <w:qFormat/>
    <w:locked/>
    <w:uiPriority w:val="99"/>
    <w:rPr>
      <w:rFonts w:eastAsia="宋体" w:cs="Times New Roman"/>
      <w:b/>
      <w:bCs/>
      <w:kern w:val="2"/>
      <w:sz w:val="32"/>
      <w:szCs w:val="32"/>
      <w:lang w:val="en-US" w:eastAsia="zh-CN"/>
    </w:rPr>
  </w:style>
  <w:style w:type="character" w:customStyle="1" w:styleId="67">
    <w:name w:val="标题 4 字符"/>
    <w:basedOn w:val="47"/>
    <w:link w:val="9"/>
    <w:qFormat/>
    <w:locked/>
    <w:uiPriority w:val="99"/>
    <w:rPr>
      <w:rFonts w:ascii="Cambria" w:hAnsi="Cambria" w:eastAsia="宋体" w:cs="Cambria"/>
      <w:b/>
      <w:bCs/>
      <w:kern w:val="2"/>
      <w:sz w:val="28"/>
      <w:szCs w:val="28"/>
      <w:lang w:val="en-US" w:eastAsia="zh-CN"/>
    </w:rPr>
  </w:style>
  <w:style w:type="character" w:customStyle="1" w:styleId="68">
    <w:name w:val="标题 5 字符"/>
    <w:basedOn w:val="47"/>
    <w:link w:val="10"/>
    <w:qFormat/>
    <w:locked/>
    <w:uiPriority w:val="99"/>
    <w:rPr>
      <w:rFonts w:ascii="Calibri" w:hAnsi="Calibri" w:eastAsia="宋体" w:cs="Calibri"/>
      <w:b/>
      <w:bCs/>
      <w:kern w:val="2"/>
      <w:sz w:val="28"/>
      <w:szCs w:val="28"/>
      <w:lang w:val="en-US" w:eastAsia="zh-CN"/>
    </w:rPr>
  </w:style>
  <w:style w:type="character" w:customStyle="1" w:styleId="69">
    <w:name w:val="标题 6 字符"/>
    <w:basedOn w:val="47"/>
    <w:link w:val="11"/>
    <w:qFormat/>
    <w:locked/>
    <w:uiPriority w:val="99"/>
    <w:rPr>
      <w:rFonts w:ascii="Cambria" w:hAnsi="Cambria" w:eastAsia="宋体" w:cs="Cambria"/>
      <w:b/>
      <w:bCs/>
      <w:kern w:val="2"/>
      <w:sz w:val="24"/>
      <w:szCs w:val="24"/>
      <w:lang w:val="en-US" w:eastAsia="zh-CN"/>
    </w:rPr>
  </w:style>
  <w:style w:type="character" w:customStyle="1" w:styleId="70">
    <w:name w:val="标题 7 字符"/>
    <w:basedOn w:val="47"/>
    <w:link w:val="12"/>
    <w:qFormat/>
    <w:locked/>
    <w:uiPriority w:val="99"/>
    <w:rPr>
      <w:rFonts w:ascii="Calibri" w:hAnsi="Calibri" w:eastAsia="宋体" w:cs="Calibri"/>
      <w:b/>
      <w:bCs/>
      <w:kern w:val="2"/>
      <w:sz w:val="24"/>
      <w:szCs w:val="24"/>
      <w:lang w:val="en-US" w:eastAsia="zh-CN"/>
    </w:rPr>
  </w:style>
  <w:style w:type="character" w:customStyle="1" w:styleId="71">
    <w:name w:val="标题 8 字符"/>
    <w:basedOn w:val="47"/>
    <w:link w:val="13"/>
    <w:qFormat/>
    <w:locked/>
    <w:uiPriority w:val="99"/>
    <w:rPr>
      <w:rFonts w:ascii="Cambria" w:hAnsi="Cambria" w:eastAsia="宋体" w:cs="Cambria"/>
      <w:kern w:val="2"/>
      <w:sz w:val="24"/>
      <w:szCs w:val="24"/>
      <w:lang w:val="en-US" w:eastAsia="zh-CN"/>
    </w:rPr>
  </w:style>
  <w:style w:type="character" w:customStyle="1" w:styleId="72">
    <w:name w:val="标题 9 字符"/>
    <w:basedOn w:val="47"/>
    <w:link w:val="14"/>
    <w:qFormat/>
    <w:locked/>
    <w:uiPriority w:val="99"/>
    <w:rPr>
      <w:rFonts w:ascii="Cambria" w:hAnsi="Cambria" w:eastAsia="宋体" w:cs="Cambria"/>
      <w:kern w:val="2"/>
      <w:sz w:val="21"/>
      <w:szCs w:val="21"/>
      <w:lang w:val="en-US" w:eastAsia="zh-CN"/>
    </w:rPr>
  </w:style>
  <w:style w:type="character" w:customStyle="1" w:styleId="73">
    <w:name w:val="文档结构图 字符"/>
    <w:basedOn w:val="47"/>
    <w:link w:val="16"/>
    <w:qFormat/>
    <w:locked/>
    <w:uiPriority w:val="99"/>
    <w:rPr>
      <w:rFonts w:cs="Times New Roman"/>
      <w:sz w:val="24"/>
      <w:szCs w:val="24"/>
      <w:shd w:val="clear" w:color="auto" w:fill="000080"/>
    </w:rPr>
  </w:style>
  <w:style w:type="character" w:customStyle="1" w:styleId="74">
    <w:name w:val="批注文字 字符"/>
    <w:basedOn w:val="47"/>
    <w:link w:val="17"/>
    <w:qFormat/>
    <w:locked/>
    <w:uiPriority w:val="99"/>
    <w:rPr>
      <w:rFonts w:cs="Times New Roman"/>
      <w:kern w:val="2"/>
      <w:sz w:val="22"/>
      <w:szCs w:val="22"/>
    </w:rPr>
  </w:style>
  <w:style w:type="character" w:customStyle="1" w:styleId="75">
    <w:name w:val="正文文本 3 字符"/>
    <w:basedOn w:val="47"/>
    <w:link w:val="18"/>
    <w:semiHidden/>
    <w:qFormat/>
    <w:locked/>
    <w:uiPriority w:val="99"/>
    <w:rPr>
      <w:rFonts w:cs="Times New Roman"/>
      <w:sz w:val="16"/>
      <w:szCs w:val="16"/>
    </w:rPr>
  </w:style>
  <w:style w:type="character" w:customStyle="1" w:styleId="76">
    <w:name w:val="正文文本 字符"/>
    <w:basedOn w:val="47"/>
    <w:link w:val="19"/>
    <w:qFormat/>
    <w:locked/>
    <w:uiPriority w:val="99"/>
    <w:rPr>
      <w:rFonts w:eastAsia="宋体" w:cs="Times New Roman"/>
      <w:b/>
      <w:bCs/>
      <w:kern w:val="2"/>
      <w:sz w:val="44"/>
      <w:szCs w:val="44"/>
      <w:lang w:val="en-US" w:eastAsia="zh-CN"/>
    </w:rPr>
  </w:style>
  <w:style w:type="character" w:customStyle="1" w:styleId="77">
    <w:name w:val="正文文本缩进 字符"/>
    <w:basedOn w:val="47"/>
    <w:link w:val="3"/>
    <w:semiHidden/>
    <w:qFormat/>
    <w:locked/>
    <w:uiPriority w:val="99"/>
    <w:rPr>
      <w:rFonts w:cs="Times New Roman"/>
      <w:sz w:val="21"/>
      <w:szCs w:val="21"/>
    </w:rPr>
  </w:style>
  <w:style w:type="character" w:customStyle="1" w:styleId="78">
    <w:name w:val="纯文本 字符"/>
    <w:basedOn w:val="47"/>
    <w:link w:val="24"/>
    <w:semiHidden/>
    <w:qFormat/>
    <w:locked/>
    <w:uiPriority w:val="99"/>
    <w:rPr>
      <w:rFonts w:ascii="宋体" w:hAnsi="Courier New" w:cs="Courier New"/>
      <w:sz w:val="21"/>
      <w:szCs w:val="21"/>
    </w:rPr>
  </w:style>
  <w:style w:type="character" w:customStyle="1" w:styleId="79">
    <w:name w:val="日期 字符"/>
    <w:basedOn w:val="47"/>
    <w:link w:val="26"/>
    <w:qFormat/>
    <w:locked/>
    <w:uiPriority w:val="99"/>
    <w:rPr>
      <w:rFonts w:ascii="仿宋_GB2312" w:eastAsia="仿宋_GB2312" w:cs="仿宋_GB2312"/>
      <w:kern w:val="2"/>
      <w:sz w:val="30"/>
      <w:szCs w:val="30"/>
      <w:lang w:val="en-US" w:eastAsia="zh-CN"/>
    </w:rPr>
  </w:style>
  <w:style w:type="character" w:customStyle="1" w:styleId="80">
    <w:name w:val="正文文本缩进 2 字符"/>
    <w:basedOn w:val="47"/>
    <w:link w:val="27"/>
    <w:semiHidden/>
    <w:qFormat/>
    <w:locked/>
    <w:uiPriority w:val="99"/>
    <w:rPr>
      <w:rFonts w:cs="Times New Roman"/>
      <w:sz w:val="21"/>
      <w:szCs w:val="21"/>
    </w:rPr>
  </w:style>
  <w:style w:type="character" w:customStyle="1" w:styleId="81">
    <w:name w:val="批注框文本 字符"/>
    <w:basedOn w:val="47"/>
    <w:link w:val="28"/>
    <w:semiHidden/>
    <w:qFormat/>
    <w:locked/>
    <w:uiPriority w:val="99"/>
    <w:rPr>
      <w:rFonts w:cs="Times New Roman"/>
      <w:sz w:val="2"/>
    </w:rPr>
  </w:style>
  <w:style w:type="character" w:customStyle="1" w:styleId="82">
    <w:name w:val="页脚 字符"/>
    <w:basedOn w:val="47"/>
    <w:link w:val="29"/>
    <w:qFormat/>
    <w:locked/>
    <w:uiPriority w:val="99"/>
    <w:rPr>
      <w:rFonts w:eastAsia="宋体" w:cs="Times New Roman"/>
      <w:kern w:val="2"/>
      <w:sz w:val="18"/>
      <w:szCs w:val="18"/>
      <w:lang w:val="en-US" w:eastAsia="zh-CN"/>
    </w:rPr>
  </w:style>
  <w:style w:type="character" w:customStyle="1" w:styleId="83">
    <w:name w:val="页眉 字符"/>
    <w:basedOn w:val="47"/>
    <w:link w:val="30"/>
    <w:qFormat/>
    <w:locked/>
    <w:uiPriority w:val="99"/>
    <w:rPr>
      <w:rFonts w:eastAsia="宋体" w:cs="Times New Roman"/>
      <w:kern w:val="2"/>
      <w:sz w:val="18"/>
      <w:szCs w:val="18"/>
      <w:lang w:val="en-US" w:eastAsia="zh-CN"/>
    </w:rPr>
  </w:style>
  <w:style w:type="character" w:customStyle="1" w:styleId="84">
    <w:name w:val="副标题 字符"/>
    <w:basedOn w:val="47"/>
    <w:link w:val="33"/>
    <w:qFormat/>
    <w:locked/>
    <w:uiPriority w:val="99"/>
    <w:rPr>
      <w:rFonts w:ascii="Cambria" w:hAnsi="Cambria" w:cs="Cambria"/>
      <w:b/>
      <w:bCs/>
      <w:kern w:val="28"/>
      <w:sz w:val="32"/>
      <w:szCs w:val="32"/>
    </w:rPr>
  </w:style>
  <w:style w:type="character" w:customStyle="1" w:styleId="85">
    <w:name w:val="脚注文本 字符"/>
    <w:basedOn w:val="47"/>
    <w:link w:val="35"/>
    <w:semiHidden/>
    <w:qFormat/>
    <w:locked/>
    <w:uiPriority w:val="99"/>
    <w:rPr>
      <w:rFonts w:cs="Times New Roman"/>
      <w:sz w:val="18"/>
      <w:szCs w:val="18"/>
    </w:rPr>
  </w:style>
  <w:style w:type="character" w:customStyle="1" w:styleId="86">
    <w:name w:val="正文文本缩进 3 字符"/>
    <w:basedOn w:val="47"/>
    <w:link w:val="37"/>
    <w:semiHidden/>
    <w:qFormat/>
    <w:locked/>
    <w:uiPriority w:val="99"/>
    <w:rPr>
      <w:rFonts w:cs="Times New Roman"/>
      <w:sz w:val="16"/>
      <w:szCs w:val="16"/>
    </w:rPr>
  </w:style>
  <w:style w:type="character" w:customStyle="1" w:styleId="87">
    <w:name w:val="正文文本 2 字符"/>
    <w:basedOn w:val="47"/>
    <w:link w:val="41"/>
    <w:semiHidden/>
    <w:qFormat/>
    <w:locked/>
    <w:uiPriority w:val="99"/>
    <w:rPr>
      <w:rFonts w:cs="Times New Roman"/>
      <w:sz w:val="21"/>
      <w:szCs w:val="21"/>
    </w:rPr>
  </w:style>
  <w:style w:type="character" w:customStyle="1" w:styleId="88">
    <w:name w:val="标题 字符"/>
    <w:basedOn w:val="47"/>
    <w:link w:val="43"/>
    <w:qFormat/>
    <w:locked/>
    <w:uiPriority w:val="99"/>
    <w:rPr>
      <w:rFonts w:ascii="Cambria" w:hAnsi="Cambria" w:cs="Cambria"/>
      <w:b/>
      <w:bCs/>
      <w:kern w:val="2"/>
      <w:sz w:val="32"/>
      <w:szCs w:val="32"/>
    </w:rPr>
  </w:style>
  <w:style w:type="character" w:customStyle="1" w:styleId="89">
    <w:name w:val="批注主题 字符"/>
    <w:basedOn w:val="74"/>
    <w:link w:val="44"/>
    <w:qFormat/>
    <w:locked/>
    <w:uiPriority w:val="99"/>
    <w:rPr>
      <w:rFonts w:ascii="宋体" w:cs="宋体"/>
      <w:b/>
      <w:bCs/>
      <w:kern w:val="2"/>
      <w:sz w:val="28"/>
      <w:szCs w:val="28"/>
    </w:rPr>
  </w:style>
  <w:style w:type="character" w:customStyle="1" w:styleId="90">
    <w:name w:val="正文文本首行缩进 2 字符"/>
    <w:basedOn w:val="77"/>
    <w:link w:val="2"/>
    <w:semiHidden/>
    <w:qFormat/>
    <w:locked/>
    <w:uiPriority w:val="99"/>
    <w:rPr>
      <w:rFonts w:cs="Times New Roman"/>
      <w:sz w:val="21"/>
      <w:szCs w:val="21"/>
    </w:rPr>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6"/>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15953</Words>
  <Characters>16743</Characters>
  <Lines>1</Lines>
  <Paragraphs>1</Paragraphs>
  <TotalTime>10</TotalTime>
  <ScaleCrop>false</ScaleCrop>
  <LinksUpToDate>false</LinksUpToDate>
  <CharactersWithSpaces>18308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这不科学</cp:lastModifiedBy>
  <cp:lastPrinted>2023-03-21T07:56:00Z</cp:lastPrinted>
  <dcterms:modified xsi:type="dcterms:W3CDTF">2023-12-21T09:38:03Z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133F8C2F7BBF40EEBABF6D1624FBAEAF_13</vt:lpwstr>
  </property>
</Properties>
</file>