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宋体" w:hAnsi="宋体" w:eastAsia="宋体" w:cs="宋体"/>
          <w:b/>
          <w:bCs w:val="0"/>
          <w:color w:val="000000"/>
          <w:kern w:val="0"/>
          <w:sz w:val="144"/>
          <w:szCs w:val="144"/>
          <w:highlight w:val="none"/>
          <w:u w:color="000000"/>
          <w:lang w:val="en-US" w:eastAsia="zh-CN" w:bidi="ar"/>
        </w:rPr>
      </w:pPr>
      <w:r>
        <w:rPr>
          <w:rFonts w:hint="eastAsia" w:ascii="Times New Roman" w:hAnsi="Times New Roman" w:eastAsia="宋体" w:cs="宋体"/>
          <w:b/>
          <w:bCs w:val="0"/>
          <w:color w:val="000000"/>
          <w:kern w:val="0"/>
          <w:sz w:val="48"/>
          <w:szCs w:val="28"/>
          <w:highlight w:val="none"/>
          <w:u w:color="000000"/>
          <w:lang w:val="en-US" w:eastAsia="zh-CN" w:bidi="ar"/>
        </w:rPr>
        <w:t>加工厂区智能排队管理系统采购项目</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84"/>
          <w:szCs w:val="84"/>
          <w:highlight w:val="none"/>
          <w:u w:color="000000"/>
          <w:lang w:val="en-US" w:eastAsia="zh-CN" w:bidi="ar"/>
        </w:rPr>
        <w:t>招 标 文 件</w:t>
      </w:r>
    </w:p>
    <w:p>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pPr>
        <w:pStyle w:val="18"/>
        <w:widowControl/>
        <w:rPr>
          <w:highlight w:val="none"/>
          <w:lang w:val="en-US"/>
        </w:rPr>
      </w:pPr>
      <w:r>
        <w:rPr>
          <w:highlight w:val="none"/>
          <w:lang w:val="en-US"/>
        </w:rPr>
        <w:t xml:space="preserve"> </w:t>
      </w:r>
    </w:p>
    <w:p>
      <w:pPr>
        <w:pStyle w:val="18"/>
        <w:widowControl/>
        <w:rPr>
          <w:highlight w:val="none"/>
          <w:lang w:val="en-US"/>
        </w:rPr>
      </w:pPr>
      <w:r>
        <w:rPr>
          <w:highlight w:val="none"/>
          <w:lang w:val="en-US"/>
        </w:rPr>
        <w:t xml:space="preserve"> </w:t>
      </w:r>
    </w:p>
    <w:p>
      <w:pPr>
        <w:pStyle w:val="18"/>
        <w:widowControl/>
        <w:rPr>
          <w:highlight w:val="none"/>
          <w:lang w:val="en-US"/>
        </w:rPr>
      </w:pPr>
      <w:r>
        <w:rPr>
          <w:highlight w:val="none"/>
          <w:lang w:val="en-US"/>
        </w:rPr>
        <w:t xml:space="preserve"> </w:t>
      </w:r>
    </w:p>
    <w:p>
      <w:pPr>
        <w:pStyle w:val="18"/>
        <w:widowControl/>
        <w:rPr>
          <w:highlight w:val="none"/>
          <w:lang w:val="en-US"/>
        </w:rPr>
      </w:pPr>
      <w:r>
        <w:rPr>
          <w:highlight w:val="none"/>
          <w:lang w:val="en-US"/>
        </w:rPr>
        <w:t xml:space="preserve"> </w:t>
      </w:r>
    </w:p>
    <w:p>
      <w:pPr>
        <w:pStyle w:val="18"/>
        <w:widowControl/>
        <w:rPr>
          <w:rFonts w:eastAsia="宋体"/>
          <w:highlight w:val="none"/>
          <w:lang w:val="en-US"/>
        </w:rPr>
      </w:pPr>
      <w:r>
        <w:rPr>
          <w:highlight w:val="none"/>
          <w:lang w:val="en-US"/>
        </w:rPr>
        <w:t xml:space="preserve"> </w:t>
      </w:r>
    </w:p>
    <w:p>
      <w:pPr>
        <w:adjustRightInd w:val="0"/>
        <w:snapToGrid w:val="0"/>
        <w:ind w:firstLine="300" w:firstLineChars="94"/>
        <w:rPr>
          <w:rFonts w:hint="default" w:ascii="宋体" w:hAnsi="宋体" w:eastAsiaTheme="minorEastAsia"/>
          <w:b w:val="0"/>
          <w:bCs/>
          <w:sz w:val="32"/>
          <w:highlight w:val="none"/>
          <w:u w:val="thick"/>
          <w:lang w:val="en-US" w:eastAsia="zh-CN"/>
        </w:rPr>
      </w:pPr>
      <w:r>
        <w:rPr>
          <w:rFonts w:hint="eastAsia" w:ascii="宋体" w:hAnsi="宋体" w:eastAsiaTheme="minorEastAsia"/>
          <w:b w:val="0"/>
          <w:bCs/>
          <w:sz w:val="32"/>
          <w:highlight w:val="none"/>
        </w:rPr>
        <w:t>招</w:t>
      </w:r>
      <w:r>
        <w:rPr>
          <w:rFonts w:hint="eastAsia" w:ascii="宋体" w:hAnsi="宋体" w:eastAsiaTheme="minorEastAsia"/>
          <w:b w:val="0"/>
          <w:bCs/>
          <w:sz w:val="32"/>
          <w:highlight w:val="none"/>
          <w:lang w:val="en-US" w:eastAsia="zh-CN"/>
        </w:rPr>
        <w:t xml:space="preserve">  </w:t>
      </w:r>
      <w:r>
        <w:rPr>
          <w:rFonts w:hint="eastAsia" w:ascii="宋体" w:hAnsi="宋体" w:eastAsiaTheme="minorEastAsia"/>
          <w:b w:val="0"/>
          <w:bCs/>
          <w:sz w:val="32"/>
          <w:highlight w:val="none"/>
        </w:rPr>
        <w:t xml:space="preserve"> 标</w:t>
      </w:r>
      <w:r>
        <w:rPr>
          <w:rFonts w:hint="eastAsia" w:ascii="宋体" w:hAnsi="宋体" w:eastAsiaTheme="minorEastAsia"/>
          <w:b w:val="0"/>
          <w:bCs/>
          <w:sz w:val="32"/>
          <w:highlight w:val="none"/>
          <w:lang w:val="en-US" w:eastAsia="zh-CN"/>
        </w:rPr>
        <w:t xml:space="preserve"> </w:t>
      </w:r>
      <w:r>
        <w:rPr>
          <w:rFonts w:hint="eastAsia" w:ascii="宋体" w:hAnsi="宋体" w:eastAsiaTheme="minorEastAsia"/>
          <w:b w:val="0"/>
          <w:bCs/>
          <w:sz w:val="32"/>
          <w:highlight w:val="none"/>
        </w:rPr>
        <w:t xml:space="preserve">  人</w:t>
      </w:r>
      <w:r>
        <w:rPr>
          <w:rFonts w:hint="eastAsia" w:ascii="宋体" w:hAnsi="宋体"/>
          <w:b w:val="0"/>
          <w:bCs/>
          <w:sz w:val="32"/>
          <w:highlight w:val="none"/>
        </w:rPr>
        <w:t>:</w:t>
      </w:r>
      <w:r>
        <w:rPr>
          <w:rFonts w:hint="eastAsia" w:ascii="宋体" w:hAnsi="宋体"/>
          <w:b w:val="0"/>
          <w:bCs/>
          <w:sz w:val="32"/>
          <w:highlight w:val="none"/>
          <w:u w:val="thick"/>
        </w:rPr>
        <w:t xml:space="preserve">  </w:t>
      </w:r>
      <w:r>
        <w:rPr>
          <w:rFonts w:hint="eastAsia" w:ascii="宋体" w:hAnsi="宋体"/>
          <w:b w:val="0"/>
          <w:bCs/>
          <w:sz w:val="32"/>
          <w:highlight w:val="none"/>
          <w:u w:val="thick"/>
          <w:lang w:val="en-US" w:eastAsia="zh-CN"/>
        </w:rPr>
        <w:t xml:space="preserve"> </w:t>
      </w:r>
      <w:r>
        <w:rPr>
          <w:rFonts w:hint="eastAsia" w:ascii="宋体" w:hAnsi="宋体"/>
          <w:b w:val="0"/>
          <w:bCs/>
          <w:sz w:val="32"/>
          <w:highlight w:val="none"/>
          <w:u w:val="thick"/>
          <w:lang w:eastAsia="zh-CN"/>
        </w:rPr>
        <w:t>滁州市兴全矿业投资有限公司</w:t>
      </w:r>
      <w:r>
        <w:rPr>
          <w:rFonts w:hint="eastAsia" w:ascii="宋体" w:hAnsi="宋体"/>
          <w:b w:val="0"/>
          <w:bCs/>
          <w:sz w:val="32"/>
          <w:highlight w:val="none"/>
          <w:u w:val="thick"/>
        </w:rPr>
        <w:t xml:space="preserve"> </w:t>
      </w:r>
      <w:r>
        <w:rPr>
          <w:rFonts w:hint="eastAsia" w:ascii="宋体" w:hAnsi="宋体"/>
          <w:b w:val="0"/>
          <w:bCs/>
          <w:sz w:val="32"/>
          <w:highlight w:val="none"/>
          <w:u w:val="thick"/>
          <w:lang w:val="en-US" w:eastAsia="zh-CN"/>
        </w:rPr>
        <w:t xml:space="preserve">     </w:t>
      </w:r>
    </w:p>
    <w:p>
      <w:pPr>
        <w:adjustRightInd w:val="0"/>
        <w:snapToGrid w:val="0"/>
        <w:ind w:firstLine="300" w:firstLineChars="94"/>
        <w:rPr>
          <w:rFonts w:hint="eastAsia" w:ascii="宋体" w:hAnsi="宋体"/>
          <w:b w:val="0"/>
          <w:bCs/>
          <w:sz w:val="32"/>
          <w:highlight w:val="none"/>
          <w:u w:val="thick"/>
        </w:rPr>
      </w:pPr>
    </w:p>
    <w:p>
      <w:pPr>
        <w:adjustRightInd w:val="0"/>
        <w:snapToGrid w:val="0"/>
        <w:ind w:firstLine="300" w:firstLineChars="94"/>
        <w:rPr>
          <w:rFonts w:hint="eastAsia" w:ascii="宋体" w:hAnsi="宋体"/>
          <w:b w:val="0"/>
          <w:bCs/>
          <w:spacing w:val="20"/>
          <w:sz w:val="32"/>
          <w:highlight w:val="none"/>
          <w:u w:val="single"/>
        </w:rPr>
      </w:pPr>
      <w:r>
        <w:rPr>
          <w:rFonts w:hint="eastAsia" w:ascii="宋体" w:hAnsi="宋体" w:eastAsiaTheme="minorEastAsia"/>
          <w:b w:val="0"/>
          <w:bCs/>
          <w:spacing w:val="0"/>
          <w:sz w:val="32"/>
          <w:highlight w:val="none"/>
        </w:rPr>
        <w:t>招标代理机构</w:t>
      </w:r>
      <w:r>
        <w:rPr>
          <w:rFonts w:hint="eastAsia" w:ascii="宋体" w:hAnsi="宋体"/>
          <w:b w:val="0"/>
          <w:bCs/>
          <w:spacing w:val="20"/>
          <w:sz w:val="32"/>
          <w:highlight w:val="none"/>
        </w:rPr>
        <w:t>:</w:t>
      </w:r>
      <w:r>
        <w:rPr>
          <w:rFonts w:hint="eastAsia" w:ascii="宋体" w:hAnsi="宋体"/>
          <w:b w:val="0"/>
          <w:bCs/>
          <w:spacing w:val="20"/>
          <w:sz w:val="32"/>
          <w:highlight w:val="none"/>
          <w:u w:val="thick"/>
        </w:rPr>
        <w:t xml:space="preserve"> </w:t>
      </w:r>
      <w:r>
        <w:rPr>
          <w:rFonts w:hint="eastAsia" w:ascii="宋体" w:hAnsi="宋体"/>
          <w:b w:val="0"/>
          <w:bCs/>
          <w:sz w:val="32"/>
          <w:highlight w:val="none"/>
          <w:u w:val="thick"/>
        </w:rPr>
        <w:t xml:space="preserve">滁州市城投工程咨询管理有限公司 </w:t>
      </w:r>
      <w:r>
        <w:rPr>
          <w:rFonts w:hint="eastAsia" w:ascii="宋体" w:hAnsi="宋体"/>
          <w:b w:val="0"/>
          <w:bCs/>
          <w:sz w:val="32"/>
          <w:highlight w:val="none"/>
          <w:u w:val="thick"/>
          <w:lang w:val="en-US" w:eastAsia="zh-CN"/>
        </w:rPr>
        <w:t xml:space="preserve"> </w:t>
      </w:r>
      <w:r>
        <w:rPr>
          <w:rFonts w:hint="eastAsia" w:ascii="宋体" w:hAnsi="宋体"/>
          <w:b w:val="0"/>
          <w:bCs/>
          <w:sz w:val="32"/>
          <w:highlight w:val="none"/>
          <w:u w:val="thick"/>
        </w:rPr>
        <w:t xml:space="preserve">  </w:t>
      </w:r>
    </w:p>
    <w:p>
      <w:pPr>
        <w:adjustRightInd w:val="0"/>
        <w:snapToGrid w:val="0"/>
        <w:rPr>
          <w:rFonts w:hint="eastAsia" w:ascii="宋体" w:hAnsi="宋体"/>
          <w:b w:val="0"/>
          <w:bCs/>
          <w:spacing w:val="20"/>
          <w:sz w:val="32"/>
          <w:highlight w:val="none"/>
          <w:u w:val="single"/>
        </w:rPr>
      </w:pPr>
    </w:p>
    <w:p>
      <w:pPr>
        <w:adjustRightInd w:val="0"/>
        <w:snapToGrid w:val="0"/>
        <w:spacing w:line="460" w:lineRule="exact"/>
        <w:ind w:firstLine="313" w:firstLineChars="98"/>
        <w:rPr>
          <w:rFonts w:hint="eastAsia" w:ascii="宋体" w:hAnsi="宋体"/>
          <w:b w:val="0"/>
          <w:bCs/>
          <w:spacing w:val="20"/>
          <w:sz w:val="32"/>
          <w:szCs w:val="32"/>
          <w:highlight w:val="none"/>
        </w:rPr>
      </w:pPr>
      <w:r>
        <w:rPr>
          <w:rFonts w:hint="eastAsia" w:ascii="宋体" w:hAnsi="宋体" w:eastAsiaTheme="minorEastAsia"/>
          <w:b w:val="0"/>
          <w:bCs/>
          <w:spacing w:val="0"/>
          <w:sz w:val="32"/>
          <w:highlight w:val="none"/>
        </w:rPr>
        <w:t xml:space="preserve">发 布 </w:t>
      </w:r>
      <w:r>
        <w:rPr>
          <w:rFonts w:hint="eastAsia" w:ascii="宋体" w:hAnsi="宋体"/>
          <w:b w:val="0"/>
          <w:bCs/>
          <w:spacing w:val="0"/>
          <w:sz w:val="32"/>
          <w:highlight w:val="none"/>
          <w:lang w:val="en-US" w:eastAsia="zh-CN"/>
        </w:rPr>
        <w:t xml:space="preserve"> </w:t>
      </w:r>
      <w:r>
        <w:rPr>
          <w:rFonts w:hint="eastAsia" w:ascii="宋体" w:hAnsi="宋体" w:eastAsiaTheme="minorEastAsia"/>
          <w:b w:val="0"/>
          <w:bCs/>
          <w:spacing w:val="0"/>
          <w:sz w:val="32"/>
          <w:highlight w:val="none"/>
        </w:rPr>
        <w:t>日 期</w:t>
      </w:r>
      <w:r>
        <w:rPr>
          <w:rFonts w:hint="eastAsia" w:ascii="宋体" w:hAnsi="宋体"/>
          <w:b w:val="0"/>
          <w:bCs/>
          <w:spacing w:val="20"/>
          <w:sz w:val="32"/>
          <w:highlight w:val="none"/>
        </w:rPr>
        <w:t>:</w:t>
      </w:r>
      <w:r>
        <w:rPr>
          <w:rFonts w:hint="eastAsia" w:ascii="宋体" w:hAnsi="宋体"/>
          <w:b w:val="0"/>
          <w:bCs/>
          <w:sz w:val="32"/>
          <w:highlight w:val="none"/>
          <w:u w:val="thick"/>
        </w:rPr>
        <w:t xml:space="preserve">           </w:t>
      </w:r>
      <w:r>
        <w:rPr>
          <w:rFonts w:hint="eastAsia" w:ascii="宋体" w:hAnsi="宋体"/>
          <w:b w:val="0"/>
          <w:bCs/>
          <w:sz w:val="32"/>
          <w:highlight w:val="none"/>
          <w:u w:val="thick"/>
          <w:lang w:val="en-US" w:eastAsia="zh-CN"/>
        </w:rPr>
        <w:t xml:space="preserve"> </w:t>
      </w:r>
      <w:r>
        <w:rPr>
          <w:rFonts w:hint="eastAsia" w:ascii="宋体" w:hAnsi="宋体"/>
          <w:b w:val="0"/>
          <w:bCs/>
          <w:sz w:val="32"/>
          <w:highlight w:val="none"/>
          <w:u w:val="thick"/>
        </w:rPr>
        <w:t>202</w:t>
      </w:r>
      <w:r>
        <w:rPr>
          <w:rFonts w:hint="eastAsia" w:ascii="宋体" w:hAnsi="宋体"/>
          <w:b w:val="0"/>
          <w:bCs/>
          <w:sz w:val="32"/>
          <w:highlight w:val="none"/>
          <w:u w:val="thick"/>
          <w:lang w:val="en-US" w:eastAsia="zh-CN"/>
        </w:rPr>
        <w:t>4</w:t>
      </w:r>
      <w:r>
        <w:rPr>
          <w:rFonts w:hint="eastAsia" w:ascii="宋体" w:hAnsi="宋体"/>
          <w:b w:val="0"/>
          <w:bCs/>
          <w:sz w:val="32"/>
          <w:highlight w:val="none"/>
          <w:u w:val="thick"/>
        </w:rPr>
        <w:t>年</w:t>
      </w:r>
      <w:r>
        <w:rPr>
          <w:rFonts w:hint="eastAsia" w:ascii="宋体" w:hAnsi="宋体"/>
          <w:b w:val="0"/>
          <w:bCs/>
          <w:sz w:val="32"/>
          <w:highlight w:val="none"/>
          <w:u w:val="thick"/>
          <w:lang w:val="en-US" w:eastAsia="zh-CN"/>
        </w:rPr>
        <w:t>4</w:t>
      </w:r>
      <w:r>
        <w:rPr>
          <w:rFonts w:hint="eastAsia" w:ascii="宋体" w:hAnsi="宋体"/>
          <w:b w:val="0"/>
          <w:bCs/>
          <w:sz w:val="32"/>
          <w:highlight w:val="none"/>
          <w:u w:val="thick"/>
        </w:rPr>
        <w:t xml:space="preserve">月        </w:t>
      </w:r>
      <w:r>
        <w:rPr>
          <w:rFonts w:hint="eastAsia" w:ascii="宋体" w:hAnsi="宋体"/>
          <w:b w:val="0"/>
          <w:bCs/>
          <w:sz w:val="32"/>
          <w:highlight w:val="none"/>
          <w:u w:val="thick"/>
          <w:lang w:val="en-US" w:eastAsia="zh-CN"/>
        </w:rPr>
        <w:t xml:space="preserve"> </w:t>
      </w:r>
      <w:r>
        <w:rPr>
          <w:rFonts w:hint="eastAsia" w:ascii="宋体" w:hAnsi="宋体"/>
          <w:b w:val="0"/>
          <w:bCs/>
          <w:sz w:val="32"/>
          <w:highlight w:val="none"/>
          <w:u w:val="thick"/>
        </w:rPr>
        <w:t xml:space="preserve">    </w:t>
      </w:r>
    </w:p>
    <w:p>
      <w:pPr>
        <w:pStyle w:val="23"/>
        <w:widowControl/>
        <w:spacing w:before="0" w:beforeAutospacing="0" w:after="120" w:afterAutospacing="0"/>
        <w:ind w:leftChars="200" w:right="0"/>
        <w:rPr>
          <w:highlight w:val="none"/>
          <w:lang w:val="en-US"/>
        </w:rPr>
      </w:pPr>
      <w:r>
        <w:rPr>
          <w:highlight w:val="none"/>
          <w:lang w:val="en-US"/>
        </w:rPr>
        <w:t xml:space="preserve"> </w:t>
      </w:r>
    </w:p>
    <w:p>
      <w:pPr>
        <w:jc w:val="center"/>
        <w:rPr>
          <w:rFonts w:hint="eastAsia" w:ascii="宋体" w:hAnsi="宋体" w:eastAsia="宋体" w:cs="宋体"/>
          <w:b/>
          <w:bCs w:val="0"/>
          <w:color w:val="000000"/>
          <w:kern w:val="0"/>
          <w:sz w:val="36"/>
          <w:szCs w:val="36"/>
          <w:highlight w:val="none"/>
          <w:u w:color="000000"/>
          <w:lang w:val="en-US" w:eastAsia="zh-CN" w:bidi="ar"/>
        </w:rPr>
      </w:pPr>
    </w:p>
    <w:p>
      <w:pPr>
        <w:rPr>
          <w:rFonts w:hint="eastAsia" w:ascii="宋体" w:hAnsi="宋体" w:eastAsia="宋体" w:cs="宋体"/>
          <w:b/>
          <w:bCs w:val="0"/>
          <w:color w:val="000000"/>
          <w:kern w:val="0"/>
          <w:sz w:val="36"/>
          <w:szCs w:val="36"/>
          <w:highlight w:val="none"/>
          <w:u w:color="000000"/>
          <w:lang w:val="en-US" w:eastAsia="zh-CN" w:bidi="ar"/>
        </w:rPr>
      </w:pPr>
      <w:r>
        <w:rPr>
          <w:rFonts w:hint="eastAsia" w:ascii="宋体" w:hAnsi="宋体" w:eastAsia="宋体" w:cs="宋体"/>
          <w:b/>
          <w:bCs w:val="0"/>
          <w:color w:val="000000"/>
          <w:kern w:val="0"/>
          <w:sz w:val="36"/>
          <w:szCs w:val="36"/>
          <w:highlight w:val="none"/>
          <w:u w:color="000000"/>
          <w:lang w:val="en-US" w:eastAsia="zh-CN" w:bidi="ar"/>
        </w:rPr>
        <w:br w:type="page"/>
      </w:r>
    </w:p>
    <w:p>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pPr>
        <w:pStyle w:val="17"/>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TOC \o "1-1" \h \u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_Toc4829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sz w:val="28"/>
          <w:szCs w:val="28"/>
          <w:highlight w:val="none"/>
          <w:lang w:eastAsia="zh-CN"/>
        </w:rPr>
        <w:t>第一章</w:t>
      </w:r>
      <w:r>
        <w:rPr>
          <w:rFonts w:hint="eastAsia" w:ascii="宋体" w:hAnsi="宋体" w:eastAsia="宋体" w:cs="宋体"/>
          <w:b w:val="0"/>
          <w:bCs w:val="0"/>
          <w:sz w:val="28"/>
          <w:szCs w:val="28"/>
          <w:highlight w:val="none"/>
          <w:lang w:val="en-US"/>
        </w:rPr>
        <w:t xml:space="preserve">  </w:t>
      </w:r>
      <w:r>
        <w:rPr>
          <w:rFonts w:hint="eastAsia" w:ascii="宋体" w:hAnsi="宋体" w:eastAsia="宋体" w:cs="宋体"/>
          <w:b w:val="0"/>
          <w:bCs w:val="0"/>
          <w:sz w:val="28"/>
          <w:szCs w:val="28"/>
          <w:highlight w:val="none"/>
          <w:lang w:eastAsia="zh-CN"/>
        </w:rPr>
        <w:t>招标公告</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_Toc4829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pPr>
        <w:pStyle w:val="17"/>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_Toc29194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kern w:val="0"/>
          <w:sz w:val="28"/>
          <w:szCs w:val="28"/>
          <w:highlight w:val="none"/>
          <w:lang w:val="en-US" w:eastAsia="zh-CN" w:bidi="ar"/>
        </w:rPr>
        <w:t>第二章  投标人须知</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_Toc29194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pPr>
        <w:pStyle w:val="17"/>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_Toc23947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kern w:val="44"/>
          <w:sz w:val="28"/>
          <w:szCs w:val="28"/>
          <w:highlight w:val="none"/>
          <w:lang w:val="en-US" w:eastAsia="zh-CN" w:bidi="ar"/>
        </w:rPr>
        <w:t>第三章  评标办法（综合评分法）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_Toc23947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17</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pPr>
        <w:pStyle w:val="17"/>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_Toc6175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sz w:val="28"/>
          <w:szCs w:val="28"/>
          <w:highlight w:val="none"/>
        </w:rPr>
        <w:t>第</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 xml:space="preserve">章  </w:t>
      </w:r>
      <w:r>
        <w:rPr>
          <w:rFonts w:hint="eastAsia" w:ascii="宋体" w:hAnsi="宋体" w:eastAsia="宋体" w:cs="宋体"/>
          <w:b w:val="0"/>
          <w:bCs w:val="0"/>
          <w:sz w:val="28"/>
          <w:szCs w:val="28"/>
          <w:highlight w:val="none"/>
          <w:lang w:eastAsia="zh-CN"/>
        </w:rPr>
        <w:t>采购需求</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_Toc6175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25</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pPr>
        <w:pStyle w:val="17"/>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_Toc26764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kern w:val="2"/>
          <w:sz w:val="28"/>
          <w:szCs w:val="28"/>
          <w:highlight w:val="none"/>
          <w:lang w:val="en-US" w:eastAsia="zh-CN" w:bidi="ar-SA"/>
        </w:rPr>
        <w:t>第五章  合同条款及格式</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_Toc26764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27</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pPr>
        <w:pStyle w:val="17"/>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_Toc20599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kern w:val="2"/>
          <w:sz w:val="28"/>
          <w:szCs w:val="28"/>
          <w:highlight w:val="none"/>
          <w:lang w:val="en-US" w:eastAsia="zh-CN" w:bidi="ar"/>
        </w:rPr>
        <w:t>第六章  投标文件格式</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_Toc20599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pPr>
        <w:pStyle w:val="17"/>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_Toc16405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sz w:val="28"/>
          <w:szCs w:val="28"/>
          <w:highlight w:val="none"/>
          <w:lang w:eastAsia="zh-CN"/>
        </w:rPr>
        <w:t>第</w:t>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lang w:eastAsia="zh-CN"/>
        </w:rPr>
        <w:t>章</w:t>
      </w:r>
      <w:r>
        <w:rPr>
          <w:rFonts w:hint="eastAsia" w:ascii="宋体" w:hAnsi="宋体" w:eastAsia="宋体" w:cs="宋体"/>
          <w:b w:val="0"/>
          <w:bCs w:val="0"/>
          <w:sz w:val="28"/>
          <w:szCs w:val="28"/>
          <w:highlight w:val="none"/>
          <w:lang w:val="en-US"/>
        </w:rPr>
        <w:t xml:space="preserve">  </w:t>
      </w:r>
      <w:r>
        <w:rPr>
          <w:rFonts w:hint="eastAsia" w:ascii="宋体" w:hAnsi="宋体" w:eastAsia="宋体" w:cs="宋体"/>
          <w:b w:val="0"/>
          <w:bCs w:val="0"/>
          <w:sz w:val="28"/>
          <w:szCs w:val="28"/>
          <w:highlight w:val="none"/>
          <w:lang w:eastAsia="zh-CN"/>
        </w:rPr>
        <w:t>招标人、招标代理机构对本招标文件的确认</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_Toc16405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49</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b w:val="0"/>
          <w:bCs w:val="0"/>
          <w:sz w:val="28"/>
          <w:szCs w:val="28"/>
          <w:highlight w:val="none"/>
          <w:lang w:val="en-US"/>
        </w:rPr>
        <w:fldChar w:fldCharType="end"/>
      </w:r>
    </w:p>
    <w:p>
      <w:pPr>
        <w:rPr>
          <w:rFonts w:hint="eastAsia" w:ascii="宋体" w:hAnsi="宋体" w:eastAsia="宋体" w:cs="宋体"/>
          <w:sz w:val="24"/>
          <w:szCs w:val="24"/>
          <w:highlight w:val="none"/>
          <w:lang w:val="en-US" w:eastAsia="zh-CN" w:bidi="ar"/>
        </w:rPr>
        <w:sectPr>
          <w:pgSz w:w="11906" w:h="16838"/>
          <w:pgMar w:top="1440" w:right="1800" w:bottom="1440" w:left="1800" w:header="851" w:footer="992" w:gutter="0"/>
          <w:pgNumType w:fmt="decimal" w:start="1"/>
          <w:cols w:space="425" w:num="1"/>
          <w:docGrid w:type="lines" w:linePitch="312" w:charSpace="0"/>
        </w:sectPr>
      </w:pPr>
    </w:p>
    <w:p>
      <w:pPr>
        <w:pStyle w:val="18"/>
        <w:keepNext w:val="0"/>
        <w:keepLines w:val="0"/>
        <w:pageBreakBefore w:val="0"/>
        <w:widowControl/>
        <w:kinsoku/>
        <w:overflowPunct/>
        <w:topLinePunct w:val="0"/>
        <w:autoSpaceDN/>
        <w:bidi w:val="0"/>
        <w:adjustRightInd/>
        <w:snapToGrid/>
        <w:spacing w:beforeAutospacing="0" w:afterAutospacing="0" w:line="440" w:lineRule="exact"/>
        <w:jc w:val="center"/>
        <w:textAlignment w:val="auto"/>
        <w:outlineLvl w:val="0"/>
        <w:rPr>
          <w:rFonts w:hint="eastAsia" w:ascii="宋体" w:hAnsi="宋体" w:eastAsia="宋体" w:cs="宋体"/>
          <w:b/>
          <w:bCs/>
          <w:highlight w:val="none"/>
          <w:lang w:val="en-US"/>
        </w:rPr>
      </w:pPr>
      <w:bookmarkStart w:id="0" w:name="_Toc29214"/>
      <w:bookmarkEnd w:id="0"/>
      <w:bookmarkStart w:id="1" w:name="_Toc23741_WPSOffice_Level1"/>
      <w:bookmarkEnd w:id="1"/>
      <w:bookmarkStart w:id="2" w:name="_Toc4829"/>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highlight w:val="none"/>
          <w:lang w:eastAsia="zh-CN"/>
        </w:rPr>
        <w:t>招标公告</w:t>
      </w:r>
      <w:bookmarkEnd w:id="2"/>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58430305"/>
      <w:bookmarkEnd w:id="5"/>
      <w:bookmarkStart w:id="6" w:name="_Toc35393621"/>
      <w:bookmarkEnd w:id="6"/>
      <w:bookmarkStart w:id="7" w:name="_Toc28359002"/>
      <w:bookmarkEnd w:id="7"/>
      <w:bookmarkStart w:id="8" w:name="_Toc28359079"/>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val="single" w:color="auto"/>
          <w:lang w:val="en-US" w:eastAsia="zh-CN" w:bidi="ar"/>
        </w:rPr>
        <w:t>加工厂区智能排队管理系统采购项目</w:t>
      </w:r>
      <w:r>
        <w:rPr>
          <w:rFonts w:hint="eastAsia" w:ascii="宋体" w:hAnsi="宋体" w:eastAsia="宋体" w:cs="宋体"/>
          <w:color w:val="000000"/>
          <w:kern w:val="0"/>
          <w:sz w:val="24"/>
          <w:szCs w:val="24"/>
          <w:highlight w:val="none"/>
          <w:u w:color="000000"/>
          <w:lang w:val="en-US" w:eastAsia="zh-CN" w:bidi="ar"/>
        </w:rPr>
        <w:t>的潜在投标人应在滁州市兴滁矿业投资集团有限公司网站（http://www.xckytz.com/）获取招标文件，并于</w:t>
      </w:r>
      <w:bookmarkStart w:id="72" w:name="_GoBack"/>
      <w:r>
        <w:rPr>
          <w:rFonts w:hint="eastAsia" w:ascii="宋体" w:hAnsi="宋体" w:eastAsia="宋体" w:cs="宋体"/>
          <w:color w:val="000000"/>
          <w:kern w:val="0"/>
          <w:sz w:val="24"/>
          <w:szCs w:val="24"/>
          <w:highlight w:val="none"/>
          <w:u w:val="single" w:color="auto"/>
          <w:lang w:val="en-US" w:eastAsia="zh-CN" w:bidi="ar"/>
        </w:rPr>
        <w:t>2024年4月23日9时30分（北京时间）</w:t>
      </w:r>
      <w:bookmarkEnd w:id="72"/>
      <w:r>
        <w:rPr>
          <w:rFonts w:hint="eastAsia" w:ascii="宋体" w:hAnsi="宋体" w:eastAsia="宋体" w:cs="宋体"/>
          <w:color w:val="000000"/>
          <w:kern w:val="0"/>
          <w:sz w:val="24"/>
          <w:szCs w:val="24"/>
          <w:highlight w:val="none"/>
          <w:u w:color="000000"/>
          <w:lang w:val="en-US" w:eastAsia="zh-CN" w:bidi="ar"/>
        </w:rPr>
        <w:t>前递交投标文件。</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项目名称：加工厂区智能排队管理系统采购项目</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479" w:leftChars="228" w:right="0" w:firstLine="0" w:firstLineChars="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预算金额：</w:t>
      </w:r>
      <w:r>
        <w:rPr>
          <w:rFonts w:hint="eastAsia" w:ascii="宋体" w:hAnsi="宋体" w:eastAsia="宋体" w:cs="宋体"/>
          <w:b w:val="0"/>
          <w:bCs w:val="0"/>
          <w:color w:val="000000"/>
          <w:kern w:val="0"/>
          <w:sz w:val="24"/>
          <w:szCs w:val="24"/>
          <w:highlight w:val="none"/>
          <w:u w:color="000000"/>
          <w:lang w:val="en-US" w:eastAsia="zh-CN" w:bidi="ar"/>
        </w:rPr>
        <w:t>约270000元</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w:t>
      </w:r>
      <w:r>
        <w:rPr>
          <w:rFonts w:hint="eastAsia" w:ascii="宋体" w:hAnsi="宋体" w:eastAsia="宋体" w:cs="宋体"/>
          <w:b w:val="0"/>
          <w:bCs w:val="0"/>
          <w:color w:val="000000"/>
          <w:kern w:val="0"/>
          <w:sz w:val="24"/>
          <w:szCs w:val="24"/>
          <w:highlight w:val="none"/>
          <w:u w:color="000000"/>
          <w:lang w:val="en-US" w:eastAsia="zh-CN" w:bidi="ar"/>
        </w:rPr>
        <w:t>人民币</w:t>
      </w:r>
      <w:r>
        <w:rPr>
          <w:rFonts w:hint="eastAsia" w:ascii="宋体" w:hAnsi="宋体" w:eastAsia="宋体" w:cs="宋体"/>
          <w:color w:val="000000"/>
          <w:kern w:val="0"/>
          <w:sz w:val="24"/>
          <w:szCs w:val="24"/>
          <w:highlight w:val="none"/>
          <w:u w:color="000000"/>
          <w:lang w:val="en-US" w:eastAsia="zh-CN" w:bidi="ar"/>
        </w:rPr>
        <w:t>270000.00元，</w:t>
      </w:r>
      <w:r>
        <w:rPr>
          <w:rFonts w:hint="eastAsia" w:ascii="宋体" w:hAnsi="宋体" w:eastAsia="宋体" w:cs="宋体"/>
          <w:b w:val="0"/>
          <w:bCs w:val="0"/>
          <w:color w:val="000000"/>
          <w:kern w:val="0"/>
          <w:sz w:val="24"/>
          <w:szCs w:val="24"/>
          <w:highlight w:val="none"/>
          <w:u w:color="000000"/>
          <w:lang w:val="en-US" w:eastAsia="zh-CN" w:bidi="ar"/>
        </w:rPr>
        <w:t>投标报价不得超过最高限价，否则按无效投标处理。</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采购需求：加工厂区智能排队管理系统的采购，具体详见采购需求</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服务期：自合同签订后30个日历天内完成软件开发，调试运行依据现场情况推进，直至运行正常。</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本项目不接受联合体投标。</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投标人要求：具有有效的营业执照、税务登记证、组织机构码证（或“三证合一证书”）。</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 xml:space="preserve"> 2024年4月16日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2024年4月23日</w:t>
      </w:r>
    </w:p>
    <w:p>
      <w:pPr>
        <w:keepNext w:val="0"/>
        <w:keepLines w:val="0"/>
        <w:pageBreakBefore w:val="0"/>
        <w:kinsoku/>
        <w:overflowPunct/>
        <w:topLinePunct w:val="0"/>
        <w:autoSpaceDE/>
        <w:autoSpaceDN/>
        <w:bidi w:val="0"/>
        <w:adjustRightInd/>
        <w:snapToGrid/>
        <w:spacing w:line="440" w:lineRule="exact"/>
        <w:ind w:firstLine="540"/>
        <w:textAlignment w:val="auto"/>
        <w:rPr>
          <w:rFonts w:ascii="宋体" w:hAnsi="宋体" w:cs="宋体"/>
          <w:color w:val="auto"/>
          <w:sz w:val="24"/>
          <w:szCs w:val="24"/>
          <w:highlight w:val="none"/>
        </w:rPr>
      </w:pPr>
      <w:r>
        <w:rPr>
          <w:rFonts w:hint="eastAsia" w:ascii="宋体" w:hAnsi="宋体" w:eastAsia="宋体" w:cs="宋体"/>
          <w:color w:val="000000"/>
          <w:kern w:val="0"/>
          <w:sz w:val="24"/>
          <w:szCs w:val="24"/>
          <w:highlight w:val="none"/>
          <w:u w:color="000000"/>
          <w:lang w:val="en-US" w:eastAsia="zh-CN" w:bidi="ar"/>
        </w:rPr>
        <w:t>地点：滁州市兴滁矿业投资集团有限公司</w:t>
      </w:r>
      <w:r>
        <w:rPr>
          <w:rFonts w:hint="eastAsia" w:ascii="宋体" w:hAnsi="宋体" w:cs="宋体"/>
          <w:color w:val="auto"/>
          <w:sz w:val="24"/>
          <w:szCs w:val="24"/>
          <w:highlight w:val="none"/>
        </w:rPr>
        <w:t>网站</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http://www.xckytz.com/</w:t>
      </w:r>
      <w:r>
        <w:rPr>
          <w:rFonts w:hint="eastAsia" w:ascii="宋体" w:hAnsi="宋体" w:cs="宋体"/>
          <w:color w:val="auto"/>
          <w:sz w:val="24"/>
          <w:szCs w:val="24"/>
          <w:highlight w:val="none"/>
          <w:u w:val="single"/>
        </w:rPr>
        <w:t>）</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方式：网上下载</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bookmarkStart w:id="10" w:name="_Toc58430308"/>
      <w:bookmarkEnd w:id="10"/>
      <w:bookmarkStart w:id="11" w:name="_Toc35393793"/>
      <w:bookmarkEnd w:id="11"/>
      <w:bookmarkStart w:id="12" w:name="_Toc28359082"/>
      <w:bookmarkEnd w:id="12"/>
      <w:bookmarkStart w:id="13" w:name="_Toc28359005"/>
      <w:bookmarkEnd w:id="13"/>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截止时间：</w:t>
      </w:r>
      <w:r>
        <w:rPr>
          <w:rFonts w:hint="eastAsia" w:ascii="宋体" w:hAnsi="宋体" w:eastAsia="宋体" w:cs="宋体"/>
          <w:bCs/>
          <w:color w:val="000000"/>
          <w:kern w:val="0"/>
          <w:sz w:val="24"/>
          <w:szCs w:val="24"/>
          <w:highlight w:val="none"/>
          <w:u w:val="single" w:color="000000"/>
          <w:lang w:val="en-US" w:eastAsia="zh-CN" w:bidi="ar"/>
        </w:rPr>
        <w:t>2024年4月23日9时30分</w:t>
      </w:r>
      <w:r>
        <w:rPr>
          <w:rFonts w:hint="eastAsia" w:ascii="宋体" w:hAnsi="宋体" w:eastAsia="宋体" w:cs="宋体"/>
          <w:bCs/>
          <w:color w:val="000000"/>
          <w:kern w:val="0"/>
          <w:sz w:val="24"/>
          <w:szCs w:val="24"/>
          <w:highlight w:val="none"/>
          <w:u w:color="000000"/>
          <w:lang w:val="en-US" w:eastAsia="zh-CN" w:bidi="ar"/>
        </w:rPr>
        <w:t>（北京时间）</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地点：滁州市城投工程咨询管理有限公司622会议室 (滁州市龙蟠大道109号房产商务大厦6楼)</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投标文件递交方式：投标人须在投标文件截止时间前将投标文件以电子邮件的方式一次性发送至滁州市城投工程咨询管理有限公司邮箱（czsctzx@163.com），投标文件格式限定为PDF格式，将文件命名为“投标单位名称+项目名称+联系人+联系电话”，在提交投标文件截止时间后送达的投标文件将被拒绝，投标文件送达时间以滁州市城投工程咨询管理有限公司邮箱显示的邮件送达时间为准，投标文件无法打开的，按无效投标处理。</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是否要求提交投标保证金：要求，投标保证金的金额：0.5万元。</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投标保证金的形式：☑银行转账 </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开户名称：滁州市兴全矿业投资有限公司</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开户银行：中国银行股份有限公司全椒支行</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银行帐号：187242929688</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保证金到账截止时间同投标文件递交截止时间，交纳保证金时须在交易附言中注明：“加工厂区智能排队管理系统采购项目”投标保证金。 </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注：各投标人请严格按照招标公告和招标文件载明的银行、账户汇入投标保证金，否则在开标时将无法查询保证金是否到账，导致评标委员会否决其投标！</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投标保证金退还期限：中标通知书发放后五个工作日内退还未中标单位的投标保证金，签订合同后中标单位的投标保证金转为履约保证金（多退少补，1个工作日内完成办理）。</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1.招标人信息</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名称：滁州市兴全矿业投资有限公司   </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地址：全椒县六镇镇孙家村神山人家安置小区888栋1楼 </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w:t>
      </w:r>
      <w:bookmarkStart w:id="14" w:name="_Toc28359010"/>
      <w:bookmarkEnd w:id="14"/>
      <w:bookmarkStart w:id="15" w:name="_Toc28359087"/>
      <w:r>
        <w:rPr>
          <w:rFonts w:hint="eastAsia" w:ascii="宋体" w:hAnsi="宋体" w:eastAsia="宋体" w:cs="宋体"/>
          <w:bCs/>
          <w:color w:val="auto"/>
          <w:sz w:val="24"/>
          <w:szCs w:val="24"/>
          <w:highlight w:val="none"/>
          <w:lang w:val="en-US" w:eastAsia="zh-CN"/>
        </w:rPr>
        <w:t>0550-5180230</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5"/>
      <w:r>
        <w:rPr>
          <w:rFonts w:hint="eastAsia" w:ascii="宋体" w:hAnsi="宋体" w:eastAsia="宋体" w:cs="宋体"/>
          <w:bCs/>
          <w:color w:val="000000"/>
          <w:kern w:val="0"/>
          <w:sz w:val="24"/>
          <w:szCs w:val="24"/>
          <w:highlight w:val="none"/>
          <w:u w:color="000000"/>
          <w:lang w:val="en-US" w:eastAsia="zh-CN" w:bidi="ar"/>
        </w:rPr>
        <w:t>代理机构信息</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地址：滁州市龙蟠大道109号房产商务大厦6楼605室</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联系方式：0550-3519517、18005500950</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项目联系人：     钱陆阳        胡国庆    </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电      话： </w:t>
      </w:r>
      <w:r>
        <w:rPr>
          <w:rFonts w:hint="eastAsia" w:ascii="宋体" w:hAnsi="宋体" w:eastAsia="宋体" w:cs="宋体"/>
          <w:bCs/>
          <w:color w:val="auto"/>
          <w:sz w:val="24"/>
          <w:szCs w:val="24"/>
          <w:highlight w:val="none"/>
          <w:lang w:val="en-US" w:eastAsia="zh-CN"/>
        </w:rPr>
        <w:t>0550-5180230</w:t>
      </w:r>
      <w:r>
        <w:rPr>
          <w:rFonts w:hint="eastAsia" w:ascii="宋体" w:hAnsi="宋体" w:eastAsia="宋体" w:cs="宋体"/>
          <w:bCs/>
          <w:color w:val="000000"/>
          <w:kern w:val="0"/>
          <w:sz w:val="24"/>
          <w:szCs w:val="24"/>
          <w:highlight w:val="none"/>
          <w:u w:color="000000"/>
          <w:lang w:val="en-US" w:eastAsia="zh-CN" w:bidi="ar"/>
        </w:rPr>
        <w:t xml:space="preserve">   0550-3519517、18005500950</w:t>
      </w:r>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outlineLvl w:val="0"/>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 </w:t>
      </w: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Cs/>
          <w:color w:val="000000"/>
          <w:kern w:val="0"/>
          <w:sz w:val="24"/>
          <w:szCs w:val="24"/>
          <w:highlight w:val="none"/>
          <w:u w:color="000000"/>
          <w:lang w:val="en-US" w:eastAsia="zh-CN" w:bidi="ar"/>
        </w:rPr>
        <w:t xml:space="preserve">   </w:t>
      </w:r>
      <w:bookmarkStart w:id="16" w:name="_Toc29194"/>
      <w:r>
        <w:rPr>
          <w:rFonts w:hint="eastAsia" w:ascii="宋体" w:hAnsi="宋体" w:eastAsia="宋体" w:cs="宋体"/>
          <w:b/>
          <w:bCs/>
          <w:color w:val="auto"/>
          <w:kern w:val="0"/>
          <w:sz w:val="28"/>
          <w:szCs w:val="28"/>
          <w:highlight w:val="none"/>
          <w:u w:color="000000"/>
          <w:lang w:val="en-US" w:eastAsia="zh-CN" w:bidi="ar"/>
        </w:rPr>
        <w:t>第二章 投标人须知</w:t>
      </w:r>
      <w:bookmarkEnd w:id="16"/>
      <w:bookmarkStart w:id="17" w:name="_Toc9559"/>
      <w:bookmarkEnd w:id="17"/>
      <w:bookmarkStart w:id="18" w:name="_Toc28003_WPSOffice_Level2"/>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一、投标人须知前附表</w:t>
      </w:r>
      <w:bookmarkEnd w:id="18"/>
    </w:p>
    <w:tbl>
      <w:tblPr>
        <w:tblStyle w:val="24"/>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1130"/>
        <w:gridCol w:w="1316"/>
        <w:gridCol w:w="632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N/>
              <w:bidi w:val="0"/>
              <w:adjustRightInd/>
              <w:snapToGrid/>
              <w:spacing w:line="440" w:lineRule="exact"/>
              <w:ind w:right="0" w:rightChars="0"/>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gridSpan w:val="2"/>
            <w:tcBorders>
              <w:top w:val="single" w:color="auto" w:sz="12"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N/>
              <w:bidi w:val="0"/>
              <w:adjustRightInd/>
              <w:snapToGrid/>
              <w:spacing w:line="440" w:lineRule="exact"/>
              <w:ind w:right="0" w:rightChars="0"/>
              <w:jc w:val="center"/>
              <w:textAlignment w:val="auto"/>
              <w:rPr>
                <w:rFonts w:cs="Times New Roman"/>
                <w:b/>
                <w:bCs w:val="0"/>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N/>
              <w:bidi w:val="0"/>
              <w:adjustRightInd/>
              <w:snapToGrid/>
              <w:spacing w:line="440" w:lineRule="exact"/>
              <w:ind w:right="0" w:rightChars="0"/>
              <w:jc w:val="center"/>
              <w:textAlignment w:val="auto"/>
              <w:rPr>
                <w:rFonts w:cs="Times New Roman"/>
                <w:b/>
                <w:bCs w:val="0"/>
                <w:highlight w:val="none"/>
                <w:lang w:val="en-US"/>
              </w:rPr>
            </w:pPr>
            <w:r>
              <w:rPr>
                <w:rFonts w:cs="Times New Roman"/>
                <w:b/>
                <w:bCs w:val="0"/>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hint="eastAsia" w:cs="Times New Roman"/>
                <w:bCs/>
                <w:highlight w:val="none"/>
                <w:lang w:val="en-US" w:eastAsia="zh-CN"/>
              </w:rPr>
            </w:pPr>
            <w:r>
              <w:rPr>
                <w:rFonts w:hint="eastAsia" w:cs="Times New Roman"/>
                <w:bCs/>
                <w:highlight w:val="none"/>
                <w:lang w:eastAsia="zh-CN"/>
              </w:rPr>
              <w:t>加工厂区智能排队管理系统采购项目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ascii="宋体" w:hAnsi="宋体" w:eastAsia="宋体" w:cs="Times New Roman"/>
                <w:highlight w:val="none"/>
                <w:lang w:val="en-US"/>
              </w:rPr>
            </w:pPr>
            <w:r>
              <w:rPr>
                <w:rFonts w:hint="eastAsia" w:cs="Times New Roman"/>
                <w:highlight w:val="none"/>
                <w:lang w:val="en-US" w:eastAsia="zh-CN"/>
              </w:rPr>
              <w:t>服务</w:t>
            </w:r>
            <w:r>
              <w:rPr>
                <w:rFonts w:hint="eastAsia" w:ascii="宋体" w:hAnsi="宋体" w:eastAsia="宋体" w:cs="Times New Roman"/>
                <w:highlight w:val="none"/>
                <w:lang w:val="en-US" w:eastAsia="zh-CN"/>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hint="eastAsia" w:cs="Times New Roman"/>
                <w:bCs/>
                <w:highlight w:val="none"/>
                <w:lang w:val="en-US" w:eastAsia="zh-CN"/>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bCs/>
                <w:highlight w:val="none"/>
                <w:lang w:val="en-US"/>
              </w:rPr>
            </w:pPr>
            <w:r>
              <w:rPr>
                <w:rFonts w:hint="eastAsia" w:ascii="宋体" w:hAnsi="宋体" w:eastAsia="宋体" w:cs="宋体"/>
                <w:color w:val="000000"/>
                <w:szCs w:val="21"/>
                <w:highlight w:val="none"/>
                <w:lang w:val="en-US" w:eastAsia="zh-CN"/>
              </w:rPr>
              <w:t>招标人指定地点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宋体"/>
                <w:highlight w:val="none"/>
                <w:lang w:val="en-US"/>
              </w:rPr>
            </w:pPr>
            <w:r>
              <w:rPr>
                <w:rFonts w:hint="eastAsia" w:cs="宋体-18030"/>
                <w:color w:val="auto"/>
                <w:sz w:val="21"/>
                <w:szCs w:val="21"/>
                <w:highlight w:val="none"/>
                <w:lang w:val="en-US" w:eastAsia="zh-CN"/>
              </w:rPr>
              <w:t>钱陆阳  0550-5180230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宋体"/>
                <w:highlight w:val="none"/>
                <w:lang w:val="en-US"/>
              </w:rPr>
            </w:pPr>
            <w:r>
              <w:rPr>
                <w:rFonts w:hint="eastAsia" w:cs="宋体"/>
                <w:highlight w:val="none"/>
                <w:lang w:eastAsia="zh-CN"/>
              </w:rPr>
              <w:t>胡国庆</w:t>
            </w:r>
            <w:r>
              <w:rPr>
                <w:rFonts w:cs="宋体"/>
                <w:highlight w:val="none"/>
              </w:rPr>
              <w:t xml:space="preserve"> </w:t>
            </w:r>
            <w:r>
              <w:rPr>
                <w:rFonts w:hint="eastAsia" w:cs="宋体"/>
                <w:highlight w:val="none"/>
                <w:lang w:val="en-US" w:eastAsia="zh-CN"/>
              </w:rPr>
              <w:t xml:space="preserve"> </w:t>
            </w:r>
            <w:r>
              <w:rPr>
                <w:rFonts w:cs="宋体"/>
                <w:highlight w:val="none"/>
                <w:lang w:val="en-US"/>
              </w:rPr>
              <w:t>0550-3519519  18005505728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Times New Roman"/>
                <w:highlight w:val="none"/>
              </w:rPr>
              <w:t>自筹资金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约</w:t>
            </w:r>
            <w:r>
              <w:rPr>
                <w:rFonts w:hint="eastAsia" w:cs="宋体"/>
                <w:bCs/>
                <w:color w:val="000000"/>
                <w:szCs w:val="21"/>
                <w:highlight w:val="none"/>
                <w:lang w:val="en-US" w:eastAsia="zh-CN"/>
              </w:rPr>
              <w:t>270000.00元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本项目最高限价为（人民币）</w:t>
            </w:r>
            <w:r>
              <w:rPr>
                <w:rFonts w:hint="eastAsia" w:cs="宋体"/>
                <w:bCs/>
                <w:color w:val="000000"/>
                <w:szCs w:val="21"/>
                <w:highlight w:val="none"/>
                <w:lang w:val="en-US" w:eastAsia="zh-CN"/>
              </w:rPr>
              <w:t>270000.00元</w:t>
            </w:r>
            <w:r>
              <w:rPr>
                <w:rFonts w:hint="eastAsia" w:ascii="宋体" w:hAnsi="宋体" w:eastAsia="宋体" w:cs="宋体"/>
                <w:bCs/>
                <w:color w:val="000000"/>
                <w:szCs w:val="21"/>
                <w:highlight w:val="none"/>
                <w:lang w:val="en-US" w:eastAsia="zh-CN"/>
              </w:rPr>
              <w:t>，投标报价不得超过最高限价，否则按无效投标处理。</w:t>
            </w:r>
          </w:p>
          <w:p>
            <w:pPr>
              <w:keepNext w:val="0"/>
              <w:keepLines w:val="0"/>
              <w:pageBreakBefore w:val="0"/>
              <w:suppressLineNumbers w:val="0"/>
              <w:kinsoku/>
              <w:overflowPunct/>
              <w:topLinePunct w:val="0"/>
              <w:autoSpaceDN/>
              <w:bidi w:val="0"/>
              <w:adjustRightInd/>
              <w:snapToGrid/>
              <w:spacing w:before="0" w:beforeAutospacing="0" w:after="0" w:afterAutospacing="0" w:line="440" w:lineRule="exact"/>
              <w:ind w:left="0" w:right="0" w:rightChars="0"/>
              <w:textAlignment w:val="auto"/>
              <w:rPr>
                <w:rFonts w:hint="default"/>
                <w:highlight w:val="none"/>
                <w:lang w:val="en-US" w:eastAsia="zh-CN"/>
              </w:rPr>
            </w:pPr>
            <w:r>
              <w:rPr>
                <w:rFonts w:hint="eastAsia" w:ascii="Times New Roman" w:hAnsi="Times New Roman" w:eastAsia="宋体" w:cs="Times New Roman"/>
                <w:b/>
                <w:bCs/>
                <w:color w:val="auto"/>
                <w:kern w:val="2"/>
                <w:sz w:val="21"/>
                <w:szCs w:val="24"/>
                <w:highlight w:val="none"/>
                <w:lang w:val="en-US" w:eastAsia="zh-CN" w:bidi="ar-SA"/>
              </w:rPr>
              <w:t>注：</w:t>
            </w:r>
            <w:r>
              <w:rPr>
                <w:rFonts w:hint="eastAsia" w:ascii="宋体" w:hAnsi="宋体" w:eastAsia="宋体" w:cs="宋体"/>
                <w:b/>
                <w:bCs/>
                <w:color w:val="auto"/>
                <w:sz w:val="21"/>
                <w:szCs w:val="21"/>
                <w:highlight w:val="none"/>
                <w:lang w:val="en-US" w:eastAsia="zh-CN"/>
              </w:rPr>
              <w:t>本项目最高限价及投标报价均为含税价，税率暂按6%计取。中标单位结算时，根据自身企业性质及规模，按照税法要求开具符合本企业相对应税率的增值税专用发票，提供的增值税专用发票税率与投标时税率（6%）不同的，须保持“不含税综合单价”不变，并签订税率调整的相关补充协议。如遇国家政策调整，导致税率变化的，按照上述原则，签订相关补充协议调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val="en-US" w:eastAsia="zh-CN"/>
              </w:rPr>
              <w:t>采购需求</w:t>
            </w:r>
            <w:r>
              <w:rPr>
                <w:rFonts w:hint="eastAsia" w:hAnsi="宋体" w:cs="宋体"/>
                <w:bCs/>
                <w:color w:val="000000"/>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宋体"/>
                <w:highlight w:val="none"/>
              </w:rPr>
              <w:t>公开</w:t>
            </w:r>
            <w:r>
              <w:rPr>
                <w:rFonts w:cs="Times New Roman"/>
                <w:highlight w:val="none"/>
              </w:rPr>
              <w:t>招标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Times New Roman"/>
                <w:highlight w:val="none"/>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b w:val="0"/>
                <w:bCs w:val="0"/>
                <w:highlight w:val="none"/>
                <w:lang w:val="en-US"/>
              </w:rPr>
            </w:pPr>
            <w:r>
              <w:rPr>
                <w:rFonts w:cs="Times New Roman"/>
                <w:b w:val="0"/>
                <w:bCs w:val="0"/>
                <w:highlight w:val="none"/>
              </w:rPr>
              <w:t>如投标人对招标文件有疑问，请于</w:t>
            </w:r>
            <w:r>
              <w:rPr>
                <w:rFonts w:cs="Times New Roman"/>
                <w:b w:val="0"/>
                <w:bCs w:val="0"/>
                <w:highlight w:val="none"/>
                <w:lang w:val="en-US"/>
              </w:rPr>
              <w:t>202</w:t>
            </w:r>
            <w:r>
              <w:rPr>
                <w:rFonts w:hint="eastAsia" w:cs="Times New Roman"/>
                <w:b w:val="0"/>
                <w:bCs w:val="0"/>
                <w:highlight w:val="none"/>
                <w:lang w:val="en-US" w:eastAsia="zh-CN"/>
              </w:rPr>
              <w:t>4</w:t>
            </w:r>
            <w:r>
              <w:rPr>
                <w:rFonts w:cs="Times New Roman"/>
                <w:b w:val="0"/>
                <w:bCs w:val="0"/>
                <w:highlight w:val="none"/>
              </w:rPr>
              <w:t>年</w:t>
            </w:r>
            <w:r>
              <w:rPr>
                <w:rFonts w:hint="eastAsia" w:cs="Times New Roman"/>
                <w:b w:val="0"/>
                <w:bCs w:val="0"/>
                <w:highlight w:val="none"/>
                <w:lang w:val="en-US" w:eastAsia="zh-CN"/>
              </w:rPr>
              <w:t>4</w:t>
            </w:r>
            <w:r>
              <w:rPr>
                <w:rFonts w:cs="Times New Roman"/>
                <w:b w:val="0"/>
                <w:bCs w:val="0"/>
                <w:highlight w:val="none"/>
              </w:rPr>
              <w:t>月</w:t>
            </w:r>
            <w:r>
              <w:rPr>
                <w:rFonts w:hint="eastAsia" w:cs="Times New Roman"/>
                <w:b w:val="0"/>
                <w:bCs w:val="0"/>
                <w:highlight w:val="none"/>
                <w:lang w:val="en-US" w:eastAsia="zh-CN"/>
              </w:rPr>
              <w:t>18</w:t>
            </w:r>
            <w:r>
              <w:rPr>
                <w:rFonts w:cs="Times New Roman"/>
                <w:b w:val="0"/>
                <w:bCs w:val="0"/>
                <w:highlight w:val="none"/>
              </w:rPr>
              <w:t>日</w:t>
            </w:r>
            <w:r>
              <w:rPr>
                <w:rFonts w:hAnsi="Times New Roman" w:cs="Times New Roman"/>
                <w:b w:val="0"/>
                <w:bCs w:val="0"/>
                <w:highlight w:val="none"/>
                <w:lang w:val="en-US"/>
              </w:rPr>
              <w:t>17</w:t>
            </w:r>
            <w:r>
              <w:rPr>
                <w:rFonts w:hAnsi="Times New Roman" w:cs="Times New Roman"/>
                <w:b w:val="0"/>
                <w:bCs w:val="0"/>
                <w:highlight w:val="none"/>
              </w:rPr>
              <w:t>时前</w:t>
            </w:r>
            <w:r>
              <w:rPr>
                <w:rFonts w:cs="Times New Roman"/>
                <w:b w:val="0"/>
                <w:bCs w:val="0"/>
                <w:highlight w:val="none"/>
              </w:rPr>
              <w:t>将疑问内容以书面的形式加盖投标单位公章，发送至滁州市城投工程咨询管理有限公司邮箱（</w:t>
            </w:r>
            <w:r>
              <w:rPr>
                <w:rFonts w:hAnsi="Times New Roman" w:cs="Times New Roman"/>
                <w:b w:val="0"/>
                <w:bCs w:val="0"/>
                <w:highlight w:val="none"/>
                <w:lang w:val="en-US"/>
              </w:rPr>
              <w:t>czsctzx@163.com</w:t>
            </w:r>
            <w:r>
              <w:rPr>
                <w:rFonts w:hAnsi="Times New Roman" w:cs="Times New Roman"/>
                <w:b w:val="0"/>
                <w:bCs w:val="0"/>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招标人将在</w:t>
            </w:r>
            <w:r>
              <w:rPr>
                <w:rFonts w:hint="eastAsia" w:ascii="宋体" w:hAnsi="宋体" w:eastAsia="宋体" w:cs="Times New Roman"/>
                <w:b w:val="0"/>
                <w:bCs w:val="0"/>
                <w:color w:val="auto"/>
                <w:kern w:val="2"/>
                <w:sz w:val="21"/>
                <w:szCs w:val="21"/>
                <w:highlight w:val="none"/>
                <w:u w:color="auto"/>
                <w:lang w:val="en-US" w:eastAsia="zh-CN" w:bidi="ar"/>
              </w:rPr>
              <w:t>2024年4月19日17时后</w:t>
            </w:r>
            <w:r>
              <w:rPr>
                <w:rFonts w:hint="eastAsia" w:ascii="宋体" w:hAnsi="宋体" w:eastAsia="宋体" w:cs="宋体"/>
                <w:b w:val="0"/>
                <w:bCs w:val="0"/>
                <w:color w:val="000000"/>
                <w:kern w:val="2"/>
                <w:sz w:val="21"/>
                <w:szCs w:val="21"/>
                <w:highlight w:val="none"/>
                <w:u w:color="000000"/>
                <w:lang w:val="en-US" w:eastAsia="zh-CN" w:bidi="ar"/>
              </w:rPr>
              <w:t>以澄清公告形式在</w:t>
            </w:r>
            <w:r>
              <w:rPr>
                <w:rFonts w:hint="eastAsia" w:ascii="宋体" w:cs="宋体"/>
                <w:szCs w:val="21"/>
                <w:highlight w:val="none"/>
                <w:lang w:eastAsia="zh-CN"/>
              </w:rPr>
              <w:t>滁州市兴滁矿业投资集团有限公司网站</w:t>
            </w:r>
            <w:r>
              <w:rPr>
                <w:rFonts w:hint="eastAsia" w:ascii="宋体" w:cs="宋体"/>
                <w:szCs w:val="21"/>
                <w:highlight w:val="none"/>
              </w:rPr>
              <w:t xml:space="preserve">（ </w:t>
            </w:r>
            <w:r>
              <w:rPr>
                <w:rFonts w:hint="eastAsia" w:ascii="宋体" w:cs="宋体"/>
                <w:szCs w:val="21"/>
                <w:highlight w:val="none"/>
                <w:lang w:eastAsia="zh-CN"/>
              </w:rPr>
              <w:t>http://www.xckytz.com/</w:t>
            </w:r>
            <w:r>
              <w:rPr>
                <w:rFonts w:hint="eastAsia" w:ascii="宋体" w:cs="宋体"/>
                <w:szCs w:val="21"/>
                <w:highlight w:val="none"/>
              </w:rPr>
              <w:t>）发布。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18</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代理服务费金额：招标代理费3000元，不含专家评审费（专家评审费用以实际支付为准，另计）。</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代理服务费及专家评审费支付主体：中标单位，中标单位在获取中标通知书时一次性支付给代理机构。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20</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30 </w:t>
            </w:r>
            <w:r>
              <w:rPr>
                <w:rFonts w:cs="Times New Roman"/>
                <w:highlight w:val="none"/>
              </w:rPr>
              <w:t>日历天（从投标截止之日算起）。在此期限内，凡符合本招标文件要求的投标文件均保持有效。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21</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详见招标公告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eastAsiaTheme="minorEastAsia"/>
                <w:color w:val="auto"/>
                <w:sz w:val="21"/>
                <w:szCs w:val="21"/>
                <w:highlight w:val="none"/>
                <w:lang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PDF电子版投标文件一份，</w:t>
            </w: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23</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kern w:val="2"/>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18" w:firstLineChars="9"/>
              <w:textAlignment w:val="auto"/>
              <w:rPr>
                <w:rFonts w:hint="eastAsia" w:ascii="宋体" w:hAnsi="宋体" w:eastAsia="宋体" w:cs="宋体"/>
                <w:kern w:val="2"/>
                <w:highlight w:val="none"/>
                <w:lang w:val="en-US"/>
              </w:rPr>
            </w:pP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23</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时00分</w:t>
            </w:r>
            <w:r>
              <w:rPr>
                <w:rFonts w:hint="eastAsia" w:ascii="宋体" w:hAnsi="宋体" w:cs="宋体"/>
                <w:bCs/>
                <w:spacing w:val="-4"/>
                <w:kern w:val="0"/>
                <w:szCs w:val="21"/>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24</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25</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开标时间：2024年4月23日9时30分（北京时间）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开标地点：滁州市城投工程咨询管理有限公司622会议室 (滁州市龙蟠大道109号房产商务大厦6楼)</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b/>
                <w:bCs/>
                <w:color w:val="000000"/>
                <w:kern w:val="2"/>
                <w:sz w:val="21"/>
                <w:szCs w:val="21"/>
                <w:highlight w:val="none"/>
                <w:u w:color="000000"/>
                <w:lang w:val="en-US" w:eastAsia="zh-CN" w:bidi="ar"/>
              </w:rPr>
            </w:pPr>
            <w:r>
              <w:rPr>
                <w:rFonts w:hint="eastAsia" w:ascii="宋体" w:hAnsi="宋体" w:eastAsia="宋体" w:cs="宋体"/>
                <w:b/>
                <w:bCs/>
                <w:color w:val="000000"/>
                <w:kern w:val="2"/>
                <w:sz w:val="21"/>
                <w:szCs w:val="21"/>
                <w:highlight w:val="none"/>
                <w:u w:color="000000"/>
                <w:lang w:val="en-US" w:eastAsia="zh-CN" w:bidi="ar"/>
              </w:rPr>
              <w:t>1、本项目的投标人无需到达开标现场，投标文件采用加密电子文件（压缩包）在投标截止时间前通过邮箱发送至滁州市城投工程咨询管理有限公司邮箱（czsctzx@163.com），命名为“投标单位名称+项目名称+联系人+联系电话”，否则，审查不予通过。未在规定时间内发送PDF格式投标文件的，投标文件将被拒绝，投标文件送达时间以邮箱显示的邮件送达时间为准，若投标单位重复发送电子投标文件的，将以投标截止时间前最后收到的投标文件为准,投标文件无法打开的，由投标人自行承担后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b/>
                <w:bCs/>
                <w:color w:val="000000"/>
                <w:kern w:val="2"/>
                <w:sz w:val="21"/>
                <w:szCs w:val="21"/>
                <w:highlight w:val="none"/>
                <w:u w:color="000000"/>
                <w:lang w:val="en-US" w:eastAsia="zh-CN" w:bidi="ar"/>
              </w:rPr>
            </w:pPr>
            <w:r>
              <w:rPr>
                <w:rFonts w:hint="eastAsia" w:ascii="宋体" w:hAnsi="宋体" w:eastAsia="宋体" w:cs="宋体"/>
                <w:b/>
                <w:bCs/>
                <w:color w:val="000000"/>
                <w:kern w:val="2"/>
                <w:sz w:val="21"/>
                <w:szCs w:val="21"/>
                <w:highlight w:val="none"/>
                <w:u w:color="000000"/>
                <w:lang w:val="en-US" w:eastAsia="zh-CN" w:bidi="ar"/>
              </w:rPr>
              <w:t>2、各投标人须在投标截止时间后10分钟内，将投标文件解压密码通过邮箱发送至滁州市城投工程咨询管理有限公司邮箱（czsctzx@163.com）。逾期发送或未发送或发送材料无法识别的，均视为放弃投标。</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default" w:cs="Times New Roman"/>
                <w:highlight w:val="none"/>
                <w:lang w:val="en-US"/>
              </w:rPr>
            </w:pPr>
            <w:r>
              <w:rPr>
                <w:rFonts w:hint="eastAsia" w:ascii="宋体" w:hAnsi="宋体" w:eastAsia="宋体" w:cs="宋体"/>
                <w:b/>
                <w:bCs/>
                <w:color w:val="000000"/>
                <w:kern w:val="2"/>
                <w:sz w:val="21"/>
                <w:szCs w:val="21"/>
                <w:highlight w:val="none"/>
                <w:u w:color="000000"/>
                <w:lang w:val="en-US" w:eastAsia="zh-CN" w:bidi="ar"/>
              </w:rPr>
              <w:t>注：发送解压密码的邮箱应与加密电子投标文件一致。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default" w:cs="Times New Roman"/>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27</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28</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29</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eastAsia"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是否收取履约担保：收取</w:t>
            </w:r>
          </w:p>
          <w:p>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履约担保的形式：支持银行转账、银行电汇、银行保函、担保机构担保、保证保险使用 </w:t>
            </w:r>
          </w:p>
          <w:p>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履约担保的金额：中标合同金额×2.0%，取整到千位</w:t>
            </w:r>
          </w:p>
          <w:p>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收款单位：另行通知</w:t>
            </w:r>
          </w:p>
          <w:p>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开户行、账号：另行通知</w:t>
            </w:r>
          </w:p>
          <w:p>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缴纳时间：签订合同前。</w:t>
            </w:r>
          </w:p>
          <w:p>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履约保证金退还方式：①采用银行转账方式：服务期满后30日内一次性退还；②采用保函方式：保函有效期为自合同签订之日起至项目服务期满，如果本合同提前终止，履约保函应在终止日后满三个月后由招标人准许后撤销。</w:t>
            </w:r>
          </w:p>
          <w:p>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Times New Roman" w:hAnsi="Times New Roman" w:eastAsia="宋体" w:cs="Times New Roman"/>
                <w:highlight w:val="none"/>
              </w:rPr>
              <w:t xml:space="preserve">其他相关要求：履约担保形式、内容及格式等均须经招标人认可。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5" w:hRule="atLeast"/>
        </w:trPr>
        <w:tc>
          <w:tcPr>
            <w:tcW w:w="2165"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付款方式</w:t>
            </w:r>
          </w:p>
        </w:tc>
        <w:tc>
          <w:tcPr>
            <w:tcW w:w="7644" w:type="dxa"/>
            <w:gridSpan w:val="2"/>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default"/>
                <w:highlight w:val="none"/>
                <w:lang w:val="en-US"/>
              </w:rPr>
            </w:pPr>
            <w:r>
              <w:rPr>
                <w:rFonts w:hint="eastAsia" w:ascii="宋体" w:hAnsi="Times New Roman" w:eastAsia="宋体" w:cs="Times New Roman"/>
                <w:color w:val="auto"/>
                <w:sz w:val="21"/>
                <w:szCs w:val="21"/>
                <w:highlight w:val="none"/>
                <w:lang w:val="en-US" w:eastAsia="zh-CN"/>
              </w:rPr>
              <w:t>本项目无预付款，软件开发完成后投用测试支付合同价款的60%，调试完成经验收合格后正常上线支付合同价款的35%，剩余5%作质保金，满一年后一次性付清。质量保证金支持保函（银行保函、担保机构担保、保证保险）使用。采用保函的不再从进度款中扣留质量保证金，保函有效期为一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2165"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7644" w:type="dxa"/>
            <w:gridSpan w:val="2"/>
            <w:tcBorders>
              <w:top w:val="single" w:color="auto" w:sz="8" w:space="0"/>
              <w:left w:val="single" w:color="auto" w:sz="8" w:space="0"/>
              <w:bottom w:val="single" w:color="auto" w:sz="8" w:space="0"/>
              <w:right w:val="single" w:color="auto" w:sz="12"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招标文件获取方式：网上下载；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获取时间：招标文件发布至投标截止时间。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2165"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center"/>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7644" w:type="dxa"/>
            <w:gridSpan w:val="2"/>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4、系统中提供的表格（或格式文件）与招标文件中不一致时，以招标文件中提供的为准；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5、按本款前述规定仍不能形成结论的，由招标人负责解释。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2165"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7644" w:type="dxa"/>
            <w:gridSpan w:val="2"/>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hAnsi="Times New Roman" w:eastAsia="宋体" w:cs="Times New Roman"/>
                <w:color w:val="auto"/>
                <w:sz w:val="21"/>
                <w:szCs w:val="21"/>
                <w:highlight w:val="none"/>
                <w:lang w:eastAsia="zh-CN"/>
              </w:rPr>
              <w:t>资信标</w:t>
            </w:r>
            <w:r>
              <w:rPr>
                <w:rFonts w:hint="eastAsia" w:ascii="宋体" w:hAnsi="Times New Roman" w:eastAsia="宋体" w:cs="Times New Roman"/>
                <w:color w:val="auto"/>
                <w:sz w:val="21"/>
                <w:szCs w:val="21"/>
                <w:highlight w:val="none"/>
              </w:rPr>
              <w:t>准和要求”等章节中 “发包人”和“承包人”，等同于招标投标阶段的“招标人”和“投标人/中标人”。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trPr>
        <w:tc>
          <w:tcPr>
            <w:tcW w:w="2165"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备注</w:t>
            </w:r>
          </w:p>
        </w:tc>
        <w:tc>
          <w:tcPr>
            <w:tcW w:w="7644" w:type="dxa"/>
            <w:gridSpan w:val="2"/>
            <w:tcBorders>
              <w:top w:val="single" w:color="auto" w:sz="8" w:space="0"/>
              <w:left w:val="single" w:color="auto" w:sz="8" w:space="0"/>
              <w:bottom w:val="single" w:color="auto" w:sz="12"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1、评标委员会只依靠投标人递交的投标文件及其按照招标文件要求提供的所有证明材料进行评审，而不依靠任何外来的证明材料。</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highlight w:val="none"/>
                <w:lang w:val="en-US" w:eastAsia="zh-CN"/>
              </w:rPr>
            </w:pPr>
            <w:r>
              <w:rPr>
                <w:rFonts w:hint="eastAsia" w:ascii="宋体" w:hAnsi="宋体" w:eastAsia="宋体" w:cs="宋体"/>
                <w:color w:val="auto"/>
                <w:highlight w:val="none"/>
                <w:u w:val="none"/>
                <w:lang w:val="en-US" w:eastAsia="zh-CN"/>
              </w:rPr>
              <w:t>2、投标人须在投标文件截止时间前将投标文件以电子邮件的方式一次性发送至滁州市城投工程咨询管理有限公司邮箱（czsctzx@163.com），投标文件格式限定为PDF格式，将文件命名为“投标单位名称+项目名称+联系人+联系电话”，在提交投标文件截止时间后送达的投标文件将被拒绝，投标文件送达时间以滁州市城投工程咨询管理有限公司邮箱显示的邮件送达时间为准，投标文件无法打开的，按无效投标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3、招标人将保留对中标人所提供的业绩等情况进行实地考察的权利，若考察发现有弄虚作假或发现工程存在质量等违约情形，将取消其中标资格，投标保证金不予退还，情节严重的提请相关部门对其进行处罚。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4、本项目严禁非法转包，一经发现，招标人依法处理。</w:t>
            </w:r>
          </w:p>
        </w:tc>
      </w:tr>
    </w:tbl>
    <w:p>
      <w:pPr>
        <w:rPr>
          <w:rFonts w:hint="eastAsia" w:ascii="宋体" w:hAnsi="宋体" w:eastAsia="宋体" w:cs="宋体"/>
          <w:b/>
          <w:bCs w:val="0"/>
          <w:color w:val="000000"/>
          <w:kern w:val="0"/>
          <w:sz w:val="28"/>
          <w:szCs w:val="28"/>
          <w:highlight w:val="none"/>
          <w:u w:color="000000"/>
          <w:lang w:val="en-US" w:eastAsia="zh-CN" w:bidi="ar"/>
        </w:rPr>
      </w:pPr>
      <w:bookmarkStart w:id="19" w:name="_Toc122"/>
      <w:bookmarkEnd w:id="19"/>
      <w:r>
        <w:rPr>
          <w:rFonts w:hint="eastAsia" w:ascii="宋体" w:hAnsi="宋体" w:eastAsia="宋体" w:cs="宋体"/>
          <w:b/>
          <w:bCs w:val="0"/>
          <w:color w:val="000000"/>
          <w:kern w:val="0"/>
          <w:sz w:val="28"/>
          <w:szCs w:val="28"/>
          <w:highlight w:val="none"/>
          <w:u w:color="000000"/>
          <w:lang w:val="en-US" w:eastAsia="zh-CN" w:bidi="ar"/>
        </w:rPr>
        <w:br w:type="page"/>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20" w:name="_Toc26859"/>
      <w:bookmarkEnd w:id="20"/>
      <w:bookmarkStart w:id="21"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1"/>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供货地点：见投标人须知前附表。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 见投标人须知前附表。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525" w:firstLineChars="25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2.招标范围：</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3.标包划分：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4.招标方式：</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固定总价 </w:t>
      </w:r>
      <w:r>
        <w:rPr>
          <w:rFonts w:hint="eastAsia" w:ascii="宋体" w:hAnsi="宋体" w:eastAsia="宋体" w:cs="宋体"/>
          <w:color w:val="000000"/>
          <w:kern w:val="0"/>
          <w:sz w:val="21"/>
          <w:szCs w:val="21"/>
          <w:highlight w:val="none"/>
          <w:u w:val="none" w:color="auto"/>
          <w:lang w:val="en-US" w:eastAsia="zh-CN" w:bidi="ar"/>
        </w:rPr>
        <w:t>。</w:t>
      </w:r>
      <w:r>
        <w:rPr>
          <w:rFonts w:hint="eastAsia" w:ascii="宋体"/>
          <w:szCs w:val="21"/>
          <w:highlight w:val="none"/>
        </w:rPr>
        <w:t>招标范围内中标</w:t>
      </w:r>
      <w:r>
        <w:rPr>
          <w:rFonts w:hint="eastAsia" w:ascii="宋体"/>
          <w:szCs w:val="21"/>
          <w:highlight w:val="none"/>
          <w:lang w:val="en-US" w:eastAsia="zh-CN"/>
        </w:rPr>
        <w:t>综合</w:t>
      </w:r>
      <w:r>
        <w:rPr>
          <w:rFonts w:hint="eastAsia" w:ascii="宋体"/>
          <w:szCs w:val="21"/>
          <w:highlight w:val="none"/>
        </w:rPr>
        <w:t>单价一次性包死，结算时不予调整</w:t>
      </w:r>
      <w:r>
        <w:rPr>
          <w:rFonts w:hint="eastAsia" w:ascii="宋体"/>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6.评标办法：</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szCs w:val="21"/>
          <w:highlight w:val="none"/>
          <w:u w:val="single"/>
          <w:lang w:val="en-US" w:eastAsia="zh-CN"/>
        </w:rPr>
        <w:t>综合评分法</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hAnsi="宋体" w:eastAsia="宋体" w:cs="宋体"/>
          <w:color w:val="000000"/>
          <w:kern w:val="0"/>
          <w:sz w:val="21"/>
          <w:szCs w:val="21"/>
          <w:highlight w:val="none"/>
          <w:u w:val="none" w:color="auto"/>
          <w:lang w:val="en-US" w:eastAsia="zh-CN" w:bidi="ar"/>
        </w:rPr>
        <w:t>。</w:t>
      </w:r>
      <w:r>
        <w:rPr>
          <w:rFonts w:hint="eastAsia" w:ascii="宋体" w:hAnsi="宋体" w:eastAsia="宋体" w:cs="宋体"/>
          <w:color w:val="000000"/>
          <w:kern w:val="0"/>
          <w:sz w:val="21"/>
          <w:szCs w:val="21"/>
          <w:highlight w:val="none"/>
          <w:u w:color="000000"/>
          <w:lang w:val="en-US" w:eastAsia="zh-CN" w:bidi="ar"/>
        </w:rPr>
        <w:t>（详见第三章评标办法）</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7.投标人资格：</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8. 投标费用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9.</w:t>
      </w:r>
      <w:bookmarkStart w:id="22" w:name="_Toc152042315"/>
      <w:bookmarkEnd w:id="22"/>
      <w:bookmarkStart w:id="23" w:name="_Toc144974507"/>
      <w:bookmarkEnd w:id="23"/>
      <w:bookmarkStart w:id="24" w:name="_Toc247527563"/>
      <w:bookmarkEnd w:id="24"/>
      <w:bookmarkStart w:id="25" w:name="_Toc152045539"/>
      <w:bookmarkEnd w:id="25"/>
      <w:bookmarkStart w:id="26" w:name="_Toc247513962"/>
      <w:bookmarkEnd w:id="26"/>
      <w:bookmarkStart w:id="27" w:name="_Toc296602429"/>
      <w:bookmarkEnd w:id="27"/>
      <w:bookmarkStart w:id="28"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8"/>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09" w:firstLineChars="195"/>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09" w:firstLineChars="195"/>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09" w:firstLineChars="195"/>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09" w:firstLineChars="195"/>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pPr>
        <w:keepNext w:val="0"/>
        <w:keepLines w:val="0"/>
        <w:pageBreakBefore w:val="0"/>
        <w:kinsoku/>
        <w:wordWrap/>
        <w:overflowPunct/>
        <w:topLinePunct w:val="0"/>
        <w:autoSpaceDE/>
        <w:autoSpaceDN/>
        <w:bidi w:val="0"/>
        <w:adjustRightInd/>
        <w:spacing w:line="440" w:lineRule="exact"/>
        <w:ind w:firstLine="409" w:firstLineChars="195"/>
        <w:textAlignment w:val="auto"/>
        <w:rPr>
          <w:rFonts w:hint="eastAsia"/>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pPr>
        <w:keepNext w:val="0"/>
        <w:keepLines w:val="0"/>
        <w:pageBreakBefore w:val="0"/>
        <w:kinsoku/>
        <w:wordWrap/>
        <w:overflowPunct/>
        <w:topLinePunct w:val="0"/>
        <w:autoSpaceDE/>
        <w:autoSpaceDN/>
        <w:bidi w:val="0"/>
        <w:adjustRightInd/>
        <w:spacing w:line="440" w:lineRule="exact"/>
        <w:ind w:firstLine="409" w:firstLineChars="195"/>
        <w:textAlignment w:val="auto"/>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2" w:firstLineChars="200"/>
        <w:jc w:val="both"/>
        <w:textAlignment w:val="auto"/>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11. 联合投标</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12.招标代理费</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12.1 </w:t>
      </w:r>
      <w:r>
        <w:rPr>
          <w:rFonts w:hint="eastAsia" w:ascii="宋体" w:hAnsi="宋体" w:eastAsia="宋体" w:cs="宋体"/>
          <w:color w:val="000000"/>
          <w:kern w:val="0"/>
          <w:sz w:val="21"/>
          <w:szCs w:val="21"/>
          <w:highlight w:val="none"/>
          <w:u w:color="000000"/>
          <w:lang w:val="en-US" w:eastAsia="zh-CN" w:bidi="ar"/>
        </w:rPr>
        <w:t>本项目的招标代理费详见投标人须知前附表。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13.投标人应注意的事项</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szCs w:val="21"/>
          <w:highlight w:val="none"/>
        </w:rPr>
      </w:pPr>
      <w:bookmarkStart w:id="29" w:name="_Toc10668_WPSOffice_Level3"/>
      <w:bookmarkEnd w:id="29"/>
      <w:bookmarkStart w:id="30" w:name="_Toc24655"/>
      <w:bookmarkEnd w:id="30"/>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szCs w:val="21"/>
          <w:highlight w:val="none"/>
        </w:rPr>
      </w:pPr>
      <w:r>
        <w:rPr>
          <w:rFonts w:hint="eastAsia" w:ascii="宋体"/>
          <w:szCs w:val="21"/>
          <w:highlight w:val="none"/>
        </w:rPr>
        <w:t>13.2投标人对采购内容中规定的技术参数、规格、数量和要求等必须满足招标文件的相关要求。</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3</w:t>
      </w:r>
      <w:r>
        <w:rPr>
          <w:rFonts w:hint="eastAsia" w:ascii="宋体"/>
          <w:szCs w:val="21"/>
          <w:highlight w:val="none"/>
        </w:rPr>
        <w:t xml:space="preserve"> </w:t>
      </w:r>
      <w:r>
        <w:rPr>
          <w:rFonts w:ascii="宋体"/>
          <w:bCs/>
          <w:szCs w:val="21"/>
          <w:highlight w:val="none"/>
        </w:rPr>
        <w:t>单位负责人为同一人或者存在直接控股、管理关系的不同</w:t>
      </w:r>
      <w:r>
        <w:rPr>
          <w:rFonts w:hint="eastAsia" w:ascii="宋体"/>
          <w:bCs/>
          <w:szCs w:val="21"/>
          <w:highlight w:val="none"/>
          <w:lang w:eastAsia="zh-CN"/>
        </w:rPr>
        <w:t>投标人</w:t>
      </w:r>
      <w:r>
        <w:rPr>
          <w:rFonts w:ascii="宋体"/>
          <w:bCs/>
          <w:szCs w:val="21"/>
          <w:highlight w:val="none"/>
        </w:rPr>
        <w:t>，不得参加同一合同项下的采购活动。</w:t>
      </w:r>
    </w:p>
    <w:p>
      <w:pPr>
        <w:keepNext w:val="0"/>
        <w:keepLines w:val="0"/>
        <w:pageBreakBefore w:val="0"/>
        <w:kinsoku/>
        <w:wordWrap/>
        <w:overflowPunct/>
        <w:topLinePunct w:val="0"/>
        <w:autoSpaceDE/>
        <w:autoSpaceDN/>
        <w:bidi w:val="0"/>
        <w:adjustRightInd/>
        <w:spacing w:line="440" w:lineRule="exact"/>
        <w:ind w:firstLine="417" w:firstLineChars="199"/>
        <w:jc w:val="left"/>
        <w:textAlignment w:val="auto"/>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投标人被视为充分熟悉本招标项目所在地的与履行合同有关的各种情况，包括但不限于：</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宋体"/>
          <w:szCs w:val="21"/>
          <w:highlight w:val="none"/>
        </w:rPr>
      </w:pPr>
      <w:r>
        <w:rPr>
          <w:rFonts w:hint="eastAsia" w:ascii="宋体"/>
          <w:szCs w:val="21"/>
          <w:highlight w:val="none"/>
        </w:rPr>
        <w:t>（2）安徽省及滁州市等有关管理部门的相关规定；</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宋体"/>
          <w:szCs w:val="21"/>
          <w:highlight w:val="none"/>
        </w:rPr>
      </w:pPr>
      <w:r>
        <w:rPr>
          <w:rFonts w:hint="eastAsia" w:ascii="宋体"/>
          <w:szCs w:val="21"/>
          <w:highlight w:val="none"/>
        </w:rPr>
        <w:t>（3）招标人的相关场地情况、基础建设、电力供应情况及相关设计标准。</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rFonts w:ascii="宋体"/>
          <w:szCs w:val="21"/>
          <w:highlight w:val="none"/>
        </w:rPr>
      </w:pPr>
      <w:r>
        <w:rPr>
          <w:rFonts w:hint="eastAsia" w:ascii="宋体"/>
          <w:szCs w:val="21"/>
          <w:highlight w:val="none"/>
        </w:rPr>
        <w:t>本招标文件不再对上述情况进行描述。</w:t>
      </w:r>
    </w:p>
    <w:p>
      <w:pPr>
        <w:keepNext w:val="0"/>
        <w:keepLines w:val="0"/>
        <w:pageBreakBefore w:val="0"/>
        <w:kinsoku/>
        <w:wordWrap/>
        <w:overflowPunct/>
        <w:topLinePunct w:val="0"/>
        <w:autoSpaceDE/>
        <w:autoSpaceDN/>
        <w:bidi w:val="0"/>
        <w:adjustRightInd/>
        <w:spacing w:line="440" w:lineRule="exact"/>
        <w:ind w:firstLine="527" w:firstLineChars="250"/>
        <w:textAlignment w:val="auto"/>
        <w:rPr>
          <w:rFonts w:ascii="宋体"/>
          <w:bCs/>
          <w:szCs w:val="21"/>
          <w:highlight w:val="none"/>
        </w:rPr>
      </w:pPr>
      <w:r>
        <w:rPr>
          <w:rFonts w:hint="eastAsia" w:ascii="宋体"/>
          <w:b/>
          <w:szCs w:val="21"/>
          <w:highlight w:val="none"/>
        </w:rPr>
        <w:t>14.保密</w:t>
      </w:r>
    </w:p>
    <w:p>
      <w:pPr>
        <w:keepNext w:val="0"/>
        <w:keepLines w:val="0"/>
        <w:pageBreakBefore w:val="0"/>
        <w:kinsoku/>
        <w:wordWrap/>
        <w:overflowPunct/>
        <w:topLinePunct w:val="0"/>
        <w:autoSpaceDE/>
        <w:autoSpaceDN/>
        <w:bidi w:val="0"/>
        <w:adjustRightInd/>
        <w:spacing w:line="440" w:lineRule="exact"/>
        <w:ind w:firstLine="525" w:firstLineChars="250"/>
        <w:textAlignment w:val="auto"/>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pPr>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15. 招标文件的编制依据</w:t>
      </w:r>
    </w:p>
    <w:p>
      <w:pPr>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440" w:lineRule="exact"/>
        <w:ind w:left="0" w:right="0" w:firstLine="420" w:firstLineChars="200"/>
        <w:jc w:val="both"/>
        <w:textAlignment w:val="auto"/>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pPr>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16. 招标文件的组成</w:t>
      </w:r>
    </w:p>
    <w:p>
      <w:pPr>
        <w:keepNext w:val="0"/>
        <w:keepLines w:val="0"/>
        <w:pageBreakBefore w:val="0"/>
        <w:widowControl/>
        <w:suppressLineNumbers w:val="0"/>
        <w:kinsoku/>
        <w:wordWrap/>
        <w:overflowPunct/>
        <w:topLinePunct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采购需求</w:t>
      </w:r>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w:t>
      </w:r>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招标人、招标代理机构对本文件的确认</w:t>
      </w:r>
    </w:p>
    <w:p>
      <w:pPr>
        <w:keepNext w:val="0"/>
        <w:keepLines w:val="0"/>
        <w:pageBreakBefore w:val="0"/>
        <w:widowControl/>
        <w:suppressLineNumbers w:val="0"/>
        <w:kinsoku/>
        <w:wordWrap/>
        <w:overflowPunct/>
        <w:topLinePunct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pPr>
        <w:keepNext w:val="0"/>
        <w:keepLines w:val="0"/>
        <w:pageBreakBefore w:val="0"/>
        <w:kinsoku/>
        <w:wordWrap/>
        <w:overflowPunct/>
        <w:topLinePunct w:val="0"/>
        <w:autoSpaceDN/>
        <w:bidi w:val="0"/>
        <w:adjustRightInd/>
        <w:spacing w:line="440" w:lineRule="exact"/>
        <w:ind w:firstLine="422" w:firstLineChars="200"/>
        <w:textAlignment w:val="auto"/>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 xml:space="preserve">17. </w:t>
      </w:r>
      <w:r>
        <w:rPr>
          <w:rFonts w:hint="eastAsia" w:ascii="宋体" w:hAnsi="Times New Roman" w:eastAsia="宋体" w:cs="Times New Roman"/>
          <w:b/>
          <w:bCs/>
          <w:color w:val="auto"/>
          <w:szCs w:val="21"/>
          <w:highlight w:val="none"/>
        </w:rPr>
        <w:t>招标文件的异议</w:t>
      </w:r>
      <w:r>
        <w:rPr>
          <w:rFonts w:hint="eastAsia" w:ascii="宋体" w:hAnsi="Times New Roman" w:eastAsia="宋体" w:cs="Times New Roman"/>
          <w:b/>
          <w:bCs/>
          <w:color w:val="auto"/>
          <w:szCs w:val="21"/>
          <w:highlight w:val="none"/>
          <w:lang w:eastAsia="zh-CN"/>
        </w:rPr>
        <w:t>、</w:t>
      </w:r>
      <w:r>
        <w:rPr>
          <w:rFonts w:hint="eastAsia" w:ascii="宋体" w:hAnsi="Times New Roman" w:eastAsia="宋体" w:cs="Times New Roman"/>
          <w:b/>
          <w:bCs/>
          <w:color w:val="auto"/>
          <w:szCs w:val="21"/>
          <w:highlight w:val="none"/>
          <w:lang w:val="en-US" w:eastAsia="zh-CN"/>
        </w:rPr>
        <w:t>澄清</w:t>
      </w:r>
    </w:p>
    <w:p>
      <w:pPr>
        <w:keepNext w:val="0"/>
        <w:keepLines w:val="0"/>
        <w:pageBreakBefore w:val="0"/>
        <w:kinsoku/>
        <w:wordWrap/>
        <w:overflowPunct/>
        <w:topLinePunct w:val="0"/>
        <w:autoSpaceDN/>
        <w:bidi w:val="0"/>
        <w:adjustRightInd/>
        <w:spacing w:line="440" w:lineRule="exact"/>
        <w:ind w:firstLine="420" w:firstLineChars="200"/>
        <w:textAlignment w:val="auto"/>
        <w:rPr>
          <w:rFonts w:hint="eastAsia" w:ascii="宋体" w:hAnsi="Times New Roman" w:eastAsia="宋体" w:cs="Times New Roman"/>
          <w:bCs/>
          <w:color w:val="auto"/>
          <w:szCs w:val="21"/>
          <w:highlight w:val="none"/>
        </w:rPr>
      </w:pPr>
      <w:r>
        <w:rPr>
          <w:rFonts w:hint="eastAsia" w:ascii="宋体" w:hAnsi="宋体" w:eastAsia="宋体" w:cs="宋体"/>
          <w:color w:val="000000"/>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提出疑问的截止时间前以投标人须知前附表规定的网上留言或书面形式提出。招标人将在收到异议之日起3日内作出答复；作出答复前，将暂停招标投标活动。</w:t>
      </w:r>
    </w:p>
    <w:p>
      <w:pPr>
        <w:keepNext w:val="0"/>
        <w:keepLines w:val="0"/>
        <w:pageBreakBefore w:val="0"/>
        <w:widowControl/>
        <w:suppressLineNumbers w:val="0"/>
        <w:kinsoku/>
        <w:wordWrap/>
        <w:overflowPunct/>
        <w:topLinePunct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pPr>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18. 招标文件的发出</w:t>
      </w:r>
    </w:p>
    <w:p>
      <w:pPr>
        <w:keepNext w:val="0"/>
        <w:keepLines w:val="0"/>
        <w:pageBreakBefore w:val="0"/>
        <w:widowControl/>
        <w:suppressLineNumbers w:val="0"/>
        <w:kinsoku/>
        <w:wordWrap/>
        <w:overflowPunct/>
        <w:topLinePunct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滁州市兴滁矿业投资集团有限公司网站（http://www.xckytz.com/）</w:t>
      </w:r>
      <w:r>
        <w:rPr>
          <w:rFonts w:hint="eastAsia" w:ascii="宋体" w:hAnsi="宋体" w:eastAsia="宋体" w:cs="宋体"/>
          <w:bCs/>
          <w:color w:val="000000"/>
          <w:kern w:val="0"/>
          <w:sz w:val="21"/>
          <w:szCs w:val="21"/>
          <w:highlight w:val="none"/>
          <w:u w:color="000000"/>
          <w:lang w:val="en-US" w:eastAsia="zh-CN" w:bidi="ar"/>
        </w:rPr>
        <w:t>发出。</w:t>
      </w:r>
    </w:p>
    <w:p>
      <w:pPr>
        <w:keepNext w:val="0"/>
        <w:keepLines w:val="0"/>
        <w:pageBreakBefore w:val="0"/>
        <w:widowControl/>
        <w:numPr>
          <w:ilvl w:val="0"/>
          <w:numId w:val="1"/>
        </w:numPr>
        <w:suppressLineNumbers w:val="0"/>
        <w:kinsoku/>
        <w:wordWrap/>
        <w:overflowPunct/>
        <w:topLinePunct w:val="0"/>
        <w:autoSpaceDN/>
        <w:bidi w:val="0"/>
        <w:adjustRightInd/>
        <w:spacing w:before="0" w:beforeAutospacing="0" w:after="0" w:afterAutospacing="0" w:line="440" w:lineRule="exact"/>
        <w:ind w:left="0" w:right="0" w:firstLine="422" w:firstLineChars="200"/>
        <w:jc w:val="both"/>
        <w:textAlignment w:val="auto"/>
        <w:rPr>
          <w:rFonts w:hint="eastAsia" w:ascii="宋体" w:hAnsi="宋体" w:eastAsia="宋体" w:cs="宋体"/>
          <w:b/>
          <w:bCs w:val="0"/>
          <w:color w:val="000000"/>
          <w:kern w:val="0"/>
          <w:sz w:val="21"/>
          <w:szCs w:val="21"/>
          <w:highlight w:val="none"/>
          <w:u w:color="000000"/>
          <w:lang w:val="en-US" w:eastAsia="zh-CN" w:bidi="ar"/>
        </w:rPr>
      </w:pPr>
      <w:bookmarkStart w:id="31" w:name="_Toc1549_WPSOffice_Level3"/>
      <w:bookmarkEnd w:id="31"/>
      <w:bookmarkStart w:id="32" w:name="_Toc9710"/>
      <w:r>
        <w:rPr>
          <w:rFonts w:hint="eastAsia" w:ascii="宋体" w:hAnsi="宋体" w:eastAsia="宋体" w:cs="宋体"/>
          <w:b/>
          <w:bCs w:val="0"/>
          <w:color w:val="000000"/>
          <w:kern w:val="0"/>
          <w:sz w:val="21"/>
          <w:szCs w:val="21"/>
          <w:highlight w:val="none"/>
          <w:u w:color="000000"/>
          <w:lang w:val="en-US" w:eastAsia="zh-CN" w:bidi="ar"/>
        </w:rPr>
        <w:t>样品</w:t>
      </w:r>
      <w:bookmarkEnd w:id="32"/>
      <w:r>
        <w:rPr>
          <w:rFonts w:hint="eastAsia" w:ascii="宋体" w:hAnsi="宋体" w:eastAsia="宋体" w:cs="宋体"/>
          <w:b/>
          <w:bCs w:val="0"/>
          <w:color w:val="000000"/>
          <w:kern w:val="0"/>
          <w:sz w:val="21"/>
          <w:szCs w:val="21"/>
          <w:highlight w:val="none"/>
          <w:u w:color="000000"/>
          <w:lang w:val="en-US" w:eastAsia="zh-CN" w:bidi="ar"/>
        </w:rPr>
        <w:t>（本项目不需要提供样品）</w:t>
      </w:r>
    </w:p>
    <w:p>
      <w:pPr>
        <w:keepNext w:val="0"/>
        <w:keepLines w:val="0"/>
        <w:pageBreakBefore w:val="0"/>
        <w:kinsoku/>
        <w:wordWrap/>
        <w:overflowPunct/>
        <w:topLinePunct w:val="0"/>
        <w:autoSpaceDN/>
        <w:bidi w:val="0"/>
        <w:adjustRightInd/>
        <w:spacing w:line="440" w:lineRule="exact"/>
        <w:ind w:firstLine="420" w:firstLineChars="200"/>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pPr>
        <w:keepNext w:val="0"/>
        <w:keepLines w:val="0"/>
        <w:pageBreakBefore w:val="0"/>
        <w:kinsoku/>
        <w:wordWrap/>
        <w:overflowPunct/>
        <w:topLinePunct w:val="0"/>
        <w:autoSpaceDN/>
        <w:bidi w:val="0"/>
        <w:adjustRightInd/>
        <w:spacing w:line="440" w:lineRule="exact"/>
        <w:ind w:firstLine="420" w:firstLineChars="200"/>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19.2招标文件中应明确样品送检方式、检测费用支付方法、投标人在规定时间内无法提供第三方权威检测机构检测报告的处理方式。（招标人根据项目需求按上述要求自行描述）。</w:t>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17" w:firstLineChars="245"/>
        <w:jc w:val="both"/>
        <w:textAlignment w:val="auto"/>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20. 投标的语言及度量衡单位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5" w:firstLineChars="250"/>
        <w:jc w:val="both"/>
        <w:textAlignment w:val="auto"/>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20.1投标人的投标文件、以及投标人与招标人就投标的所有往来函电，均须使用简体中文。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5" w:firstLineChars="250"/>
        <w:jc w:val="both"/>
        <w:textAlignment w:val="auto"/>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20.2除招标文件中另有规定外，投标文件所使用的度量衡均须采用法定计量单位。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17" w:firstLineChars="245"/>
        <w:jc w:val="both"/>
        <w:textAlignment w:val="auto"/>
        <w:rPr>
          <w:rFonts w:hint="eastAsia" w:ascii="宋体" w:hAnsi="Times New Roman"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21. 投标文件的组成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30" w:firstLineChars="3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21.1投标文件</w:t>
      </w:r>
      <w:r>
        <w:rPr>
          <w:rFonts w:hint="default" w:ascii="宋体" w:hAnsi="宋体" w:eastAsia="宋体" w:cs="宋体"/>
          <w:color w:val="000000"/>
          <w:kern w:val="0"/>
          <w:sz w:val="21"/>
          <w:szCs w:val="21"/>
          <w:highlight w:val="none"/>
          <w:u w:color="000000"/>
          <w:lang w:eastAsia="zh-CN" w:bidi="ar"/>
        </w:rPr>
        <w:t>须</w:t>
      </w:r>
      <w:r>
        <w:rPr>
          <w:rFonts w:hint="eastAsia" w:ascii="宋体" w:hAnsi="宋体" w:eastAsia="宋体" w:cs="宋体"/>
          <w:color w:val="000000"/>
          <w:kern w:val="0"/>
          <w:sz w:val="21"/>
          <w:szCs w:val="21"/>
          <w:highlight w:val="none"/>
          <w:u w:color="000000"/>
          <w:lang w:val="en-US" w:eastAsia="zh-CN" w:bidi="ar"/>
        </w:rPr>
        <w:t>签字盖章完毕后扫描成一个连续性的整体PDF格式文件。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30" w:firstLineChars="300"/>
        <w:jc w:val="both"/>
        <w:textAlignment w:val="auto"/>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21.2投标文件的编制</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left="0" w:right="0" w:firstLine="424" w:firstLineChars="202"/>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投标文件应按第六章“投标文件格式文本”进行编写，如有必要，可以增加附页，作为投标文件的组成部分。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17" w:firstLineChars="245"/>
        <w:jc w:val="both"/>
        <w:textAlignment w:val="auto"/>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22.投标报价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5" w:firstLineChars="25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22.1投标报价文件中的单价和总价全部采用人民币表示。投标人的报价应含有服务（货物）、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5" w:firstLineChars="25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22.2投标人只允许有一个方案、一个报价。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5" w:firstLineChars="25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22.3投标人应按“第四章采购需求”所列服务内容进行报价，投标报价为完成本次招标项目的全费用价格，其组成包括国家对中标单位征收的各种税费等所有一切费用，综合单价今后将不作任何调整。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22.4投标报价的价格是完成项目全部内容（包括后期的相关服务）交付验收的价格，其单价即为履行合同的固定单价。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22.5技术要求中规定的安装、调试和培训费用应包括在投标价格中。投标文件报价为含税价，招标人不再为此次招标支付任何费用。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22.6投标报价应由法定代表人或被授权人签署。</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22.7投标人的报价不得高于本次招标最高限价，</w:t>
      </w:r>
      <w:r>
        <w:rPr>
          <w:rFonts w:hint="eastAsia" w:ascii="宋体" w:hAnsi="宋体" w:eastAsia="宋体" w:cs="宋体"/>
          <w:b/>
          <w:bCs w:val="0"/>
          <w:color w:val="000000"/>
          <w:kern w:val="0"/>
          <w:sz w:val="21"/>
          <w:szCs w:val="21"/>
          <w:highlight w:val="none"/>
          <w:u w:color="000000"/>
          <w:lang w:val="en-US" w:eastAsia="zh-CN" w:bidi="ar"/>
        </w:rPr>
        <w:t>否则将作为无效投标处理</w:t>
      </w:r>
      <w:r>
        <w:rPr>
          <w:rFonts w:hint="eastAsia" w:ascii="宋体" w:hAnsi="宋体" w:eastAsia="宋体" w:cs="宋体"/>
          <w:color w:val="000000"/>
          <w:kern w:val="0"/>
          <w:sz w:val="21"/>
          <w:szCs w:val="21"/>
          <w:highlight w:val="none"/>
          <w:u w:color="00000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22.8如投标文件中未列明全面实现投标服务功能而必须配置的配套或辅助设施及相应技术措施的费用，这些费用将被视为已包含在总投标价中。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22.9总投标价中不得包含招标文件要求以外的内容，否则，在评标时不予核减，但在授予合同时，采购人有权将这部分价格从其中标价格中扣除。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22.10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22.11投标人不得对从第三方采购货物的随机备品、备件另行收费，否则在计算评标价时这部分费用将不予扣除，在授予合同时将从中标价格中扣除该部分费用。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22.12投标人应根据服务的状况列出随机备品备件的清单和数量，并将该备品备件价格计入总投标价，若所提供的产品无需备件，则应在投标文件中说明；无论投标人在报价中列明随机备品备件的数量及价格多少，在服务期内采购人均无需为维护维修保养所需的专用工具和备品备件另行支付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17" w:firstLineChars="245"/>
        <w:jc w:val="both"/>
        <w:textAlignment w:val="auto"/>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23.投标有效期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23.1 除投标人须知前附表另有规定外，投标有效期为30天。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23.2在投标有效期内，投标人撤销或修改其投标文件的，应承担招标文件和法律规定的责任。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17" w:firstLineChars="245"/>
        <w:jc w:val="both"/>
        <w:textAlignment w:val="auto"/>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24.投标保证金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投标人须知前附表规定递交投标保证金的，投标人在递交投标文件的同时，应按投标人须知前附表规定的金额、担保形式规定的或者事先经过招标人认可的保证金格式递交保证金，并作为其投标文件的组成部分。无论采取何种形式的投标保证金，投标保证金有效期均应与投标有效期一致（采用投标电子保函的保证期截止时间不得早于该项目投标有效期的截止时间）。招标人如果延长了投标有效期，则投标保证金的有效期也相应延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24.2 投标人不按要求提交投标保证金的，评标委员会将否决其投标。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24.3 未中标投标人的投标保证金，中标通知书发放后五个工作日内退还保证金到达原交纳的基本账户；中标人的投标保证金，在签订合同后中标单位的投标保证金转为履约保证金（多退少补，1个工作日内完成办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24.4 有下列情形之一的，投标保证金将不予退还：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（1）投标截止后投标人撤销投标文件的；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（2）中标人无正当理由不与招标人订立合同，在签订合同时向招标人提出附加条件，或者不按照招标文件要求提交履约保证金的。</w:t>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3" w:name="_Toc6570_WPSOffice_Level3"/>
      <w:bookmarkEnd w:id="33"/>
      <w:bookmarkStart w:id="34" w:name="_Toc26398"/>
      <w:r>
        <w:rPr>
          <w:rFonts w:hint="eastAsia" w:ascii="宋体" w:hAnsi="宋体" w:eastAsia="宋体" w:cs="宋体"/>
          <w:b/>
          <w:bCs w:val="0"/>
          <w:color w:val="000000"/>
          <w:kern w:val="0"/>
          <w:sz w:val="24"/>
          <w:szCs w:val="24"/>
          <w:highlight w:val="none"/>
          <w:u w:color="000000"/>
          <w:lang w:val="en-US" w:eastAsia="zh-CN" w:bidi="ar"/>
        </w:rPr>
        <w:t>（四）投标文件的递交</w:t>
      </w:r>
      <w:bookmarkEnd w:id="34"/>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22" w:firstLineChars="200"/>
        <w:jc w:val="left"/>
        <w:textAlignment w:val="auto"/>
        <w:rPr>
          <w:rFonts w:hint="eastAsia" w:ascii="宋体" w:hAnsi="宋体" w:eastAsia="宋体" w:cs="宋体"/>
          <w:b/>
          <w:bCs w:val="0"/>
          <w:highlight w:val="none"/>
          <w:lang w:val="en-US"/>
        </w:rPr>
      </w:pPr>
      <w:bookmarkStart w:id="35" w:name="_Toc30407_WPSOffice_Level3"/>
      <w:bookmarkEnd w:id="35"/>
      <w:bookmarkStart w:id="36" w:name="_Toc490"/>
      <w:bookmarkEnd w:id="36"/>
      <w:r>
        <w:rPr>
          <w:rFonts w:hint="eastAsia" w:ascii="宋体" w:hAnsi="宋体" w:eastAsia="宋体" w:cs="宋体"/>
          <w:b/>
          <w:bCs w:val="0"/>
          <w:color w:val="000000"/>
          <w:kern w:val="0"/>
          <w:sz w:val="21"/>
          <w:szCs w:val="21"/>
          <w:highlight w:val="none"/>
          <w:u w:color="000000"/>
          <w:lang w:val="en-US" w:eastAsia="zh-CN" w:bidi="ar"/>
        </w:rPr>
        <w:t>25.投标文件的份数和签署</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文件份数：一份PDF电子版投标文件。投标人中标后须递交与网上电子投标文件完全一致的纸质版投标文件，并按要求加盖公章；份数：正本1份，副本2份；中标单位领取中标通知书时，一并递交给招标代理机构。</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25.2按格式文件要求签字或盖章，否则经评委会一致认定且经过招标人同意后, 按照无效投标处理。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both"/>
        <w:textAlignment w:val="auto"/>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26. 投标文件的提交</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26.1 投标人须在投标文件截止时间前将投标文件以电子邮件的方式一次性发送至滁州市城投工程咨询管理有限公司邮箱（czsctzx@163.com），投标文件格式限定为PDF格式，将文件命名为“投标单位名称+项目名称+联系人+联系电话”，在提交投标文件截止时间后送达的投标文件将被拒绝，投标文件送达时间以滁州市城投工程咨询管理有限公司邮箱显示的邮件送达时间为准，投标文件无法打开的，按无效投标处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27．投标文件的</w:t>
      </w:r>
      <w:r>
        <w:rPr>
          <w:rFonts w:hint="eastAsia" w:ascii="宋体"/>
          <w:b/>
          <w:szCs w:val="21"/>
          <w:highlight w:val="none"/>
        </w:rPr>
        <w:t>修改与撤回</w:t>
      </w:r>
    </w:p>
    <w:p>
      <w:pPr>
        <w:keepNext w:val="0"/>
        <w:keepLines w:val="0"/>
        <w:pageBreakBefore w:val="0"/>
        <w:kinsoku/>
        <w:wordWrap/>
        <w:overflowPunct/>
        <w:topLinePunct w:val="0"/>
        <w:autoSpaceDN/>
        <w:bidi w:val="0"/>
        <w:adjustRightInd/>
        <w:snapToGrid/>
        <w:spacing w:line="440" w:lineRule="exact"/>
        <w:ind w:firstLine="315" w:firstLineChars="15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宋体"/>
          <w:color w:val="000000"/>
          <w:kern w:val="0"/>
          <w:sz w:val="21"/>
          <w:szCs w:val="21"/>
          <w:highlight w:val="none"/>
          <w:u w:color="000000"/>
          <w:lang w:val="en-US" w:eastAsia="zh-CN" w:bidi="ar"/>
        </w:rPr>
        <w:t>27.1</w:t>
      </w:r>
      <w:r>
        <w:rPr>
          <w:rFonts w:hint="eastAsia" w:ascii="宋体" w:hAnsi="宋体" w:eastAsia="宋体" w:cs="宋体"/>
          <w:color w:val="000000"/>
          <w:szCs w:val="21"/>
          <w:highlight w:val="none"/>
        </w:rPr>
        <w:t>在第一章“招标公告”规定的投标截止时间前，投标人可以自行从网上撤回已递交的投标文件，并可修改后重新</w:t>
      </w:r>
      <w:r>
        <w:rPr>
          <w:rFonts w:hint="eastAsia" w:ascii="宋体" w:hAnsi="宋体" w:eastAsia="宋体" w:cs="宋体"/>
          <w:color w:val="000000"/>
          <w:szCs w:val="21"/>
          <w:highlight w:val="none"/>
          <w:lang w:val="en-US" w:eastAsia="zh-CN"/>
        </w:rPr>
        <w:t>发送</w:t>
      </w:r>
      <w:r>
        <w:rPr>
          <w:rFonts w:hint="eastAsia" w:ascii="宋体" w:hAnsi="宋体" w:eastAsia="宋体" w:cs="宋体"/>
          <w:color w:val="000000"/>
          <w:szCs w:val="21"/>
          <w:highlight w:val="none"/>
        </w:rPr>
        <w:t>，开标时以投标截止时间前投标人最</w:t>
      </w:r>
      <w:r>
        <w:rPr>
          <w:rFonts w:hint="eastAsia" w:ascii="宋体" w:hAnsi="宋体" w:eastAsia="宋体" w:cs="宋体"/>
          <w:color w:val="000000"/>
          <w:szCs w:val="21"/>
          <w:highlight w:val="none"/>
          <w:lang w:val="en-US" w:eastAsia="zh-CN"/>
        </w:rPr>
        <w:t>后送达</w:t>
      </w:r>
      <w:r>
        <w:rPr>
          <w:rFonts w:hint="eastAsia" w:ascii="宋体" w:hAnsi="宋体" w:eastAsia="宋体" w:cs="宋体"/>
          <w:color w:val="000000"/>
          <w:szCs w:val="21"/>
          <w:highlight w:val="none"/>
        </w:rPr>
        <w:t>的投标文件为准。</w:t>
      </w:r>
    </w:p>
    <w:p>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bookmarkStart w:id="37" w:name="_Toc28864"/>
      <w:bookmarkEnd w:id="37"/>
      <w:bookmarkStart w:id="38" w:name="_Toc8453_WPSOffice_Level3"/>
      <w:r>
        <w:rPr>
          <w:rFonts w:hint="eastAsia" w:ascii="宋体" w:hAnsi="宋体" w:eastAsia="宋体" w:cs="宋体"/>
          <w:b/>
          <w:bCs w:val="0"/>
          <w:color w:val="000000"/>
          <w:kern w:val="0"/>
          <w:sz w:val="21"/>
          <w:szCs w:val="21"/>
          <w:highlight w:val="none"/>
          <w:u w:color="000000"/>
          <w:lang w:val="en-US" w:eastAsia="zh-CN" w:bidi="ar"/>
        </w:rPr>
        <w:t>28.</w:t>
      </w:r>
      <w:r>
        <w:rPr>
          <w:rFonts w:hint="eastAsia" w:ascii="黑体" w:hAnsi="宋体" w:eastAsia="黑体" w:cs="宋体"/>
          <w:b/>
          <w:bCs w:val="0"/>
          <w:color w:val="000000"/>
          <w:kern w:val="0"/>
          <w:sz w:val="21"/>
          <w:szCs w:val="21"/>
          <w:highlight w:val="none"/>
          <w:u w:color="000000"/>
          <w:lang w:val="en-US" w:eastAsia="zh-CN" w:bidi="ar"/>
        </w:rPr>
        <w:t>开标</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28.1.1招标人投标须知前附表规定的提交投标文件的截止时间和地点公开开标。</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spacing w:val="-8"/>
          <w:highlight w:val="none"/>
          <w:lang w:val="en-US"/>
        </w:rPr>
      </w:pPr>
      <w:bookmarkStart w:id="39" w:name="_Toc15542_WPSOffice_Level3"/>
      <w:bookmarkEnd w:id="39"/>
      <w:r>
        <w:rPr>
          <w:rFonts w:hint="eastAsia" w:ascii="宋体" w:hAnsi="宋体" w:eastAsia="宋体" w:cs="宋体"/>
          <w:color w:val="000000"/>
          <w:kern w:val="0"/>
          <w:sz w:val="21"/>
          <w:szCs w:val="21"/>
          <w:highlight w:val="none"/>
          <w:u w:color="000000"/>
          <w:lang w:val="en-US" w:eastAsia="zh-CN" w:bidi="ar"/>
        </w:rPr>
        <w:t>28.2.1招标人可以邀请相关监管部门参加。</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155" w:rightChars="-74"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（2）宣布采购人、代理机构主持人、见证人等有关人员姓名；</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155" w:rightChars="-74"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29.开标异议</w:t>
      </w:r>
    </w:p>
    <w:p>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2" w:firstLineChars="200"/>
        <w:jc w:val="left"/>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30.评标委员会</w:t>
      </w:r>
    </w:p>
    <w:p>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  评标委员会的组成</w:t>
      </w:r>
    </w:p>
    <w:p>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17" w:firstLineChars="198"/>
        <w:jc w:val="left"/>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 评标</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章“评标办法”规定的方法、评审因素、标准和程序对投标文件进行评审。第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章“评标办法”没有规定的方法、评审因素和标准，不作为评标依据。</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bookmarkStart w:id="40" w:name="_Toc5272_WPSOffice_Level3"/>
      <w:bookmarkEnd w:id="40"/>
      <w:r>
        <w:rPr>
          <w:rFonts w:hint="eastAsia" w:ascii="宋体" w:hAnsi="宋体" w:eastAsia="宋体" w:cs="宋体"/>
          <w:color w:val="000000"/>
          <w:kern w:val="0"/>
          <w:sz w:val="21"/>
          <w:szCs w:val="21"/>
          <w:highlight w:val="none"/>
          <w:u w:color="000000"/>
          <w:lang w:val="en-US" w:eastAsia="zh-CN" w:bidi="ar"/>
        </w:rPr>
        <w:t>31.3.1遵循公平、公正、科学和择优的原则。</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31.4报价合理性的判断</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pPr>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440" w:lineRule="exact"/>
        <w:ind w:leftChars="198" w:right="0" w:rightChars="0"/>
        <w:jc w:val="left"/>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32.开评审异常情况处理</w:t>
      </w:r>
    </w:p>
    <w:p>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313" w:rightChars="-149" w:firstLine="420" w:firstLineChars="200"/>
        <w:jc w:val="both"/>
        <w:textAlignment w:val="auto"/>
        <w:rPr>
          <w:rFonts w:hint="eastAsia" w:ascii="宋体" w:hAnsi="Times New Roman"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32.1若有效投标人不足三家，则采用竞争性谈判方式确定中标候选人，若有效投标人只有一家则项目流标。</w:t>
      </w:r>
    </w:p>
    <w:p>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33.重新招标 </w:t>
      </w:r>
    </w:p>
    <w:p>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33.1有下列情形之一的，招标人将重新招标：</w:t>
      </w:r>
    </w:p>
    <w:p>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(1)经评标委员会评审后否决所有投标的；</w:t>
      </w:r>
    </w:p>
    <w:p>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000000"/>
          <w:kern w:val="0"/>
          <w:sz w:val="21"/>
          <w:szCs w:val="21"/>
          <w:highlight w:val="none"/>
          <w:u w:color="000000"/>
          <w:lang w:val="en-US" w:eastAsia="zh-CN" w:bidi="ar"/>
        </w:rPr>
        <w:t>；</w:t>
      </w:r>
    </w:p>
    <w:p>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w:t>
      </w:r>
      <w:r>
        <w:rPr>
          <w:rFonts w:hint="eastAsia" w:ascii="宋体" w:hAnsi="Times New Roman" w:eastAsia="宋体" w:cs="Times New Roman"/>
          <w:color w:val="auto"/>
          <w:spacing w:val="0"/>
          <w:sz w:val="21"/>
          <w:szCs w:val="21"/>
          <w:highlight w:val="none"/>
          <w:lang w:val="en-US" w:eastAsia="zh-CN"/>
        </w:rPr>
        <w:t>法律、法规规定的其他情形</w:t>
      </w:r>
      <w:r>
        <w:rPr>
          <w:rFonts w:hint="eastAsia" w:ascii="宋体" w:hAnsi="宋体" w:eastAsia="宋体" w:cs="宋体"/>
          <w:color w:val="000000"/>
          <w:kern w:val="0"/>
          <w:sz w:val="21"/>
          <w:szCs w:val="21"/>
          <w:highlight w:val="none"/>
          <w:u w:color="000000"/>
          <w:lang w:val="en-US" w:eastAsia="zh-CN" w:bidi="ar"/>
        </w:rPr>
        <w:t>。</w:t>
      </w:r>
    </w:p>
    <w:p>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bookmarkEnd w:id="38"/>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521" w:firstLineChars="247"/>
        <w:jc w:val="left"/>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34. 中标公示</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34.1</w:t>
      </w:r>
      <w:r>
        <w:rPr>
          <w:rFonts w:hint="eastAsia" w:ascii="宋体" w:hAnsi="Times New Roman" w:eastAsia="宋体" w:cs="Times New Roman"/>
          <w:color w:val="auto"/>
          <w:spacing w:val="0"/>
          <w:sz w:val="21"/>
          <w:szCs w:val="21"/>
          <w:highlight w:val="none"/>
        </w:rPr>
        <w:t>招标人在收到评标报告之日起3日内，按照投标人须知前附表规定的公示媒介和期限依法公示。公示期不得少于3日。</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521" w:firstLineChars="247"/>
        <w:jc w:val="left"/>
        <w:textAlignment w:val="auto"/>
        <w:rPr>
          <w:rFonts w:hint="eastAsia" w:ascii="宋体" w:hAnsi="Times New Roman" w:eastAsia="宋体" w:cs="Times New Roman"/>
          <w:b/>
          <w:color w:val="auto"/>
          <w:spacing w:val="0"/>
          <w:sz w:val="21"/>
          <w:szCs w:val="21"/>
          <w:highlight w:val="none"/>
        </w:rPr>
      </w:pPr>
      <w:r>
        <w:rPr>
          <w:rFonts w:hint="eastAsia" w:ascii="宋体" w:hAnsi="Times New Roman" w:eastAsia="宋体" w:cs="Times New Roman"/>
          <w:b/>
          <w:color w:val="auto"/>
          <w:spacing w:val="0"/>
          <w:sz w:val="21"/>
          <w:szCs w:val="21"/>
          <w:highlight w:val="none"/>
        </w:rPr>
        <w:t>评标结果异议</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35.1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投标人或其他利害关系人对评标结果有异议的，应在中标候选人公示期内提出。招标人将在收到异议之日起3日内作出答复；作出答复前，将暂停招标投标活动。</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521" w:firstLineChars="247"/>
        <w:jc w:val="left"/>
        <w:textAlignment w:val="auto"/>
        <w:rPr>
          <w:rFonts w:hint="default" w:ascii="宋体" w:hAnsi="Times New Roman" w:eastAsia="宋体" w:cs="Times New Roman"/>
          <w:b/>
          <w:color w:val="auto"/>
          <w:spacing w:val="0"/>
          <w:sz w:val="21"/>
          <w:szCs w:val="21"/>
          <w:highlight w:val="none"/>
          <w:lang w:val="en-US" w:eastAsia="zh-CN"/>
        </w:rPr>
      </w:pPr>
      <w:r>
        <w:rPr>
          <w:rFonts w:hint="eastAsia" w:ascii="宋体" w:hAnsi="Times New Roman" w:eastAsia="宋体" w:cs="Times New Roman"/>
          <w:b/>
          <w:color w:val="auto"/>
          <w:spacing w:val="0"/>
          <w:sz w:val="21"/>
          <w:szCs w:val="21"/>
          <w:highlight w:val="none"/>
        </w:rPr>
        <w:t>定标</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36.1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521" w:firstLineChars="247"/>
        <w:jc w:val="left"/>
        <w:textAlignment w:val="auto"/>
        <w:rPr>
          <w:rFonts w:hint="eastAsia" w:ascii="宋体" w:hAnsi="Times New Roman" w:eastAsia="宋体" w:cs="Times New Roman"/>
          <w:b/>
          <w:color w:val="auto"/>
          <w:spacing w:val="0"/>
          <w:sz w:val="21"/>
          <w:szCs w:val="21"/>
          <w:highlight w:val="none"/>
          <w:lang w:val="en-US" w:eastAsia="zh-CN"/>
        </w:rPr>
      </w:pPr>
      <w:r>
        <w:rPr>
          <w:rFonts w:hint="eastAsia" w:ascii="宋体" w:hAnsi="Times New Roman" w:eastAsia="宋体" w:cs="Times New Roman"/>
          <w:b/>
          <w:color w:val="auto"/>
          <w:spacing w:val="0"/>
          <w:sz w:val="21"/>
          <w:szCs w:val="21"/>
          <w:highlight w:val="none"/>
          <w:lang w:val="en-US" w:eastAsia="zh-CN"/>
        </w:rPr>
        <w:t>中标通知</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highlight w:val="none"/>
        </w:rPr>
      </w:pPr>
      <w:r>
        <w:rPr>
          <w:rFonts w:hint="eastAsia" w:ascii="宋体" w:hAnsi="Times New Roman" w:eastAsia="宋体" w:cs="Times New Roman"/>
          <w:color w:val="auto"/>
          <w:spacing w:val="0"/>
          <w:sz w:val="21"/>
          <w:szCs w:val="21"/>
          <w:highlight w:val="none"/>
          <w:lang w:val="en-US" w:eastAsia="zh-CN"/>
        </w:rPr>
        <w:t>37.1在本招标文件规定的投标有效期内，招标人向中标人发出中标通知书，同时将中标结果通知未中标的投标人。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Times New Roman" w:eastAsia="宋体" w:cs="Times New Roman"/>
          <w:b/>
          <w:color w:val="auto"/>
          <w:spacing w:val="0"/>
          <w:sz w:val="21"/>
          <w:szCs w:val="21"/>
          <w:highlight w:val="none"/>
          <w:lang w:val="en-US" w:eastAsia="zh-CN"/>
        </w:rPr>
      </w:pPr>
      <w:r>
        <w:rPr>
          <w:rFonts w:hint="eastAsia" w:ascii="宋体" w:hAnsi="宋体" w:eastAsia="宋体" w:cs="宋体"/>
          <w:color w:val="000000"/>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bookmarkStart w:id="41" w:name="_Toc7247"/>
      <w:bookmarkEnd w:id="41"/>
      <w:r>
        <w:rPr>
          <w:rFonts w:hint="eastAsia" w:ascii="宋体" w:hAnsi="Times New Roman" w:eastAsia="宋体" w:cs="Times New Roman"/>
          <w:b/>
          <w:color w:val="auto"/>
          <w:spacing w:val="0"/>
          <w:sz w:val="21"/>
          <w:szCs w:val="21"/>
          <w:highlight w:val="none"/>
          <w:lang w:val="en-US" w:eastAsia="zh-CN"/>
        </w:rPr>
        <w:t xml:space="preserve"> 38.</w:t>
      </w:r>
      <w:bookmarkStart w:id="42" w:name="_Toc217446068"/>
      <w:r>
        <w:rPr>
          <w:rFonts w:hint="eastAsia" w:ascii="宋体" w:hAnsi="Times New Roman" w:eastAsia="宋体" w:cs="Times New Roman"/>
          <w:b/>
          <w:color w:val="auto"/>
          <w:spacing w:val="0"/>
          <w:sz w:val="21"/>
          <w:szCs w:val="21"/>
          <w:highlight w:val="none"/>
          <w:lang w:val="en-US" w:eastAsia="zh-CN"/>
        </w:rPr>
        <w:t>履约保证金</w:t>
      </w:r>
      <w:bookmarkEnd w:id="42"/>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bookmarkStart w:id="43" w:name="_Toc316_WPSOffice_Level3"/>
      <w:bookmarkEnd w:id="43"/>
      <w:bookmarkStart w:id="44" w:name="_Toc23484"/>
      <w:r>
        <w:rPr>
          <w:rFonts w:hint="eastAsia" w:ascii="宋体" w:hAnsi="Times New Roman" w:eastAsia="宋体" w:cs="Times New Roman"/>
          <w:color w:val="auto"/>
          <w:spacing w:val="0"/>
          <w:sz w:val="21"/>
          <w:szCs w:val="21"/>
          <w:highlight w:val="none"/>
          <w:lang w:val="en-US" w:eastAsia="zh-CN"/>
        </w:rPr>
        <w:t>38.1</w:t>
      </w:r>
      <w:bookmarkEnd w:id="44"/>
      <w:r>
        <w:rPr>
          <w:rFonts w:hint="eastAsia" w:ascii="宋体" w:hAnsi="Times New Roman" w:eastAsia="宋体" w:cs="Times New Roman"/>
          <w:color w:val="auto"/>
          <w:spacing w:val="0"/>
          <w:sz w:val="21"/>
          <w:szCs w:val="21"/>
          <w:highlight w:val="none"/>
          <w:lang w:val="en-US" w:eastAsia="zh-CN"/>
        </w:rPr>
        <w:t>在签订合同前，中标人应按投标人须知前附表规定的担保形式、金额和招标文件第五章“合同条款及格式”规定的或者事先经过招标人书面认可的履约担保格式向招标人提交履约担保。</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38.2 中标人不能按本章第34.1款要求提交履约担保的，视为放弃中标，给招标人造成损失的，依法承担民事责任。</w:t>
      </w:r>
    </w:p>
    <w:p>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440" w:lineRule="exact"/>
        <w:ind w:left="0" w:right="0" w:firstLine="422" w:firstLineChars="200"/>
        <w:jc w:val="left"/>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39.对招标人的纪律要求 </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39.1招标人不得泄漏招标投标活动中应当保密的情况和资料，不得与投标人串通损害国家利益，社会公共利益或者他人合法权益。 </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440" w:lineRule="exact"/>
        <w:ind w:left="0" w:right="0" w:firstLine="422" w:firstLineChars="200"/>
        <w:jc w:val="left"/>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40.对投标人的纪律要求 </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40.1投标人不得相互串通投标或者与招标人串通投标，不得向招标人或者评标委员会成员行贿谋取中标，不得以他人名义投标或者以其他方式弄虚作假骗取中标；投标人不得以任何方式干扰、影响评标工作。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440" w:lineRule="exact"/>
        <w:ind w:left="0" w:right="0" w:firstLine="422" w:firstLineChars="200"/>
        <w:jc w:val="left"/>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41.对评标委员会成员的纪律要求 </w:t>
      </w:r>
    </w:p>
    <w:p>
      <w:pPr>
        <w:keepNext w:val="0"/>
        <w:keepLines w:val="0"/>
        <w:pageBreakBefore w:val="0"/>
        <w:widowControl w:val="0"/>
        <w:kinsoku/>
        <w:wordWrap/>
        <w:overflowPunct/>
        <w:topLinePunct w:val="0"/>
        <w:autoSpaceDE/>
        <w:autoSpaceDN/>
        <w:bidi w:val="0"/>
        <w:spacing w:line="440" w:lineRule="exact"/>
        <w:ind w:firstLine="525" w:firstLineChars="250"/>
        <w:jc w:val="left"/>
        <w:textAlignment w:val="auto"/>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41.1</w:t>
      </w:r>
      <w:r>
        <w:rPr>
          <w:rFonts w:hint="eastAsia" w:ascii="宋体" w:hAnsi="Times New Roman" w:eastAsia="宋体" w:cs="Times New Roman"/>
          <w:color w:val="auto"/>
          <w:spacing w:val="0"/>
          <w:sz w:val="21"/>
          <w:szCs w:val="21"/>
          <w:highlight w:val="none"/>
          <w:lang w:val="en-US" w:eastAsia="zh-CN"/>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440" w:lineRule="exact"/>
        <w:ind w:left="0" w:right="0" w:firstLine="422" w:firstLineChars="200"/>
        <w:jc w:val="left"/>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42.对与评标活动有关的工作人员的纪律要求 </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b/>
          <w:bCs w:val="0"/>
          <w:highlight w:val="none"/>
          <w:lang w:val="en-US"/>
        </w:rPr>
      </w:pPr>
      <w:r>
        <w:rPr>
          <w:rFonts w:hint="eastAsia" w:ascii="宋体" w:hAnsi="宋体" w:eastAsia="宋体" w:cs="宋体"/>
          <w:color w:val="000000"/>
          <w:kern w:val="10"/>
          <w:sz w:val="21"/>
          <w:szCs w:val="21"/>
          <w:highlight w:val="none"/>
          <w:u w:color="000000"/>
          <w:lang w:val="en-US" w:eastAsia="zh-CN" w:bidi="ar"/>
        </w:rPr>
        <w:t>42.1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314" w:firstLineChars="149"/>
        <w:jc w:val="left"/>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43. 投诉</w:t>
      </w:r>
    </w:p>
    <w:p>
      <w:pPr>
        <w:keepNext w:val="0"/>
        <w:keepLines w:val="0"/>
        <w:pageBreakBefore w:val="0"/>
        <w:kinsoku/>
        <w:wordWrap/>
        <w:overflowPunct/>
        <w:topLinePunct w:val="0"/>
        <w:autoSpaceDE/>
        <w:autoSpaceDN/>
        <w:bidi w:val="0"/>
        <w:adjustRightInd w:val="0"/>
        <w:snapToGrid w:val="0"/>
        <w:spacing w:line="440" w:lineRule="exact"/>
        <w:ind w:firstLine="315" w:firstLineChars="150"/>
        <w:textAlignment w:val="auto"/>
        <w:rPr>
          <w:rFonts w:hint="eastAsia" w:ascii="宋体" w:hAnsi="宋体" w:cs="宋体"/>
          <w:color w:val="000000"/>
          <w:szCs w:val="21"/>
          <w:highlight w:val="none"/>
        </w:rPr>
      </w:pPr>
      <w:r>
        <w:rPr>
          <w:rFonts w:hint="eastAsia" w:ascii="宋体" w:hAnsi="Times New Roman" w:eastAsia="宋体" w:cs="Times New Roman"/>
          <w:kern w:val="10"/>
          <w:szCs w:val="21"/>
          <w:highlight w:val="none"/>
          <w:lang w:val="en-US" w:eastAsia="zh-CN"/>
        </w:rPr>
        <w:t>43.1</w:t>
      </w:r>
      <w:r>
        <w:rPr>
          <w:rFonts w:hint="eastAsia" w:ascii="宋体" w:hAnsi="宋体" w:cs="宋体"/>
          <w:color w:val="000000"/>
          <w:szCs w:val="21"/>
          <w:highlight w:val="none"/>
        </w:rPr>
        <w:t>投标人或者其他利害关系人认为招标投标活动违反法律、法规和规章规定的，有权向相关行政监督部门投诉。投诉应当有明确的请求和必要的证明材料。</w:t>
      </w:r>
    </w:p>
    <w:p>
      <w:pPr>
        <w:keepNext w:val="0"/>
        <w:keepLines w:val="0"/>
        <w:pageBreakBefore w:val="0"/>
        <w:kinsoku/>
        <w:wordWrap/>
        <w:overflowPunct/>
        <w:topLinePunct w:val="0"/>
        <w:autoSpaceDE/>
        <w:autoSpaceDN/>
        <w:bidi w:val="0"/>
        <w:adjustRightInd w:val="0"/>
        <w:snapToGrid w:val="0"/>
        <w:spacing w:line="440" w:lineRule="exact"/>
        <w:ind w:firstLine="315" w:firstLineChars="150"/>
        <w:textAlignment w:val="auto"/>
        <w:rPr>
          <w:rFonts w:hint="eastAsia" w:ascii="宋体" w:hAnsi="Times New Roman" w:eastAsia="宋体" w:cs="Times New Roman"/>
          <w:kern w:val="10"/>
          <w:szCs w:val="21"/>
          <w:highlight w:val="none"/>
        </w:rPr>
      </w:pPr>
      <w:r>
        <w:rPr>
          <w:rFonts w:hint="eastAsia" w:ascii="宋体" w:hAnsi="Times New Roman" w:eastAsia="宋体" w:cs="Times New Roman"/>
          <w:kern w:val="10"/>
          <w:szCs w:val="21"/>
          <w:highlight w:val="none"/>
          <w:lang w:val="en-US" w:eastAsia="zh-CN"/>
        </w:rPr>
        <w:t>43.2</w:t>
      </w:r>
      <w:r>
        <w:rPr>
          <w:rFonts w:hint="eastAsia" w:ascii="宋体" w:hAnsi="宋体" w:cs="宋体"/>
          <w:color w:val="000000"/>
          <w:szCs w:val="21"/>
          <w:highlight w:val="none"/>
        </w:rPr>
        <w:t>投标人和其他利害关系人对招标文件、开标和评标结果事项投诉的，应当按照投标人须知的规定先向招标人提出异议。</w:t>
      </w:r>
      <w:r>
        <w:rPr>
          <w:rFonts w:hint="eastAsia" w:ascii="宋体" w:hAnsi="Times New Roman" w:eastAsia="宋体" w:cs="Times New Roman"/>
          <w:kern w:val="10"/>
          <w:szCs w:val="21"/>
          <w:highlight w:val="none"/>
        </w:rPr>
        <w:t>异议答复期间不计算在第</w:t>
      </w:r>
      <w:r>
        <w:rPr>
          <w:rFonts w:hint="eastAsia" w:ascii="宋体" w:hAnsi="Times New Roman" w:eastAsia="宋体" w:cs="Times New Roman"/>
          <w:kern w:val="10"/>
          <w:szCs w:val="21"/>
          <w:highlight w:val="none"/>
          <w:lang w:val="en-US" w:eastAsia="zh-CN"/>
        </w:rPr>
        <w:t>35.1</w:t>
      </w:r>
      <w:r>
        <w:rPr>
          <w:rFonts w:hint="eastAsia" w:ascii="宋体" w:hAnsi="Times New Roman" w:eastAsia="宋体" w:cs="Times New Roman"/>
          <w:kern w:val="10"/>
          <w:szCs w:val="21"/>
          <w:highlight w:val="none"/>
        </w:rPr>
        <w:t>项规定的期限内。</w:t>
      </w:r>
    </w:p>
    <w:p>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sz w:val="30"/>
          <w:szCs w:val="30"/>
          <w:highlight w:val="none"/>
          <w:lang w:val="en-US"/>
        </w:rPr>
      </w:pPr>
      <w:r>
        <w:rPr>
          <w:rFonts w:hint="eastAsia" w:ascii="黑体" w:hAnsi="宋体" w:eastAsia="黑体" w:cs="黑体"/>
          <w:color w:val="000000"/>
          <w:kern w:val="0"/>
          <w:sz w:val="30"/>
          <w:szCs w:val="30"/>
          <w:highlight w:val="none"/>
          <w:u w:color="000000"/>
          <w:lang w:val="en-US" w:eastAsia="zh-CN" w:bidi="ar"/>
        </w:rPr>
        <w:t xml:space="preserve"> </w:t>
      </w:r>
    </w:p>
    <w:p>
      <w:pPr>
        <w:rPr>
          <w:rFonts w:hint="eastAsia" w:ascii="宋体" w:hAnsi="宋体" w:eastAsia="宋体" w:cs="宋体"/>
          <w:b/>
          <w:bCs w:val="0"/>
          <w:color w:val="000000"/>
          <w:kern w:val="44"/>
          <w:sz w:val="28"/>
          <w:szCs w:val="28"/>
          <w:highlight w:val="none"/>
          <w:u w:color="000000"/>
          <w:lang w:val="en-US" w:eastAsia="zh-CN" w:bidi="ar"/>
        </w:rPr>
      </w:pPr>
      <w:r>
        <w:rPr>
          <w:rFonts w:hint="eastAsia" w:ascii="宋体" w:hAnsi="宋体" w:eastAsia="宋体" w:cs="宋体"/>
          <w:b/>
          <w:bCs w:val="0"/>
          <w:color w:val="000000"/>
          <w:kern w:val="44"/>
          <w:sz w:val="28"/>
          <w:szCs w:val="28"/>
          <w:highlight w:val="none"/>
          <w:u w:color="000000"/>
          <w:lang w:val="en-US" w:eastAsia="zh-CN" w:bidi="ar"/>
        </w:rPr>
        <w:br w:type="page"/>
      </w:r>
    </w:p>
    <w:p>
      <w:pPr>
        <w:numPr>
          <w:ilvl w:val="0"/>
          <w:numId w:val="0"/>
        </w:numPr>
        <w:spacing w:before="156" w:beforeLines="50" w:after="156" w:afterLines="50"/>
        <w:jc w:val="center"/>
        <w:outlineLvl w:val="0"/>
        <w:rPr>
          <w:rFonts w:hint="eastAsia" w:ascii="宋体" w:hAnsi="宋体" w:eastAsia="宋体" w:cs="宋体"/>
          <w:b/>
          <w:bCs w:val="0"/>
          <w:color w:val="000000"/>
          <w:kern w:val="44"/>
          <w:sz w:val="28"/>
          <w:szCs w:val="28"/>
          <w:highlight w:val="none"/>
          <w:u w:color="000000"/>
          <w:lang w:val="en-US" w:eastAsia="zh-CN" w:bidi="ar"/>
        </w:rPr>
      </w:pPr>
      <w:bookmarkStart w:id="45" w:name="_Toc23947"/>
      <w:r>
        <w:rPr>
          <w:rFonts w:hint="eastAsia" w:ascii="宋体" w:hAnsi="宋体" w:eastAsia="宋体" w:cs="宋体"/>
          <w:b/>
          <w:bCs w:val="0"/>
          <w:color w:val="000000"/>
          <w:kern w:val="44"/>
          <w:sz w:val="28"/>
          <w:szCs w:val="28"/>
          <w:highlight w:val="none"/>
          <w:u w:color="000000"/>
          <w:lang w:val="en-US" w:eastAsia="zh-CN" w:bidi="ar"/>
        </w:rPr>
        <w:t>第三章  评标办法（综合评分法）</w:t>
      </w:r>
      <w:bookmarkEnd w:id="45"/>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4"/>
          <w:szCs w:val="24"/>
          <w:highlight w:val="none"/>
          <w:lang w:val="en-US"/>
        </w:rPr>
      </w:pPr>
      <w:bookmarkStart w:id="46" w:name="_Toc9679_WPSOffice_Level2"/>
      <w:r>
        <w:rPr>
          <w:rFonts w:hint="eastAsia" w:ascii="宋体" w:hAnsi="宋体" w:eastAsia="宋体" w:cs="宋体"/>
          <w:b/>
          <w:bCs w:val="0"/>
          <w:color w:val="000000"/>
          <w:kern w:val="0"/>
          <w:sz w:val="24"/>
          <w:szCs w:val="24"/>
          <w:highlight w:val="none"/>
          <w:u w:color="000000"/>
          <w:lang w:val="en-US" w:eastAsia="zh-CN" w:bidi="ar"/>
        </w:rPr>
        <w:t>一</w:t>
      </w:r>
      <w:bookmarkEnd w:id="46"/>
      <w:r>
        <w:rPr>
          <w:rFonts w:hint="eastAsia" w:ascii="宋体" w:hAnsi="宋体" w:eastAsia="宋体" w:cs="宋体"/>
          <w:b/>
          <w:bCs w:val="0"/>
          <w:color w:val="000000"/>
          <w:kern w:val="0"/>
          <w:sz w:val="24"/>
          <w:szCs w:val="24"/>
          <w:highlight w:val="none"/>
          <w:u w:color="000000"/>
          <w:lang w:val="en-US" w:eastAsia="zh-CN" w:bidi="ar"/>
        </w:rPr>
        <w:t>、总则</w:t>
      </w:r>
    </w:p>
    <w:p>
      <w:pPr>
        <w:spacing w:line="440" w:lineRule="exact"/>
        <w:ind w:firstLine="422" w:firstLineChars="200"/>
        <w:jc w:val="left"/>
        <w:rPr>
          <w:rFonts w:hint="eastAsia" w:ascii="黑体" w:eastAsia="黑体"/>
          <w:b/>
          <w:color w:val="auto"/>
          <w:szCs w:val="21"/>
          <w:highlight w:val="none"/>
          <w:lang w:eastAsia="zh-CN"/>
        </w:rPr>
      </w:pPr>
      <w:bookmarkStart w:id="47" w:name="_Toc14651"/>
      <w:bookmarkEnd w:id="47"/>
      <w:bookmarkStart w:id="48" w:name="_Toc10907_WPSOffice_Level3"/>
      <w:r>
        <w:rPr>
          <w:rFonts w:hint="eastAsia" w:ascii="黑体" w:eastAsia="黑体"/>
          <w:b/>
          <w:color w:val="auto"/>
          <w:szCs w:val="21"/>
          <w:highlight w:val="none"/>
        </w:rPr>
        <w:t>1.本次评标采用</w:t>
      </w:r>
      <w:bookmarkEnd w:id="48"/>
      <w:r>
        <w:rPr>
          <w:rFonts w:hint="eastAsia" w:ascii="黑体" w:eastAsia="黑体"/>
          <w:b/>
          <w:color w:val="auto"/>
          <w:szCs w:val="21"/>
          <w:highlight w:val="none"/>
          <w:lang w:eastAsia="zh-CN"/>
        </w:rPr>
        <w:t>综合评分法</w:t>
      </w:r>
    </w:p>
    <w:p>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本次评标采用</w:t>
      </w:r>
      <w:r>
        <w:rPr>
          <w:rFonts w:hint="eastAsia" w:ascii="宋体" w:hAnsi="宋体" w:cs="宋体"/>
          <w:color w:val="000000"/>
          <w:szCs w:val="21"/>
          <w:highlight w:val="none"/>
          <w:lang w:eastAsia="zh-CN"/>
        </w:rPr>
        <w:t>综合评分法</w:t>
      </w:r>
      <w:r>
        <w:rPr>
          <w:rFonts w:hint="eastAsia" w:ascii="宋体" w:hAnsi="宋体" w:cs="宋体"/>
          <w:color w:val="000000"/>
          <w:szCs w:val="21"/>
          <w:highlight w:val="none"/>
        </w:rPr>
        <w:t>。评标委员会对满足招标文件实质性要求的投标文件，按照本章规定的评分标准进行打分，并按总得分由高到低顺序推荐中标候选人应当不超过3名，并标明排序，但投标报价低于其成本的除外。如总得分相等，以投标报价低的优先，投标报价仍相等由招标人随机抽取确定排名。</w:t>
      </w:r>
    </w:p>
    <w:p>
      <w:pPr>
        <w:spacing w:line="440" w:lineRule="exact"/>
        <w:ind w:firstLine="422" w:firstLineChars="200"/>
        <w:jc w:val="left"/>
        <w:rPr>
          <w:rFonts w:hint="eastAsia" w:ascii="黑体" w:eastAsia="黑体"/>
          <w:b/>
          <w:color w:val="auto"/>
          <w:szCs w:val="21"/>
          <w:highlight w:val="none"/>
          <w:lang w:val="en-US"/>
        </w:rPr>
      </w:pPr>
      <w:r>
        <w:rPr>
          <w:rFonts w:hint="eastAsia" w:ascii="黑体" w:eastAsia="黑体"/>
          <w:b/>
          <w:color w:val="auto"/>
          <w:szCs w:val="21"/>
          <w:highlight w:val="none"/>
          <w:lang w:val="en-US" w:eastAsia="zh-CN"/>
        </w:rPr>
        <w:t>2．评标程序</w:t>
      </w:r>
    </w:p>
    <w:p>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2.1投标文件的初审</w:t>
      </w:r>
    </w:p>
    <w:p>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2.1.1资格性检查。依据法律法规和招标文件的规定，对投标文件中的资格证明等进行审查，以确定投标人是否具备投标资格。 </w:t>
      </w:r>
    </w:p>
    <w:p>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2.1.2符合性检查。依据招标文件的规定，从投标文件的有效性、完整性和对招标文件的响应程度进行审查，以确定投标人是否对招标文件的实质性要求作出响应。</w:t>
      </w:r>
    </w:p>
    <w:p>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2.2投标文件的澄清</w:t>
      </w:r>
    </w:p>
    <w:p>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2.2.1在评标过程中，评标委员会认为需要，在监督人员在场的情况下，可要求投标单位对投标文件中的有关问题进行澄清或提供补充说明及有关资料，投标单位应做出书面答复。书面答复中不得变更价格、工期、质量等实质性内容。</w:t>
      </w:r>
    </w:p>
    <w:p>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2.2.3 招标人不接受投标单位主动提出的澄清。</w:t>
      </w:r>
    </w:p>
    <w:p>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2.3比较与评价</w:t>
      </w:r>
    </w:p>
    <w:p>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2．3.1按招标文件中规定的评标方法和标准，对资格性检查和符合性检查合格的投标文件进行资信评估，综合比较与评价。 </w:t>
      </w:r>
    </w:p>
    <w:p>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2.4推荐中标候选人名单</w:t>
      </w:r>
    </w:p>
    <w:p>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2.4.1中标候选人数量应当根据采购需要确定，但必须按顺序排列中标候选人。</w:t>
      </w:r>
    </w:p>
    <w:p>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2.5在投标文件的审查、澄清、评价和比较以及授予合同过程中，投标人对招标人和评标委员会成员施加影响的任何行为，都将导致取消其中标资格。</w:t>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二、投标文件审查</w:t>
      </w:r>
    </w:p>
    <w:p>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bookmarkStart w:id="49" w:name="_Toc9092_WPSOffice_Level3"/>
      <w:bookmarkEnd w:id="49"/>
      <w:r>
        <w:rPr>
          <w:rFonts w:hint="eastAsia" w:ascii="黑体" w:hAnsi="宋体" w:eastAsia="黑体" w:cs="宋体"/>
          <w:b/>
          <w:bCs w:val="0"/>
          <w:color w:val="000000"/>
          <w:kern w:val="0"/>
          <w:sz w:val="21"/>
          <w:szCs w:val="21"/>
          <w:highlight w:val="none"/>
          <w:u w:color="000000"/>
          <w:lang w:val="en-US" w:eastAsia="zh-CN" w:bidi="ar"/>
        </w:rPr>
        <w:t>3.资格性审查</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3.1评审细则</w:t>
      </w:r>
    </w:p>
    <w:tbl>
      <w:tblPr>
        <w:tblStyle w:val="24"/>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235"/>
        <w:gridCol w:w="3009"/>
        <w:gridCol w:w="3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黑体" w:hAnsi="宋体" w:eastAsia="黑体" w:cs="黑体"/>
                <w:b/>
                <w:bCs/>
                <w:color w:val="000000"/>
                <w:kern w:val="2"/>
                <w:sz w:val="21"/>
                <w:szCs w:val="21"/>
                <w:highlight w:val="none"/>
                <w:u w:color="000000"/>
                <w:lang w:val="en-US" w:eastAsia="zh-CN" w:bidi="ar"/>
              </w:rPr>
              <w:t>序号</w:t>
            </w:r>
          </w:p>
        </w:tc>
        <w:tc>
          <w:tcPr>
            <w:tcW w:w="4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评审因素</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1</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重要要求</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w:t>
            </w:r>
            <w:r>
              <w:rPr>
                <w:rFonts w:hint="default" w:ascii="Times New Roman" w:hAnsi="Times New Roman" w:eastAsia="宋体" w:cs="Times New Roman"/>
                <w:color w:val="000000"/>
                <w:kern w:val="2"/>
                <w:sz w:val="21"/>
                <w:szCs w:val="21"/>
                <w:highlight w:val="none"/>
                <w:u w:color="000000"/>
                <w:lang w:val="en-US" w:eastAsia="zh-CN" w:bidi="ar"/>
              </w:rPr>
              <w:t>1</w:t>
            </w:r>
            <w:r>
              <w:rPr>
                <w:rFonts w:hint="eastAsia" w:ascii="宋体" w:hAnsi="宋体" w:eastAsia="宋体" w:cs="宋体"/>
                <w:color w:val="000000"/>
                <w:kern w:val="2"/>
                <w:sz w:val="21"/>
                <w:szCs w:val="21"/>
                <w:highlight w:val="none"/>
                <w:u w:color="000000"/>
                <w:lang w:val="en-US" w:eastAsia="zh-CN" w:bidi="ar"/>
              </w:rPr>
              <w:t>）法定代表人身份证明和本人身份证</w:t>
            </w:r>
            <w:r>
              <w:rPr>
                <w:rFonts w:hint="default" w:ascii="Times New Roman" w:hAnsi="Times New Roman" w:eastAsia="宋体" w:cs="Times New Roman"/>
                <w:color w:val="000000"/>
                <w:kern w:val="2"/>
                <w:sz w:val="21"/>
                <w:szCs w:val="21"/>
                <w:highlight w:val="none"/>
                <w:u w:color="000000"/>
                <w:lang w:val="en-US" w:eastAsia="zh-CN" w:bidi="ar"/>
              </w:rPr>
              <w:t>(</w:t>
            </w:r>
            <w:r>
              <w:rPr>
                <w:rFonts w:hint="eastAsia" w:ascii="宋体" w:hAnsi="宋体" w:eastAsia="宋体" w:cs="宋体"/>
                <w:color w:val="000000"/>
                <w:kern w:val="2"/>
                <w:sz w:val="21"/>
                <w:szCs w:val="21"/>
                <w:highlight w:val="none"/>
                <w:u w:color="000000"/>
                <w:lang w:val="en-US" w:eastAsia="zh-CN" w:bidi="ar"/>
              </w:rPr>
              <w:t>或法定代表人授权委托书和委托代理人身份证</w:t>
            </w:r>
            <w:r>
              <w:rPr>
                <w:rFonts w:hint="default" w:ascii="Times New Roman" w:hAnsi="Times New Roman" w:eastAsia="宋体" w:cs="Times New Roman"/>
                <w:color w:val="000000"/>
                <w:kern w:val="2"/>
                <w:sz w:val="21"/>
                <w:szCs w:val="21"/>
                <w:highlight w:val="none"/>
                <w:u w:color="000000"/>
                <w:lang w:val="en-US" w:eastAsia="zh-CN" w:bidi="ar"/>
              </w:rPr>
              <w:t>)</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b/>
                <w:bCs w:val="0"/>
                <w:color w:val="000000"/>
                <w:kern w:val="2"/>
                <w:sz w:val="21"/>
                <w:szCs w:val="21"/>
                <w:highlight w:val="none"/>
                <w:u w:color="000000"/>
                <w:lang w:val="en-US" w:eastAsia="zh-CN" w:bidi="ar"/>
              </w:rPr>
              <w:t>评审核验标书中的下列证书、证明材料：</w:t>
            </w:r>
          </w:p>
          <w:p>
            <w:pPr>
              <w:keepNext w:val="0"/>
              <w:keepLines w:val="0"/>
              <w:widowControl/>
              <w:suppressLineNumbers w:val="0"/>
              <w:spacing w:before="0" w:beforeAutospacing="0" w:after="0" w:afterAutospacing="0" w:line="320" w:lineRule="exact"/>
              <w:ind w:left="0" w:leftChars="0" w:right="0" w:rightChars="0"/>
              <w:jc w:val="left"/>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法定代表人身份证明和有效身份证扫描件（或授权委托书及委托代理人有效身份证扫描件）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25" w:type="dxa"/>
            <w:vMerge w:val="restart"/>
            <w:tcBorders>
              <w:top w:val="nil"/>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w:t>
            </w:r>
          </w:p>
        </w:tc>
        <w:tc>
          <w:tcPr>
            <w:tcW w:w="1235" w:type="dxa"/>
            <w:vMerge w:val="restart"/>
            <w:tcBorders>
              <w:top w:val="nil"/>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投标人应符合的基本资格条件</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（2）具有独立承担民事责任的能力</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b/>
                <w:bCs w:val="0"/>
                <w:color w:val="000000"/>
                <w:kern w:val="2"/>
                <w:sz w:val="21"/>
                <w:szCs w:val="21"/>
                <w:highlight w:val="none"/>
                <w:u w:color="000000"/>
                <w:lang w:val="en-US" w:eastAsia="zh-CN" w:bidi="ar"/>
              </w:rPr>
            </w:pPr>
            <w:r>
              <w:rPr>
                <w:rFonts w:hint="eastAsia" w:ascii="宋体" w:hAnsi="宋体" w:eastAsia="宋体" w:cs="宋体"/>
                <w:b/>
                <w:bCs w:val="0"/>
                <w:color w:val="000000"/>
                <w:kern w:val="2"/>
                <w:sz w:val="21"/>
                <w:szCs w:val="21"/>
                <w:highlight w:val="none"/>
                <w:u w:color="000000"/>
                <w:lang w:val="en-US" w:eastAsia="zh-CN" w:bidi="ar"/>
              </w:rPr>
              <w:t>评审核验标书中的下列证书、证明材料：</w:t>
            </w:r>
          </w:p>
          <w:p>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投标人有效的营业执照、税务登记证、组织机构码证（或“三证合一证书”）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25"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w:t>
            </w:r>
            <w:r>
              <w:rPr>
                <w:rFonts w:hint="eastAsia" w:ascii="Times New Roman" w:hAnsi="Times New Roman" w:eastAsia="宋体" w:cs="Times New Roman"/>
                <w:color w:val="000000"/>
                <w:kern w:val="2"/>
                <w:sz w:val="21"/>
                <w:szCs w:val="21"/>
                <w:highlight w:val="none"/>
                <w:u w:color="000000"/>
                <w:lang w:val="en-US" w:eastAsia="zh-CN" w:bidi="ar"/>
              </w:rPr>
              <w:t>3</w:t>
            </w:r>
            <w:r>
              <w:rPr>
                <w:rFonts w:hint="eastAsia" w:ascii="宋体" w:hAnsi="宋体" w:eastAsia="宋体" w:cs="宋体"/>
                <w:color w:val="000000"/>
                <w:kern w:val="2"/>
                <w:sz w:val="21"/>
                <w:szCs w:val="21"/>
                <w:highlight w:val="none"/>
                <w:u w:color="000000"/>
                <w:lang w:val="en-US" w:eastAsia="zh-CN" w:bidi="ar"/>
              </w:rPr>
              <w:t>）诚信投标承诺书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b/>
                <w:bCs w:val="0"/>
                <w:color w:val="000000"/>
                <w:kern w:val="2"/>
                <w:sz w:val="21"/>
                <w:szCs w:val="21"/>
                <w:highlight w:val="none"/>
                <w:u w:color="000000"/>
                <w:lang w:val="en-US" w:eastAsia="zh-CN" w:bidi="ar"/>
              </w:rPr>
              <w:t>评审核验标书中的下述文件：</w:t>
            </w:r>
          </w:p>
          <w:p>
            <w:pPr>
              <w:keepNext w:val="0"/>
              <w:keepLines w:val="0"/>
              <w:widowControl/>
              <w:suppressLineNumbers w:val="0"/>
              <w:spacing w:before="0" w:beforeAutospacing="0" w:after="0" w:afterAutospacing="0" w:line="360" w:lineRule="exact"/>
              <w:ind w:left="0" w:leftChars="0" w:right="0" w:rightChars="0"/>
              <w:jc w:val="both"/>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诚信投标承诺书，格式见附件</w:t>
            </w:r>
          </w:p>
        </w:tc>
      </w:tr>
    </w:tbl>
    <w:p>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4.符合性审查</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highlight w:val="none"/>
          <w:lang w:val="en-US"/>
        </w:rPr>
      </w:pPr>
      <w:bookmarkStart w:id="50" w:name="_Toc4660368"/>
      <w:bookmarkEnd w:id="50"/>
      <w:r>
        <w:rPr>
          <w:rFonts w:hint="eastAsia" w:ascii="宋体" w:hAnsi="宋体" w:eastAsia="宋体" w:cs="宋体"/>
          <w:color w:val="000000"/>
          <w:kern w:val="0"/>
          <w:sz w:val="21"/>
          <w:szCs w:val="21"/>
          <w:highlight w:val="none"/>
          <w:u w:color="000000"/>
          <w:lang w:val="en-US" w:eastAsia="zh-CN" w:bidi="ar"/>
        </w:rPr>
        <w:t>4.1评审细则</w:t>
      </w:r>
    </w:p>
    <w:tbl>
      <w:tblPr>
        <w:tblStyle w:val="2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7"/>
        <w:gridCol w:w="1000"/>
        <w:gridCol w:w="2501"/>
        <w:gridCol w:w="4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kern w:val="2"/>
                <w:highlight w:val="none"/>
                <w:lang w:val="en-US"/>
              </w:rPr>
            </w:pPr>
            <w:r>
              <w:rPr>
                <w:rFonts w:hint="eastAsia" w:ascii="黑体" w:hAnsi="宋体" w:eastAsia="黑体" w:cs="宋体"/>
                <w:b/>
                <w:bCs/>
                <w:color w:val="000000"/>
                <w:kern w:val="2"/>
                <w:sz w:val="21"/>
                <w:szCs w:val="21"/>
                <w:highlight w:val="none"/>
                <w:u w:color="000000"/>
                <w:lang w:val="en-US" w:eastAsia="zh-CN" w:bidi="ar"/>
              </w:rPr>
              <w:t>序号</w:t>
            </w:r>
          </w:p>
        </w:tc>
        <w:tc>
          <w:tcPr>
            <w:tcW w:w="3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kern w:val="2"/>
                <w:highlight w:val="none"/>
                <w:lang w:val="en-US"/>
              </w:rPr>
            </w:pPr>
            <w:r>
              <w:rPr>
                <w:rFonts w:hint="eastAsia" w:ascii="黑体" w:hAnsi="宋体" w:eastAsia="黑体" w:cs="宋体"/>
                <w:b/>
                <w:bCs/>
                <w:color w:val="000000"/>
                <w:kern w:val="2"/>
                <w:sz w:val="21"/>
                <w:szCs w:val="21"/>
                <w:highlight w:val="none"/>
                <w:u w:color="000000"/>
                <w:lang w:val="en-US" w:eastAsia="zh-CN" w:bidi="ar"/>
              </w:rPr>
              <w:t>审查因素</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kern w:val="2"/>
                <w:highlight w:val="none"/>
                <w:lang w:val="en-US"/>
              </w:rPr>
            </w:pPr>
            <w:r>
              <w:rPr>
                <w:rFonts w:hint="eastAsia" w:ascii="黑体" w:hAnsi="宋体" w:eastAsia="黑体" w:cs="宋体"/>
                <w:b/>
                <w:bCs/>
                <w:color w:val="000000"/>
                <w:kern w:val="2"/>
                <w:sz w:val="21"/>
                <w:szCs w:val="21"/>
                <w:highlight w:val="none"/>
                <w:u w:color="000000"/>
                <w:lang w:val="en-US" w:eastAsia="zh-CN" w:bidi="ar"/>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1</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投标文件的有效性</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（1）投标文件签署</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签字、盖章符合要求。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25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（2）投标方案</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（3）报价唯一</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leftChars="0" w:right="0" w:rightChars="0"/>
              <w:jc w:val="both"/>
              <w:rPr>
                <w:rFonts w:hint="default" w:ascii="宋体" w:hAnsi="宋体" w:eastAsia="宋体" w:cs="宋体"/>
                <w:kern w:val="2"/>
                <w:highlight w:val="none"/>
                <w:lang w:val="en-US"/>
              </w:rPr>
            </w:pPr>
            <w:r>
              <w:rPr>
                <w:rFonts w:hint="eastAsia" w:ascii="宋体" w:hAnsi="宋体" w:cs="宋体"/>
                <w:szCs w:val="21"/>
                <w:highlight w:val="none"/>
              </w:rPr>
              <w:t>只能有一个报价</w:t>
            </w:r>
            <w:r>
              <w:rPr>
                <w:rFonts w:hint="eastAsia" w:ascii="宋体" w:hAnsi="宋体" w:eastAsia="宋体" w:cs="仿宋_GB2312"/>
                <w:color w:val="000000"/>
                <w:kern w:val="2"/>
                <w:sz w:val="21"/>
                <w:szCs w:val="21"/>
                <w:highlight w:val="none"/>
                <w:u w:color="00000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5"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25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 xml:space="preserve"> (4) 投标文件的有效期</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3" w:hRule="atLeast"/>
        </w:trPr>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投标文件的完整性</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（5）投标文件份数</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leftChars="0" w:right="0" w:rightChars="0"/>
              <w:jc w:val="both"/>
              <w:rPr>
                <w:rFonts w:hint="eastAsia" w:ascii="黑体" w:hAnsi="宋体" w:eastAsia="黑体" w:cs="宋体"/>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PDF电子投标文件一份。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42"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（6）投标文件形式内容</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leftChars="0" w:right="0" w:rightChars="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投标文件内容清晰、明齐全无遗漏。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right="0"/>
              <w:jc w:val="both"/>
              <w:rPr>
                <w:rFonts w:hint="eastAsia" w:ascii="宋体" w:hAnsi="宋体" w:eastAsia="宋体" w:cs="仿宋_GB2312"/>
                <w:color w:val="0000FF"/>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（7）商务条款响应程度</w:t>
            </w:r>
          </w:p>
        </w:tc>
        <w:tc>
          <w:tcPr>
            <w:tcW w:w="4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仿宋_GB2312"/>
                <w:color w:val="0000FF"/>
                <w:kern w:val="2"/>
                <w:highlight w:val="none"/>
                <w:lang w:val="en-US"/>
              </w:rPr>
            </w:pPr>
            <w:r>
              <w:rPr>
                <w:rFonts w:hint="eastAsia" w:ascii="宋体" w:hAnsi="宋体" w:eastAsia="宋体" w:cs="仿宋_GB2312"/>
                <w:color w:val="000000"/>
                <w:kern w:val="2"/>
                <w:sz w:val="21"/>
                <w:szCs w:val="21"/>
                <w:highlight w:val="none"/>
                <w:u w:color="000000"/>
                <w:lang w:val="en-US" w:eastAsia="zh-CN" w:bidi="ar"/>
              </w:rPr>
              <w:t>响应招标文件要求。</w:t>
            </w:r>
          </w:p>
        </w:tc>
      </w:tr>
    </w:tbl>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4.4只有通过初审的投标人才能进入下一步程序。</w:t>
      </w:r>
    </w:p>
    <w:p>
      <w:pPr>
        <w:widowControl w:val="0"/>
        <w:numPr>
          <w:ilvl w:val="0"/>
          <w:numId w:val="4"/>
        </w:numPr>
        <w:snapToGrid w:val="0"/>
        <w:spacing w:before="156" w:beforeLines="50" w:after="156" w:afterLines="50" w:line="440" w:lineRule="exact"/>
        <w:jc w:val="center"/>
        <w:outlineLvl w:val="1"/>
        <w:rPr>
          <w:rFonts w:hint="eastAsia" w:ascii="宋体"/>
          <w:b/>
          <w:color w:val="auto"/>
          <w:sz w:val="24"/>
          <w:szCs w:val="24"/>
          <w:highlight w:val="none"/>
        </w:rPr>
      </w:pPr>
      <w:bookmarkStart w:id="51" w:name="_Toc22100_WPSOffice_Level2"/>
      <w:bookmarkStart w:id="52" w:name="_Toc831"/>
      <w:r>
        <w:rPr>
          <w:rFonts w:hint="eastAsia" w:ascii="宋体"/>
          <w:b/>
          <w:color w:val="auto"/>
          <w:sz w:val="24"/>
          <w:szCs w:val="24"/>
          <w:highlight w:val="none"/>
        </w:rPr>
        <w:t>投标文件的澄清和补正</w:t>
      </w:r>
      <w:bookmarkEnd w:id="51"/>
      <w:bookmarkEnd w:id="52"/>
    </w:p>
    <w:p>
      <w:pPr>
        <w:widowControl w:val="0"/>
        <w:spacing w:line="44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5.1评审阶段，评委可能会要求有关投标人就其投标书中含义不明确、同类问题表述不一致或者有明显文字和计算错误的内容进行澄清。对不同文字文本投标文件的解释发生异议的，以中文文字文本为准。</w:t>
      </w:r>
    </w:p>
    <w:p>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5.2投标人的澄清、说明或者补正应当采用书面形式，但不得超出投标书的范围或者改变投标书的实质性内容，并由其法定代表人或被授权的代表签字。</w:t>
      </w:r>
    </w:p>
    <w:p>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5.3评委会修正错误的原则：</w:t>
      </w:r>
    </w:p>
    <w:p>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pPr>
        <w:widowControl w:val="0"/>
        <w:spacing w:line="440" w:lineRule="exact"/>
        <w:ind w:firstLine="420" w:firstLineChars="200"/>
        <w:textAlignment w:val="auto"/>
        <w:rPr>
          <w:rFonts w:cs="宋体"/>
          <w:szCs w:val="21"/>
          <w:highlight w:val="none"/>
        </w:rPr>
      </w:pPr>
      <w:r>
        <w:rPr>
          <w:rFonts w:hint="eastAsia" w:asci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p>
      <w:pPr>
        <w:widowControl w:val="0"/>
        <w:numPr>
          <w:ilvl w:val="0"/>
          <w:numId w:val="4"/>
        </w:numPr>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比较与评价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b/>
          <w:szCs w:val="21"/>
          <w:highlight w:val="none"/>
        </w:rPr>
      </w:pPr>
      <w:r>
        <w:rPr>
          <w:rFonts w:hint="eastAsia" w:ascii="宋体" w:hAnsi="宋体"/>
          <w:b/>
          <w:szCs w:val="21"/>
          <w:highlight w:val="none"/>
          <w:lang w:val="en-US" w:eastAsia="zh-CN"/>
        </w:rPr>
        <w:t>6.</w:t>
      </w:r>
      <w:r>
        <w:rPr>
          <w:rFonts w:hint="eastAsia" w:ascii="宋体" w:hAnsi="宋体"/>
          <w:b/>
          <w:szCs w:val="21"/>
          <w:highlight w:val="none"/>
        </w:rPr>
        <w:t>详细评审即</w:t>
      </w:r>
      <w:r>
        <w:rPr>
          <w:rFonts w:ascii="宋体" w:hAnsi="宋体"/>
          <w:b/>
          <w:szCs w:val="21"/>
          <w:highlight w:val="none"/>
        </w:rPr>
        <w:t>按</w:t>
      </w:r>
      <w:r>
        <w:rPr>
          <w:rFonts w:hint="eastAsia" w:ascii="宋体" w:hAnsi="宋体"/>
          <w:b/>
          <w:szCs w:val="21"/>
          <w:highlight w:val="none"/>
          <w:lang w:eastAsia="zh-CN"/>
        </w:rPr>
        <w:t>招标文件</w:t>
      </w:r>
      <w:r>
        <w:rPr>
          <w:rFonts w:ascii="宋体" w:hAnsi="宋体"/>
          <w:b/>
          <w:szCs w:val="21"/>
          <w:highlight w:val="none"/>
        </w:rPr>
        <w:t>中规定的评标方法和标准，</w:t>
      </w:r>
      <w:r>
        <w:rPr>
          <w:rFonts w:hint="eastAsia" w:ascii="宋体" w:hAnsi="宋体"/>
          <w:b/>
          <w:szCs w:val="21"/>
          <w:highlight w:val="none"/>
        </w:rPr>
        <w:t>评标委员会将</w:t>
      </w:r>
      <w:r>
        <w:rPr>
          <w:rFonts w:ascii="宋体" w:hAnsi="宋体"/>
          <w:b/>
          <w:szCs w:val="21"/>
          <w:highlight w:val="none"/>
        </w:rPr>
        <w:t>对</w:t>
      </w:r>
      <w:r>
        <w:rPr>
          <w:rFonts w:hint="eastAsia" w:ascii="宋体" w:hAnsi="宋体"/>
          <w:b/>
          <w:szCs w:val="21"/>
          <w:highlight w:val="none"/>
        </w:rPr>
        <w:t>通过初审</w:t>
      </w:r>
      <w:r>
        <w:rPr>
          <w:rFonts w:ascii="宋体" w:hAnsi="宋体"/>
          <w:b/>
          <w:szCs w:val="21"/>
          <w:highlight w:val="none"/>
        </w:rPr>
        <w:t>的投标</w:t>
      </w:r>
      <w:r>
        <w:rPr>
          <w:rFonts w:hint="eastAsia" w:ascii="宋体" w:hAnsi="宋体"/>
          <w:b/>
          <w:szCs w:val="21"/>
          <w:highlight w:val="none"/>
        </w:rPr>
        <w:t>文件，</w:t>
      </w:r>
      <w:r>
        <w:rPr>
          <w:rFonts w:ascii="宋体" w:hAnsi="宋体"/>
          <w:b/>
          <w:szCs w:val="21"/>
          <w:highlight w:val="none"/>
        </w:rPr>
        <w:t>进行</w:t>
      </w:r>
      <w:r>
        <w:rPr>
          <w:rFonts w:hint="eastAsia" w:ascii="宋体" w:hAnsi="宋体"/>
          <w:b/>
          <w:szCs w:val="21"/>
          <w:highlight w:val="none"/>
          <w:lang w:val="en-US" w:eastAsia="zh-CN"/>
        </w:rPr>
        <w:t>资信</w:t>
      </w:r>
      <w:r>
        <w:rPr>
          <w:rFonts w:hint="eastAsia" w:ascii="宋体" w:hAnsi="宋体"/>
          <w:b/>
          <w:szCs w:val="21"/>
          <w:highlight w:val="none"/>
          <w:lang w:eastAsia="zh-CN"/>
        </w:rPr>
        <w:t>、</w:t>
      </w:r>
      <w:r>
        <w:rPr>
          <w:rFonts w:hint="eastAsia" w:ascii="宋体" w:hAnsi="宋体"/>
          <w:b/>
          <w:szCs w:val="21"/>
          <w:highlight w:val="none"/>
          <w:lang w:val="en-US" w:eastAsia="zh-CN"/>
        </w:rPr>
        <w:t>技术和</w:t>
      </w:r>
      <w:r>
        <w:rPr>
          <w:rFonts w:hint="eastAsia" w:ascii="宋体" w:hAnsi="宋体"/>
          <w:b/>
          <w:szCs w:val="21"/>
          <w:highlight w:val="none"/>
        </w:rPr>
        <w:t>商务</w:t>
      </w:r>
      <w:r>
        <w:rPr>
          <w:rFonts w:hint="eastAsia" w:ascii="宋体" w:hAnsi="宋体"/>
          <w:b/>
          <w:szCs w:val="21"/>
          <w:highlight w:val="none"/>
          <w:lang w:val="en-US" w:eastAsia="zh-CN"/>
        </w:rPr>
        <w:t>部分</w:t>
      </w:r>
      <w:r>
        <w:rPr>
          <w:rFonts w:ascii="宋体" w:hAnsi="宋体"/>
          <w:b/>
          <w:szCs w:val="21"/>
          <w:highlight w:val="none"/>
        </w:rPr>
        <w:t>评估</w:t>
      </w:r>
      <w:r>
        <w:rPr>
          <w:rFonts w:hint="eastAsia" w:ascii="宋体" w:hAnsi="宋体"/>
          <w:b/>
          <w:szCs w:val="21"/>
          <w:highlight w:val="none"/>
        </w:rPr>
        <w:t>、</w:t>
      </w:r>
      <w:r>
        <w:rPr>
          <w:rFonts w:ascii="宋体" w:hAnsi="宋体"/>
          <w:b/>
          <w:szCs w:val="21"/>
          <w:highlight w:val="none"/>
        </w:rPr>
        <w:t>综合比较与评价</w:t>
      </w:r>
      <w:r>
        <w:rPr>
          <w:rFonts w:hint="eastAsia" w:ascii="宋体" w:hAnsi="宋体"/>
          <w:b/>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b/>
          <w:szCs w:val="21"/>
          <w:highlight w:val="none"/>
        </w:rPr>
      </w:pPr>
      <w:r>
        <w:rPr>
          <w:rFonts w:hint="eastAsia" w:ascii="宋体" w:hAnsi="宋体"/>
          <w:b/>
          <w:szCs w:val="21"/>
          <w:highlight w:val="none"/>
          <w:lang w:val="en-US" w:eastAsia="zh-CN"/>
        </w:rPr>
        <w:t>6</w:t>
      </w:r>
      <w:r>
        <w:rPr>
          <w:rFonts w:hint="eastAsia" w:ascii="宋体" w:hAnsi="宋体"/>
          <w:b/>
          <w:szCs w:val="21"/>
          <w:highlight w:val="none"/>
        </w:rPr>
        <w:t>.</w:t>
      </w:r>
      <w:r>
        <w:rPr>
          <w:rFonts w:hint="eastAsia" w:ascii="宋体" w:hAnsi="宋体"/>
          <w:b/>
          <w:szCs w:val="21"/>
          <w:highlight w:val="none"/>
          <w:lang w:val="en-US" w:eastAsia="zh-CN"/>
        </w:rPr>
        <w:t>1资信</w:t>
      </w:r>
      <w:r>
        <w:rPr>
          <w:rFonts w:hint="eastAsia" w:ascii="宋体" w:hAnsi="宋体"/>
          <w:b/>
          <w:szCs w:val="21"/>
          <w:highlight w:val="none"/>
        </w:rPr>
        <w:t>评</w:t>
      </w:r>
      <w:r>
        <w:rPr>
          <w:rFonts w:hint="eastAsia" w:ascii="宋体" w:hAnsi="宋体"/>
          <w:b/>
          <w:szCs w:val="21"/>
          <w:highlight w:val="none"/>
          <w:lang w:val="en-US" w:eastAsia="zh-CN"/>
        </w:rPr>
        <w:t>分</w:t>
      </w:r>
      <w:r>
        <w:rPr>
          <w:rFonts w:hint="eastAsia" w:ascii="宋体" w:hAnsi="宋体"/>
          <w:b/>
          <w:szCs w:val="21"/>
          <w:highlight w:val="none"/>
        </w:rPr>
        <w:t>细则（</w:t>
      </w:r>
      <w:r>
        <w:rPr>
          <w:rFonts w:hint="eastAsia" w:ascii="宋体" w:hAnsi="宋体"/>
          <w:b/>
          <w:szCs w:val="21"/>
          <w:highlight w:val="none"/>
          <w:lang w:val="en-US" w:eastAsia="zh-CN"/>
        </w:rPr>
        <w:t>16</w:t>
      </w:r>
      <w:r>
        <w:rPr>
          <w:rFonts w:hint="eastAsia" w:ascii="宋体" w:hAnsi="宋体"/>
          <w:b/>
          <w:szCs w:val="21"/>
          <w:highlight w:val="none"/>
        </w:rPr>
        <w:t>分）</w:t>
      </w:r>
    </w:p>
    <w:tbl>
      <w:tblPr>
        <w:tblStyle w:val="2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337"/>
        <w:gridCol w:w="782"/>
        <w:gridCol w:w="3707"/>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default" w:ascii="宋体" w:hAnsi="宋体"/>
                <w:b/>
                <w:szCs w:val="21"/>
                <w:highlight w:val="none"/>
              </w:rPr>
            </w:pPr>
            <w:r>
              <w:rPr>
                <w:rFonts w:hint="eastAsia" w:ascii="宋体" w:hAnsi="宋体"/>
                <w:b/>
                <w:szCs w:val="21"/>
                <w:highlight w:val="none"/>
              </w:rPr>
              <w:t>序号</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default" w:ascii="宋体" w:hAnsi="宋体"/>
                <w:b/>
                <w:szCs w:val="21"/>
                <w:highlight w:val="none"/>
              </w:rPr>
            </w:pPr>
            <w:r>
              <w:rPr>
                <w:rFonts w:hint="eastAsia" w:ascii="宋体" w:hAnsi="宋体"/>
                <w:b/>
                <w:szCs w:val="21"/>
                <w:highlight w:val="none"/>
              </w:rPr>
              <w:t>评分因素</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eastAsia" w:ascii="宋体" w:hAnsi="宋体"/>
                <w:b/>
                <w:szCs w:val="21"/>
                <w:highlight w:val="none"/>
                <w:lang w:eastAsia="zh-CN"/>
              </w:rPr>
            </w:pPr>
            <w:r>
              <w:rPr>
                <w:rFonts w:hint="eastAsia" w:ascii="宋体" w:hAnsi="宋体"/>
                <w:b/>
                <w:szCs w:val="21"/>
                <w:highlight w:val="none"/>
                <w:lang w:val="en-US" w:eastAsia="zh-CN"/>
              </w:rPr>
              <w:t>分值</w:t>
            </w:r>
          </w:p>
        </w:tc>
        <w:tc>
          <w:tcPr>
            <w:tcW w:w="3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eastAsia" w:ascii="宋体" w:hAnsi="宋体"/>
                <w:b/>
                <w:szCs w:val="21"/>
                <w:highlight w:val="none"/>
              </w:rPr>
            </w:pPr>
            <w:r>
              <w:rPr>
                <w:rFonts w:hint="eastAsia" w:ascii="宋体" w:hAnsi="宋体"/>
                <w:b/>
                <w:szCs w:val="21"/>
                <w:highlight w:val="none"/>
              </w:rPr>
              <w:t>评审细则</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eastAsia" w:ascii="宋体" w:hAnsi="宋体"/>
                <w:b/>
                <w:szCs w:val="21"/>
                <w:highlight w:val="none"/>
              </w:rPr>
            </w:pPr>
            <w:r>
              <w:rPr>
                <w:rFonts w:hint="eastAsia" w:ascii="宋体" w:hAnsi="宋体"/>
                <w:b/>
                <w:szCs w:val="21"/>
                <w:highlight w:val="none"/>
              </w:rPr>
              <w:t>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34" w:type="dxa"/>
            <w:noWrap w:val="0"/>
            <w:vAlign w:val="center"/>
          </w:tcPr>
          <w:p>
            <w:pPr>
              <w:keepNext w:val="0"/>
              <w:keepLines w:val="0"/>
              <w:pageBreakBefore w:val="0"/>
              <w:widowControl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default" w:ascii="宋体" w:hAnsi="宋体"/>
                <w:szCs w:val="21"/>
                <w:highlight w:val="none"/>
                <w:lang w:val="en-US" w:eastAsia="zh-CN"/>
              </w:rPr>
            </w:pPr>
            <w:r>
              <w:rPr>
                <w:rFonts w:hint="eastAsia" w:ascii="宋体" w:hAnsi="宋体"/>
                <w:szCs w:val="21"/>
                <w:highlight w:val="none"/>
                <w:lang w:val="en-US" w:eastAsia="zh-CN"/>
              </w:rPr>
              <w:t>1</w:t>
            </w:r>
          </w:p>
        </w:tc>
        <w:tc>
          <w:tcPr>
            <w:tcW w:w="133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投标人业绩</w:t>
            </w:r>
          </w:p>
        </w:tc>
        <w:tc>
          <w:tcPr>
            <w:tcW w:w="7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10分</w:t>
            </w:r>
          </w:p>
        </w:tc>
        <w:tc>
          <w:tcPr>
            <w:tcW w:w="37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自2020年1月1日至投标截止时间（以合同签订时间为准），投标人每提供一个完成的车辆排队发运（或矿山发运或骨料加工厂发运）等管理系统业绩的得5分，其他的不得分，本项满分10分。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注：类似业绩：单项系统合同业绩或主合同内包含排队发运管理系统业绩，均予以认可。</w:t>
            </w:r>
          </w:p>
        </w:tc>
        <w:tc>
          <w:tcPr>
            <w:tcW w:w="21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投标文件中须同时提供业绩合同和经甲方盖章的验收证明材料扫描件。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34" w:type="dxa"/>
            <w:noWrap w:val="0"/>
            <w:vAlign w:val="center"/>
          </w:tcPr>
          <w:p>
            <w:pPr>
              <w:keepNext w:val="0"/>
              <w:keepLines w:val="0"/>
              <w:pageBreakBefore w:val="0"/>
              <w:widowControl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default" w:ascii="宋体" w:hAnsi="宋体"/>
                <w:szCs w:val="21"/>
                <w:highlight w:val="none"/>
                <w:lang w:val="en-US" w:eastAsia="zh-CN"/>
              </w:rPr>
            </w:pPr>
            <w:r>
              <w:rPr>
                <w:rFonts w:hint="eastAsia" w:ascii="宋体" w:hAnsi="宋体"/>
                <w:szCs w:val="21"/>
                <w:highlight w:val="none"/>
                <w:lang w:val="en-US" w:eastAsia="zh-CN"/>
              </w:rPr>
              <w:t>2</w:t>
            </w:r>
          </w:p>
        </w:tc>
        <w:tc>
          <w:tcPr>
            <w:tcW w:w="133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企业认证</w:t>
            </w:r>
          </w:p>
        </w:tc>
        <w:tc>
          <w:tcPr>
            <w:tcW w:w="7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6分</w:t>
            </w:r>
          </w:p>
        </w:tc>
        <w:tc>
          <w:tcPr>
            <w:tcW w:w="37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投标人具有经中国国家认证认可监督管理委员会认证机构颁发的有效的质量管理体系认证证书、环境管理体系认证证书、职业健康安全管理体系认证证书，每提供一个证书得2分，本项满分6分。</w:t>
            </w:r>
          </w:p>
        </w:tc>
        <w:tc>
          <w:tcPr>
            <w:tcW w:w="21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投标文件中同时提供证书扫描件及全国认证认可信息公共服务平台官网证书信息查询截图。</w:t>
            </w:r>
          </w:p>
        </w:tc>
      </w:tr>
    </w:tbl>
    <w:p>
      <w:pPr>
        <w:spacing w:line="440" w:lineRule="exact"/>
        <w:ind w:firstLine="422" w:firstLineChars="200"/>
        <w:rPr>
          <w:rFonts w:hint="eastAsia"/>
          <w:highlight w:val="none"/>
          <w:lang w:val="en-US" w:eastAsia="zh-CN"/>
        </w:rPr>
      </w:pPr>
      <w:r>
        <w:rPr>
          <w:rFonts w:hint="eastAsia" w:ascii="Times New Roman" w:hAnsi="Times New Roman" w:eastAsia="宋体" w:cs="Times New Roman"/>
          <w:b/>
          <w:color w:val="000000"/>
          <w:szCs w:val="21"/>
          <w:highlight w:val="none"/>
          <w:lang w:val="en-US" w:eastAsia="zh-CN"/>
        </w:rPr>
        <w:t>注：各投标人资信标总得分为各评委评分的平均值为最终得分。取两位小数，小数点后第三位四舍五入。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b/>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b/>
          <w:szCs w:val="21"/>
          <w:highlight w:val="none"/>
          <w:lang w:val="en-US" w:eastAsia="zh-CN"/>
        </w:rPr>
      </w:pPr>
      <w:r>
        <w:rPr>
          <w:rFonts w:hint="eastAsia" w:ascii="宋体" w:hAnsi="宋体"/>
          <w:b/>
          <w:szCs w:val="21"/>
          <w:highlight w:val="none"/>
          <w:lang w:val="en-US" w:eastAsia="zh-CN"/>
        </w:rPr>
        <w:t>6.2技术标评审细则（20分）</w:t>
      </w:r>
    </w:p>
    <w:tbl>
      <w:tblPr>
        <w:tblStyle w:val="2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45"/>
        <w:gridCol w:w="780"/>
        <w:gridCol w:w="4650"/>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default" w:ascii="宋体" w:hAnsi="宋体"/>
                <w:b/>
                <w:szCs w:val="21"/>
                <w:highlight w:val="none"/>
              </w:rPr>
            </w:pPr>
            <w:r>
              <w:rPr>
                <w:rFonts w:hint="eastAsia" w:ascii="宋体" w:hAnsi="宋体"/>
                <w:b/>
                <w:szCs w:val="21"/>
                <w:highlight w:val="none"/>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default" w:ascii="宋体" w:hAnsi="宋体"/>
                <w:b/>
                <w:szCs w:val="21"/>
                <w:highlight w:val="none"/>
              </w:rPr>
            </w:pPr>
            <w:r>
              <w:rPr>
                <w:rFonts w:hint="eastAsia" w:ascii="宋体" w:hAnsi="宋体"/>
                <w:b/>
                <w:szCs w:val="21"/>
                <w:highlight w:val="none"/>
              </w:rPr>
              <w:t>评分因素</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eastAsia" w:ascii="宋体" w:hAnsi="宋体"/>
                <w:b/>
                <w:szCs w:val="21"/>
                <w:highlight w:val="none"/>
                <w:lang w:eastAsia="zh-CN"/>
              </w:rPr>
            </w:pPr>
            <w:r>
              <w:rPr>
                <w:rFonts w:hint="eastAsia" w:ascii="宋体" w:hAnsi="宋体"/>
                <w:b/>
                <w:szCs w:val="21"/>
                <w:highlight w:val="none"/>
                <w:lang w:val="en-US" w:eastAsia="zh-CN"/>
              </w:rPr>
              <w:t>分值</w:t>
            </w:r>
          </w:p>
        </w:tc>
        <w:tc>
          <w:tcPr>
            <w:tcW w:w="4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eastAsia" w:ascii="宋体" w:hAnsi="宋体"/>
                <w:b/>
                <w:szCs w:val="21"/>
                <w:highlight w:val="none"/>
              </w:rPr>
            </w:pPr>
            <w:r>
              <w:rPr>
                <w:rFonts w:hint="eastAsia" w:ascii="宋体" w:hAnsi="宋体"/>
                <w:b/>
                <w:szCs w:val="21"/>
                <w:highlight w:val="none"/>
              </w:rPr>
              <w:t>评审细则</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right="-21" w:rightChars="-10"/>
              <w:jc w:val="center"/>
              <w:textAlignment w:val="auto"/>
              <w:rPr>
                <w:rFonts w:hint="eastAsia" w:ascii="宋体" w:hAnsi="宋体"/>
                <w:b/>
                <w:szCs w:val="21"/>
                <w:highlight w:val="none"/>
              </w:rPr>
            </w:pPr>
            <w:r>
              <w:rPr>
                <w:rFonts w:hint="eastAsia" w:ascii="宋体" w:hAnsi="宋体"/>
                <w:b/>
                <w:szCs w:val="21"/>
                <w:highlight w:val="none"/>
              </w:rPr>
              <w:t>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eastAsiaTheme="minorEastAsia"/>
                <w:kern w:val="0"/>
                <w:sz w:val="21"/>
                <w:szCs w:val="21"/>
                <w:highlight w:val="none"/>
                <w:lang w:val="en-US" w:eastAsia="zh-CN" w:bidi="ar-SA"/>
              </w:rPr>
            </w:pPr>
            <w:r>
              <w:rPr>
                <w:rFonts w:hint="default" w:ascii="宋体" w:hAnsi="宋体" w:cs="宋体" w:eastAsiaTheme="minorEastAsia"/>
                <w:kern w:val="0"/>
                <w:sz w:val="21"/>
                <w:szCs w:val="21"/>
                <w:highlight w:val="none"/>
                <w:lang w:val="en-US" w:eastAsia="zh-CN" w:bidi="ar-SA"/>
              </w:rPr>
              <w:t>项目建设需求</w:t>
            </w:r>
            <w:r>
              <w:rPr>
                <w:rFonts w:hint="eastAsia" w:ascii="宋体" w:hAnsi="宋体" w:cs="宋体"/>
                <w:kern w:val="0"/>
                <w:sz w:val="21"/>
                <w:szCs w:val="21"/>
                <w:highlight w:val="none"/>
                <w:lang w:val="en-US" w:eastAsia="zh-CN" w:bidi="ar-SA"/>
              </w:rPr>
              <w:t>分析</w:t>
            </w:r>
          </w:p>
        </w:tc>
        <w:tc>
          <w:tcPr>
            <w:tcW w:w="78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eastAsiaTheme="minorEastAsia"/>
                <w:kern w:val="0"/>
                <w:sz w:val="21"/>
                <w:szCs w:val="21"/>
                <w:highlight w:val="none"/>
                <w:lang w:val="en-US" w:eastAsia="zh-CN" w:bidi="ar-SA"/>
              </w:rPr>
            </w:pPr>
            <w:r>
              <w:rPr>
                <w:rFonts w:hint="default" w:ascii="宋体" w:hAnsi="宋体" w:cs="宋体" w:eastAsiaTheme="minorEastAsia"/>
                <w:kern w:val="0"/>
                <w:sz w:val="21"/>
                <w:szCs w:val="21"/>
                <w:highlight w:val="none"/>
                <w:lang w:val="en-US" w:eastAsia="zh-CN" w:bidi="ar-SA"/>
              </w:rPr>
              <w:t>5分</w:t>
            </w:r>
          </w:p>
        </w:tc>
        <w:tc>
          <w:tcPr>
            <w:tcW w:w="46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供应商能够对项目建设需求有深入分析，包括且不限于项目业务需求分析、数据需求分析、性能需求分析、安全需求分析等进行详细阐述。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 xml:space="preserve">（1）对本项目建设需求解分析准确的，分析清晰，完整详细，针对性强的得5分；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 xml:space="preserve">（2）对本项目建设需求理解分析基本准确的，分析合理，较为完整，有针对性的得4分；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 xml:space="preserve">（3）对本项目建设需求理解分析有待提升的，合理性、完整性、针对性有待改善的得3分；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（4）未提供的不得分</w:t>
            </w:r>
          </w:p>
        </w:tc>
        <w:tc>
          <w:tcPr>
            <w:tcW w:w="142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投标文件须能充分有效反映出本评分项内容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eastAsiaTheme="minorEastAsia"/>
                <w:kern w:val="0"/>
                <w:sz w:val="21"/>
                <w:szCs w:val="21"/>
                <w:highlight w:val="none"/>
                <w:lang w:val="en-US" w:eastAsia="zh-CN" w:bidi="ar-SA"/>
              </w:rPr>
            </w:pPr>
            <w:r>
              <w:rPr>
                <w:rFonts w:hint="default" w:ascii="宋体" w:hAnsi="宋体" w:cs="宋体" w:eastAsiaTheme="minorEastAsia"/>
                <w:kern w:val="0"/>
                <w:sz w:val="21"/>
                <w:szCs w:val="21"/>
                <w:highlight w:val="none"/>
                <w:lang w:val="en-US" w:eastAsia="zh-CN" w:bidi="ar-SA"/>
              </w:rPr>
              <w:t>总体设计方案</w:t>
            </w:r>
          </w:p>
        </w:tc>
        <w:tc>
          <w:tcPr>
            <w:tcW w:w="78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eastAsiaTheme="minorEastAsia"/>
                <w:kern w:val="0"/>
                <w:sz w:val="21"/>
                <w:szCs w:val="21"/>
                <w:highlight w:val="none"/>
                <w:lang w:val="en-US" w:eastAsia="zh-CN" w:bidi="ar-SA"/>
              </w:rPr>
            </w:pPr>
            <w:r>
              <w:rPr>
                <w:rFonts w:hint="default" w:ascii="宋体" w:hAnsi="宋体" w:cs="宋体" w:eastAsiaTheme="minorEastAsia"/>
                <w:kern w:val="0"/>
                <w:sz w:val="21"/>
                <w:szCs w:val="21"/>
                <w:highlight w:val="none"/>
                <w:lang w:val="en-US" w:eastAsia="zh-CN" w:bidi="ar-SA"/>
              </w:rPr>
              <w:t>5分</w:t>
            </w:r>
          </w:p>
        </w:tc>
        <w:tc>
          <w:tcPr>
            <w:tcW w:w="46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供应商针对本项目能够提供完善的总体设计方案，包括且不限于总体架构设计、数据架构设计、技术架构设计、部署架构设计、安全架构设计等详细方案。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 xml:space="preserve">（1）对本项目设计理念理解清晰，设计准确，方案优于本项目采购需求，可行性，实用性，针对性强的得5分；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 xml:space="preserve">（2）对本项目设计理念有所理解，设计及方案满足本项目采购需求，具有可行性，实用性，针对性的得4分；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 xml:space="preserve">（3）对本项目设计理念的理解有待提高，设计及方案有待提升，可行性，实用性，针对性有待提高的得3分；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ascii="宋体" w:hAnsi="宋体" w:eastAsia="宋体" w:cs="Times New Roman"/>
                <w:b w:val="0"/>
                <w:bCs w:val="0"/>
                <w:color w:val="auto"/>
                <w:kern w:val="0"/>
                <w:sz w:val="21"/>
                <w:szCs w:val="21"/>
                <w:highlight w:val="none"/>
                <w:u w:val="none" w:color="000000"/>
                <w:lang w:val="en-US" w:eastAsia="zh-CN" w:bidi="ar-SA"/>
              </w:rPr>
            </w:pPr>
            <w:r>
              <w:rPr>
                <w:rFonts w:hint="default" w:ascii="宋体" w:hAnsi="宋体" w:eastAsia="宋体" w:cs="Times New Roman"/>
                <w:b w:val="0"/>
                <w:bCs w:val="0"/>
                <w:color w:val="auto"/>
                <w:kern w:val="0"/>
                <w:sz w:val="21"/>
                <w:szCs w:val="21"/>
                <w:highlight w:val="none"/>
                <w:u w:val="none" w:color="000000"/>
                <w:lang w:val="en-US" w:eastAsia="zh-CN" w:bidi="ar-SA"/>
              </w:rPr>
              <w:t>（4）未提供的不得分</w:t>
            </w:r>
            <w:r>
              <w:rPr>
                <w:rFonts w:hint="eastAsia" w:ascii="宋体" w:hAnsi="宋体" w:eastAsia="宋体" w:cs="Times New Roman"/>
                <w:b w:val="0"/>
                <w:bCs w:val="0"/>
                <w:color w:val="auto"/>
                <w:kern w:val="0"/>
                <w:sz w:val="21"/>
                <w:szCs w:val="21"/>
                <w:highlight w:val="none"/>
                <w:u w:val="none" w:color="000000"/>
                <w:lang w:val="en-US" w:eastAsia="zh-CN" w:bidi="ar-SA"/>
              </w:rPr>
              <w:t>。</w:t>
            </w:r>
          </w:p>
        </w:tc>
        <w:tc>
          <w:tcPr>
            <w:tcW w:w="142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投标文件须能充分有效反映出本评分项内容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eastAsiaTheme="minorEastAsia"/>
                <w:kern w:val="0"/>
                <w:sz w:val="21"/>
                <w:szCs w:val="21"/>
                <w:highlight w:val="none"/>
                <w:lang w:val="en-US" w:eastAsia="zh-CN" w:bidi="ar-SA"/>
              </w:rPr>
            </w:pPr>
            <w:r>
              <w:rPr>
                <w:rFonts w:hint="eastAsia" w:ascii="宋体" w:hAnsi="宋体" w:eastAsia="宋体" w:cs="宋体"/>
                <w:color w:val="auto"/>
                <w:sz w:val="21"/>
                <w:szCs w:val="21"/>
                <w:highlight w:val="none"/>
                <w:lang w:val="en-US" w:bidi="zh-CN"/>
              </w:rPr>
              <w:t>项目实施方案</w:t>
            </w:r>
          </w:p>
        </w:tc>
        <w:tc>
          <w:tcPr>
            <w:tcW w:w="78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eastAsiaTheme="minorEastAsia"/>
                <w:kern w:val="0"/>
                <w:sz w:val="21"/>
                <w:szCs w:val="21"/>
                <w:highlight w:val="none"/>
                <w:lang w:val="en-US" w:eastAsia="zh-CN" w:bidi="ar-SA"/>
              </w:rPr>
            </w:pPr>
            <w:r>
              <w:rPr>
                <w:rFonts w:hint="eastAsia" w:ascii="宋体" w:hAnsi="宋体" w:eastAsia="宋体" w:cs="宋体"/>
                <w:color w:val="auto"/>
                <w:sz w:val="21"/>
                <w:szCs w:val="21"/>
                <w:highlight w:val="none"/>
                <w:lang w:val="en-US" w:bidi="zh-CN"/>
              </w:rPr>
              <w:t>5分</w:t>
            </w:r>
          </w:p>
        </w:tc>
        <w:tc>
          <w:tcPr>
            <w:tcW w:w="46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根据针对本项目的整体实施方案（包括但不限于实施计划，工序和流程，设备安装调试等方案）进行评价。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 xml:space="preserve">（1）对本项目理解准确，项目实施方案优于本项目采购需求，完整详细，软件的兼容性、可行性、实用性、针对性强的得5分；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 xml:space="preserve">(2)对本项目理解有待提高，项目实施方案适合本项目采购需求，内容完整，具有可行性、实用性和针对性，得4分；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(3)对本项目理解有待提升，项目实施方案有待完善，可行性、实用性、针对性有待改善的得3分；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Times New Roman"/>
                <w:b w:val="0"/>
                <w:bCs w:val="0"/>
                <w:color w:val="auto"/>
                <w:kern w:val="0"/>
                <w:sz w:val="21"/>
                <w:szCs w:val="21"/>
                <w:highlight w:val="none"/>
                <w:u w:val="none" w:color="000000"/>
                <w:lang w:val="en-US" w:eastAsia="zh-CN" w:bidi="ar-SA"/>
              </w:rPr>
            </w:pPr>
            <w:r>
              <w:rPr>
                <w:rFonts w:hint="eastAsia" w:ascii="宋体" w:hAnsi="宋体" w:eastAsia="宋体" w:cs="Times New Roman"/>
                <w:b w:val="0"/>
                <w:bCs w:val="0"/>
                <w:color w:val="auto"/>
                <w:kern w:val="0"/>
                <w:szCs w:val="21"/>
                <w:highlight w:val="none"/>
                <w:u w:val="none" w:color="000000"/>
                <w:lang w:val="en-US" w:eastAsia="zh-CN"/>
              </w:rPr>
              <w:t>(4)未提供的不得分。</w:t>
            </w:r>
          </w:p>
        </w:tc>
        <w:tc>
          <w:tcPr>
            <w:tcW w:w="142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Times New Roman"/>
                <w:b w:val="0"/>
                <w:bCs w:val="0"/>
                <w:color w:val="auto"/>
                <w:kern w:val="0"/>
                <w:sz w:val="21"/>
                <w:szCs w:val="21"/>
                <w:highlight w:val="none"/>
                <w:u w:val="none" w:color="000000"/>
                <w:lang w:val="en-US" w:eastAsia="zh-CN" w:bidi="ar-SA"/>
              </w:rPr>
            </w:pPr>
            <w:r>
              <w:rPr>
                <w:rFonts w:hint="eastAsia" w:ascii="宋体" w:hAnsi="宋体" w:eastAsia="宋体" w:cs="宋体"/>
                <w:szCs w:val="21"/>
                <w:highlight w:val="none"/>
                <w:lang w:val="en-US" w:eastAsia="zh-CN"/>
              </w:rPr>
              <w:t>投标文件</w:t>
            </w:r>
            <w:r>
              <w:rPr>
                <w:rFonts w:hint="eastAsia" w:ascii="宋体" w:hAnsi="宋体" w:eastAsia="宋体" w:cs="宋体"/>
                <w:szCs w:val="21"/>
                <w:highlight w:val="none"/>
              </w:rPr>
              <w:t>须能充分有效反映出本评分项内容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Times New Roman"/>
                <w:b w:val="0"/>
                <w:bCs w:val="0"/>
                <w:color w:val="auto"/>
                <w:kern w:val="0"/>
                <w:szCs w:val="21"/>
                <w:highlight w:val="none"/>
                <w:u w:val="none" w:color="000000"/>
                <w:lang w:val="en-US" w:eastAsia="zh-CN"/>
              </w:rPr>
            </w:pPr>
            <w:r>
              <w:rPr>
                <w:rFonts w:hint="eastAsia" w:ascii="宋体" w:hAnsi="宋体" w:eastAsia="宋体" w:cs="Times New Roman"/>
                <w:b w:val="0"/>
                <w:bCs w:val="0"/>
                <w:color w:val="auto"/>
                <w:kern w:val="0"/>
                <w:szCs w:val="21"/>
                <w:highlight w:val="none"/>
                <w:u w:val="none" w:color="000000"/>
                <w:lang w:val="en-US" w:eastAsia="zh-CN"/>
              </w:rPr>
              <w:t>4</w:t>
            </w:r>
          </w:p>
        </w:tc>
        <w:tc>
          <w:tcPr>
            <w:tcW w:w="12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sz w:val="21"/>
                <w:szCs w:val="21"/>
                <w:highlight w:val="none"/>
                <w:lang w:val="en-US" w:bidi="zh-CN"/>
              </w:rPr>
              <w:t>售后服务方案</w:t>
            </w:r>
          </w:p>
        </w:tc>
        <w:tc>
          <w:tcPr>
            <w:tcW w:w="7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sz w:val="21"/>
                <w:szCs w:val="21"/>
                <w:highlight w:val="none"/>
                <w:lang w:val="en-US" w:bidi="zh-CN"/>
              </w:rPr>
              <w:t>5分</w:t>
            </w:r>
          </w:p>
        </w:tc>
        <w:tc>
          <w:tcPr>
            <w:tcW w:w="46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highlight w:val="none"/>
                <w:lang w:val="en-US" w:eastAsia="zh-CN"/>
              </w:rPr>
            </w:pPr>
            <w:r>
              <w:rPr>
                <w:rFonts w:hint="eastAsia"/>
                <w:highlight w:val="none"/>
                <w:lang w:val="en-US" w:eastAsia="zh-CN"/>
              </w:rPr>
              <w:t>投标人提供完善、合理的售后服务计划，并对质保期内、外服务作出承诺，综合评分：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highlight w:val="none"/>
                <w:lang w:val="en-US" w:eastAsia="zh-CN"/>
              </w:rPr>
            </w:pPr>
            <w:r>
              <w:rPr>
                <w:rFonts w:hint="eastAsia"/>
                <w:highlight w:val="none"/>
                <w:lang w:val="en-US" w:eastAsia="zh-CN"/>
              </w:rPr>
              <w:t xml:space="preserve">（1）售后服务方案优于本项目采购需求，完整详细，可行性、实用性、针对性强的得5分；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highlight w:val="none"/>
                <w:lang w:val="en-US" w:eastAsia="zh-CN"/>
              </w:rPr>
            </w:pPr>
            <w:r>
              <w:rPr>
                <w:rFonts w:hint="eastAsia"/>
                <w:highlight w:val="none"/>
                <w:lang w:val="en-US" w:eastAsia="zh-CN"/>
              </w:rPr>
              <w:t xml:space="preserve">（2）售后服务方案适合本项目采购需求，内容完整，具有可行性、实用性和针对性，得4分；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highlight w:val="none"/>
                <w:lang w:val="en-US" w:eastAsia="zh-CN"/>
              </w:rPr>
            </w:pPr>
            <w:r>
              <w:rPr>
                <w:rFonts w:hint="eastAsia"/>
                <w:highlight w:val="none"/>
                <w:lang w:val="en-US" w:eastAsia="zh-CN"/>
              </w:rPr>
              <w:t>（3）售后服务方案有待完善，可行性、实用性、针对性有待改善的得3分；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color w:val="auto"/>
                <w:spacing w:val="0"/>
                <w:kern w:val="2"/>
                <w:sz w:val="21"/>
                <w:szCs w:val="21"/>
                <w:highlight w:val="none"/>
                <w:lang w:val="en-US" w:eastAsia="zh-CN" w:bidi="ar-SA"/>
              </w:rPr>
            </w:pPr>
            <w:r>
              <w:rPr>
                <w:rFonts w:hint="eastAsia"/>
                <w:highlight w:val="none"/>
                <w:lang w:val="en-US" w:eastAsia="zh-CN"/>
              </w:rPr>
              <w:t>（4）未提供的不得分。</w:t>
            </w:r>
          </w:p>
        </w:tc>
        <w:tc>
          <w:tcPr>
            <w:tcW w:w="1422" w:type="dxa"/>
            <w:noWrap w:val="0"/>
            <w:vAlign w:val="center"/>
          </w:tcPr>
          <w:p>
            <w:pPr>
              <w:keepNext w:val="0"/>
              <w:keepLines w:val="0"/>
              <w:pageBreakBefore w:val="0"/>
              <w:suppressLineNumbers w:val="0"/>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before="0" w:beforeAutospacing="0" w:after="0" w:afterAutospacing="0" w:line="440" w:lineRule="exact"/>
              <w:ind w:left="0" w:leftChars="0" w:right="-21" w:rightChars="-1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投标文件须能充分有效反映出本评分项内容</w:t>
            </w:r>
          </w:p>
        </w:tc>
      </w:tr>
    </w:tbl>
    <w:p>
      <w:pPr>
        <w:spacing w:line="440" w:lineRule="exact"/>
        <w:ind w:firstLine="422" w:firstLineChars="200"/>
        <w:rPr>
          <w:rFonts w:hint="eastAsia" w:ascii="宋体" w:hAnsi="宋体"/>
          <w:b/>
          <w:szCs w:val="21"/>
          <w:highlight w:val="none"/>
          <w:lang w:val="en-US" w:eastAsia="zh-CN"/>
        </w:rPr>
      </w:pPr>
      <w:r>
        <w:rPr>
          <w:rFonts w:hint="eastAsia" w:ascii="Times New Roman" w:hAnsi="Times New Roman" w:eastAsia="宋体" w:cs="Times New Roman"/>
          <w:b/>
          <w:color w:val="000000"/>
          <w:szCs w:val="21"/>
          <w:highlight w:val="none"/>
          <w:lang w:val="en-US" w:eastAsia="zh-CN"/>
        </w:rPr>
        <w:t>注：各投标人技术标总得分为各评委评分的平均值为最终得分。取两位小数，小数点后第三位四舍五入。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b/>
          <w:szCs w:val="21"/>
          <w:highlight w:val="none"/>
        </w:rPr>
      </w:pPr>
      <w:r>
        <w:rPr>
          <w:rFonts w:hint="eastAsia" w:ascii="宋体" w:hAnsi="宋体"/>
          <w:b/>
          <w:szCs w:val="21"/>
          <w:highlight w:val="none"/>
          <w:lang w:val="en-US" w:eastAsia="zh-CN"/>
        </w:rPr>
        <w:t>6.3</w:t>
      </w:r>
      <w:r>
        <w:rPr>
          <w:rFonts w:hint="eastAsia" w:ascii="宋体" w:hAnsi="宋体"/>
          <w:b/>
          <w:szCs w:val="21"/>
          <w:highlight w:val="none"/>
        </w:rPr>
        <w:t>商务标评审细则</w:t>
      </w:r>
      <w:r>
        <w:rPr>
          <w:rFonts w:hint="eastAsia" w:ascii="宋体" w:hAnsi="宋体"/>
          <w:b/>
          <w:szCs w:val="21"/>
          <w:highlight w:val="none"/>
          <w:lang w:eastAsia="zh-CN"/>
        </w:rPr>
        <w:t>（</w:t>
      </w:r>
      <w:r>
        <w:rPr>
          <w:rFonts w:hint="eastAsia" w:ascii="宋体" w:hAnsi="宋体"/>
          <w:b/>
          <w:szCs w:val="21"/>
          <w:highlight w:val="none"/>
          <w:lang w:val="en-US" w:eastAsia="zh-CN"/>
        </w:rPr>
        <w:t>64</w:t>
      </w:r>
      <w:r>
        <w:rPr>
          <w:rFonts w:hint="eastAsia" w:ascii="宋体" w:hAnsi="宋体"/>
          <w:b/>
          <w:szCs w:val="21"/>
          <w:highlight w:val="none"/>
        </w:rPr>
        <w:t>分</w:t>
      </w:r>
      <w:r>
        <w:rPr>
          <w:rFonts w:hint="eastAsia" w:ascii="宋体" w:hAnsi="宋体"/>
          <w:b/>
          <w:szCs w:val="21"/>
          <w:highlight w:val="none"/>
          <w:lang w:eastAsia="zh-CN"/>
        </w:rPr>
        <w:t>）</w:t>
      </w:r>
    </w:p>
    <w:tbl>
      <w:tblPr>
        <w:tblStyle w:val="24"/>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134"/>
        <w:gridCol w:w="850"/>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2"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cs="宋体"/>
                <w:sz w:val="20"/>
                <w:highlight w:val="none"/>
              </w:rPr>
            </w:pPr>
            <w:r>
              <w:rPr>
                <w:rFonts w:hint="eastAsia" w:ascii="宋体" w:cs="宋体"/>
                <w:sz w:val="20"/>
                <w:highlight w:val="none"/>
              </w:rPr>
              <w:t>序号</w:t>
            </w:r>
          </w:p>
        </w:tc>
        <w:tc>
          <w:tcPr>
            <w:tcW w:w="1134" w:type="dxa"/>
            <w:noWrap w:val="0"/>
            <w:vAlign w:val="center"/>
          </w:tcPr>
          <w:p>
            <w:pPr>
              <w:keepNext w:val="0"/>
              <w:keepLines w:val="0"/>
              <w:suppressLineNumbers w:val="0"/>
              <w:spacing w:before="0" w:beforeAutospacing="0" w:after="0" w:afterAutospacing="0" w:line="440" w:lineRule="exact"/>
              <w:ind w:left="0" w:right="0"/>
              <w:rPr>
                <w:rFonts w:hint="default" w:ascii="宋体" w:cs="宋体"/>
                <w:sz w:val="20"/>
                <w:highlight w:val="none"/>
              </w:rPr>
            </w:pPr>
            <w:r>
              <w:rPr>
                <w:rFonts w:hint="eastAsia" w:ascii="宋体" w:cs="宋体"/>
                <w:sz w:val="20"/>
                <w:highlight w:val="none"/>
              </w:rPr>
              <w:t>评分因素</w:t>
            </w:r>
          </w:p>
        </w:tc>
        <w:tc>
          <w:tcPr>
            <w:tcW w:w="850" w:type="dxa"/>
            <w:noWrap w:val="0"/>
            <w:vAlign w:val="center"/>
          </w:tcPr>
          <w:p>
            <w:pPr>
              <w:keepNext w:val="0"/>
              <w:keepLines w:val="0"/>
              <w:suppressLineNumbers w:val="0"/>
              <w:spacing w:before="0" w:beforeAutospacing="0" w:after="0" w:afterAutospacing="0" w:line="440" w:lineRule="exact"/>
              <w:ind w:left="0" w:right="0"/>
              <w:rPr>
                <w:rFonts w:hint="default" w:ascii="宋体" w:cs="宋体"/>
                <w:sz w:val="20"/>
                <w:highlight w:val="none"/>
              </w:rPr>
            </w:pPr>
            <w:r>
              <w:rPr>
                <w:rFonts w:hint="eastAsia" w:ascii="宋体" w:cs="宋体"/>
                <w:sz w:val="20"/>
                <w:highlight w:val="none"/>
              </w:rPr>
              <w:t>分值</w:t>
            </w:r>
          </w:p>
        </w:tc>
        <w:tc>
          <w:tcPr>
            <w:tcW w:w="5845"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cs="宋体"/>
                <w:sz w:val="20"/>
                <w:highlight w:val="none"/>
              </w:rPr>
            </w:pPr>
            <w:r>
              <w:rPr>
                <w:rFonts w:hint="eastAsia" w:ascii="宋体" w:cs="宋体"/>
                <w:sz w:val="20"/>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134"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投标报价</w:t>
            </w:r>
          </w:p>
        </w:tc>
        <w:tc>
          <w:tcPr>
            <w:tcW w:w="85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64分</w:t>
            </w:r>
          </w:p>
        </w:tc>
        <w:tc>
          <w:tcPr>
            <w:tcW w:w="5845" w:type="dxa"/>
            <w:noWrap w:val="0"/>
            <w:vAlign w:val="center"/>
          </w:tcPr>
          <w:p>
            <w:pPr>
              <w:pStyle w:val="23"/>
              <w:numPr>
                <w:ilvl w:val="0"/>
                <w:numId w:val="0"/>
              </w:numPr>
              <w:ind w:leftChars="0"/>
              <w:rPr>
                <w:color w:val="auto"/>
                <w:highlight w:val="none"/>
              </w:rPr>
            </w:pPr>
            <w:r>
              <w:rPr>
                <w:color w:val="auto"/>
                <w:highlight w:val="none"/>
              </w:rPr>
              <w:t>评标基准价为有效投标人报价最低值</w:t>
            </w:r>
            <w:r>
              <w:rPr>
                <w:rFonts w:hint="eastAsia"/>
                <w:color w:val="auto"/>
                <w:highlight w:val="none"/>
              </w:rPr>
              <w:t>。</w:t>
            </w:r>
          </w:p>
          <w:p>
            <w:pPr>
              <w:pStyle w:val="23"/>
              <w:keepNext w:val="0"/>
              <w:keepLines w:val="0"/>
              <w:pageBreakBefore w:val="0"/>
              <w:widowControl/>
              <w:kinsoku/>
              <w:wordWrap/>
              <w:overflowPunct/>
              <w:topLinePunct w:val="0"/>
              <w:autoSpaceDE/>
              <w:autoSpaceDN/>
              <w:bidi w:val="0"/>
              <w:adjustRightInd/>
              <w:snapToGrid/>
              <w:spacing w:after="0" w:line="440" w:lineRule="exact"/>
              <w:ind w:left="0" w:leftChars="0" w:firstLine="0" w:firstLineChars="0"/>
              <w:jc w:val="both"/>
              <w:textAlignment w:val="auto"/>
              <w:rPr>
                <w:rFonts w:hint="eastAsia"/>
                <w:highlight w:val="none"/>
                <w:lang w:val="en-US" w:eastAsia="zh-CN"/>
              </w:rPr>
            </w:pPr>
            <w:r>
              <w:rPr>
                <w:rFonts w:hint="eastAsia" w:ascii="Times New Roman" w:hAnsi="Times New Roman" w:eastAsia="宋体" w:cs="Times New Roman"/>
                <w:color w:val="auto"/>
                <w:highlight w:val="none"/>
              </w:rPr>
              <w:t>各投标人的投标总价与评标基准值相比，相同的得</w:t>
            </w:r>
            <w:r>
              <w:rPr>
                <w:rFonts w:hint="eastAsia" w:ascii="Times New Roman" w:hAnsi="Times New Roman" w:eastAsia="宋体" w:cs="Times New Roman"/>
                <w:color w:val="auto"/>
                <w:highlight w:val="none"/>
                <w:lang w:val="en-US" w:eastAsia="zh-CN"/>
              </w:rPr>
              <w:t>6</w:t>
            </w:r>
            <w:r>
              <w:rPr>
                <w:rFonts w:hint="eastAsia" w:cs="Times New Roman"/>
                <w:color w:val="auto"/>
                <w:highlight w:val="none"/>
                <w:lang w:val="en-US" w:eastAsia="zh-CN"/>
              </w:rPr>
              <w:t>4</w:t>
            </w:r>
            <w:r>
              <w:rPr>
                <w:rFonts w:hint="eastAsia" w:ascii="Times New Roman" w:hAnsi="Times New Roman" w:eastAsia="宋体" w:cs="Times New Roman"/>
                <w:color w:val="auto"/>
                <w:highlight w:val="none"/>
              </w:rPr>
              <w:t>分，每增加1%扣</w:t>
            </w:r>
            <w:r>
              <w:rPr>
                <w:rFonts w:hint="eastAsia" w:ascii="Times New Roman" w:hAnsi="Times New Roman" w:eastAsia="宋体" w:cs="Times New Roman"/>
                <w:color w:val="auto"/>
                <w:highlight w:val="none"/>
                <w:lang w:val="en-US" w:eastAsia="zh-CN"/>
              </w:rPr>
              <w:t>0.</w:t>
            </w:r>
            <w:r>
              <w:rPr>
                <w:rFonts w:hint="eastAsia" w:cs="Times New Roman"/>
                <w:color w:val="auto"/>
                <w:highlight w:val="none"/>
                <w:lang w:val="en-US" w:eastAsia="zh-CN"/>
              </w:rPr>
              <w:t>4</w:t>
            </w:r>
            <w:r>
              <w:rPr>
                <w:rFonts w:hint="eastAsia" w:ascii="Times New Roman" w:hAnsi="Times New Roman" w:eastAsia="宋体" w:cs="Times New Roman"/>
                <w:color w:val="auto"/>
                <w:highlight w:val="none"/>
              </w:rPr>
              <w:t>分，</w:t>
            </w:r>
            <w:r>
              <w:rPr>
                <w:rFonts w:hint="eastAsia" w:ascii="Times New Roman" w:hAnsi="Times New Roman" w:eastAsia="宋体" w:cs="Times New Roman"/>
                <w:color w:val="auto"/>
                <w:highlight w:val="none"/>
                <w:lang w:val="en-US" w:eastAsia="zh-CN"/>
              </w:rPr>
              <w:t>扣完为止；</w:t>
            </w:r>
            <w:r>
              <w:rPr>
                <w:rFonts w:hint="eastAsia" w:ascii="Times New Roman" w:hAnsi="Times New Roman" w:eastAsia="宋体" w:cs="Times New Roman"/>
                <w:color w:val="auto"/>
                <w:highlight w:val="none"/>
              </w:rPr>
              <w:t>不足1%时按插入法计算，在计算得分时，取两位小数，小数点后第三位四舍五入。</w:t>
            </w:r>
          </w:p>
        </w:tc>
      </w:tr>
    </w:tbl>
    <w:p>
      <w:pPr>
        <w:spacing w:line="440" w:lineRule="exact"/>
        <w:ind w:firstLine="422" w:firstLineChars="200"/>
        <w:rPr>
          <w:rFonts w:hint="eastAsia" w:ascii="Times New Roman" w:hAnsi="Times New Roman" w:eastAsia="宋体" w:cs="Times New Roman"/>
          <w:b/>
          <w:color w:val="000000"/>
          <w:szCs w:val="21"/>
          <w:highlight w:val="none"/>
          <w:lang w:val="en-US" w:eastAsia="zh-CN"/>
        </w:rPr>
      </w:pPr>
      <w:r>
        <w:rPr>
          <w:rFonts w:hint="eastAsia" w:ascii="Times New Roman" w:hAnsi="Times New Roman" w:eastAsia="宋体" w:cs="Times New Roman"/>
          <w:b/>
          <w:color w:val="000000"/>
          <w:szCs w:val="21"/>
          <w:highlight w:val="none"/>
          <w:lang w:val="en-US" w:eastAsia="zh-CN"/>
        </w:rPr>
        <w:t>特别说明：</w:t>
      </w:r>
    </w:p>
    <w:p>
      <w:pPr>
        <w:spacing w:line="440" w:lineRule="exact"/>
        <w:ind w:firstLine="422" w:firstLineChars="200"/>
        <w:rPr>
          <w:rFonts w:hint="eastAsia" w:ascii="Times New Roman" w:hAnsi="Times New Roman" w:eastAsia="宋体" w:cs="Times New Roman"/>
          <w:b/>
          <w:color w:val="000000"/>
          <w:szCs w:val="21"/>
          <w:highlight w:val="none"/>
          <w:lang w:val="en-US" w:eastAsia="zh-CN"/>
        </w:rPr>
      </w:pPr>
      <w:r>
        <w:rPr>
          <w:rFonts w:hint="eastAsia" w:ascii="Times New Roman" w:hAnsi="Times New Roman" w:eastAsia="宋体" w:cs="Times New Roman"/>
          <w:b/>
          <w:color w:val="000000"/>
          <w:szCs w:val="21"/>
          <w:highlight w:val="none"/>
          <w:lang w:val="en-US" w:eastAsia="zh-CN"/>
        </w:rPr>
        <w:t>1.评标专家检验电子投标文件的上述材料，如果由于投标人自身原因导致评标专家无法查看并检验电子投标文件中以上相关资料的，后果有投标人自行承担。</w:t>
      </w:r>
    </w:p>
    <w:p>
      <w:pPr>
        <w:spacing w:line="440" w:lineRule="exact"/>
        <w:ind w:firstLine="422" w:firstLineChars="200"/>
        <w:rPr>
          <w:rFonts w:hint="eastAsia" w:ascii="Times New Roman" w:hAnsi="Times New Roman" w:eastAsia="宋体" w:cs="Times New Roman"/>
          <w:b/>
          <w:color w:val="000000"/>
          <w:szCs w:val="21"/>
          <w:highlight w:val="none"/>
          <w:lang w:val="en-US" w:eastAsia="zh-CN"/>
        </w:rPr>
      </w:pPr>
      <w:r>
        <w:rPr>
          <w:rFonts w:hint="eastAsia" w:ascii="Times New Roman" w:hAnsi="Times New Roman" w:eastAsia="宋体" w:cs="Times New Roman"/>
          <w:b/>
          <w:color w:val="000000"/>
          <w:szCs w:val="21"/>
          <w:highlight w:val="none"/>
          <w:lang w:val="en-US" w:eastAsia="zh-CN"/>
        </w:rPr>
        <w:t>2.以上分值均保留二位小数，小数点后第三位四舍五入。</w:t>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000000"/>
          <w:kern w:val="0"/>
          <w:sz w:val="24"/>
          <w:szCs w:val="24"/>
          <w:highlight w:val="none"/>
          <w:u w:color="000000"/>
          <w:lang w:val="en-US" w:eastAsia="zh-CN" w:bidi="ar"/>
        </w:rPr>
      </w:pPr>
      <w:bookmarkStart w:id="53" w:name="_Toc95223438"/>
      <w:r>
        <w:rPr>
          <w:rFonts w:hint="eastAsia" w:ascii="宋体" w:hAnsi="宋体" w:eastAsia="宋体" w:cs="宋体"/>
          <w:b/>
          <w:bCs w:val="0"/>
          <w:color w:val="000000"/>
          <w:kern w:val="0"/>
          <w:sz w:val="24"/>
          <w:szCs w:val="24"/>
          <w:highlight w:val="none"/>
          <w:u w:color="000000"/>
          <w:lang w:val="en-US" w:eastAsia="zh-CN" w:bidi="ar"/>
        </w:rPr>
        <w:t>五、推荐中标候选人</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7.评标委员会按资信标、技术标和商务标得分之和，从高到低按顺序推荐3名中标候选人。</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7.1如综合评分相等，以投标报价低的优先，投标报价仍相等，由招标人随机抽取确定排名。</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8.无效投标条款</w:t>
      </w:r>
      <w:bookmarkEnd w:id="53"/>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8.1投标人存在下列情形的招标人将拒收投标文件：</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 未在投标截止时间前通过电子邮箱递交有效电子投标文件的，投标将被拒绝。</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8.2其他无效投标情况：</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（2）投标人有串通投标、视为串通投标、弄虚作假、行贿等违法行为。</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（3）投标文件没有对招标文件的实质性要求和条件作出响应。</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（4）未按规定的格式填写导致实质性内容不全以及实质上不响应，或者关键字迹模糊、无法辨认；经公共资源交易监督部门核准的。</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（5）同一投标人提交两个以上不同的投标文件或者投标报价，但招标文件规定提交备选投标的除外。</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（6）投标文件中存在招标人不能接受的其他实质性条件。</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（7）投标人拒不按照要求对投标文件进行澄清、说明、补正的，或评标委员会根据招标文件的规定对招标文件的计算错误进行修正后，投标人不接受修正的投标报价的。</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（8）投标人单方面出现其他投标人材料。</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（9）法律、法规规定的其他情形。</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9.投标文件的澄清和补正</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9.2澄清、说明和补正不得改变投标文件的实质性内容（算术性错误修正的除外）。投标人的书面澄清、说明和补正属于投标文件的组成部分。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9.3评标委员会对投标人提交的澄清、说明和补正有疑问的，可以要求投标人进一步澄清、说明或补正、直至满足评标委员会的要求。</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按照投标文件规定进行澄清、补正后的投标报价经投标人的法定代表人或其委托代理人确认后即为该投标人的最终投标报价。投标人一旦中标，此报价即为中标价。</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9.4评委会修正错误的原则：</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9.4.1如果数字表示的金额和用文字表示的金额不一致时，以文字表示的金额为准；当投标数量与招标数量不一致时，以招标数量为准；当分项报价清单、投标函的总报价与开标一览表不一致时，以开标一览表为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9.4.2如果单价与数量的乘积和总价不一致，以单价为准，修正总价及开标一览表；当单价小数点有明显的错位时，评委会将以总价为准，并修正其单价；投标的数量与招标的数量不一致时，以招标数量为准。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bookmarkStart w:id="54" w:name="_Toc95223440"/>
      <w:r>
        <w:rPr>
          <w:rFonts w:hint="eastAsia" w:ascii="宋体"/>
          <w:color w:val="auto"/>
          <w:szCs w:val="21"/>
          <w:highlight w:val="none"/>
          <w:lang w:val="en-US" w:eastAsia="zh-CN"/>
        </w:rPr>
        <w:t>10.评分标准</w:t>
      </w:r>
      <w:bookmarkEnd w:id="54"/>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10.1评分标准：见资信、技术、商务评分表。</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11.评审结果</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11.1评标委员会按照总得分由高到低顺序推荐中标候选人。</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11.2评标委员会完成评标后，应当向招标人提交书面评标报告。评标报告应当如实记载以下内容：</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（1）基本情况和数据表。</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（2）评标委员会成员名单。</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（3）开标记录。</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（4）符合要求的投标人一览表。</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（5）否决投标情况说明。</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（6）评标标准、评标方法或者评标因素。</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（7）评标情况一览表。</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（8）经评审的投标人排序。</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（9）推荐的中标候选人名单与签订合同前要处理的事宜。</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（10）澄清、说明、补正事项纪要。</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12.其他</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投标人提供的与投标文件有关的各类证书、证明、文件、资料等的真实性、合法性由投标人负全责。</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440" w:lineRule="exact"/>
        <w:jc w:val="center"/>
        <w:textAlignment w:val="auto"/>
        <w:outlineLvl w:val="0"/>
        <w:rPr>
          <w:rFonts w:hint="eastAsia" w:eastAsiaTheme="minorEastAsia"/>
          <w:highlight w:val="none"/>
          <w:lang w:eastAsia="zh-CN"/>
        </w:rPr>
      </w:pPr>
      <w:r>
        <w:rPr>
          <w:rFonts w:hint="eastAsia" w:ascii="宋体" w:hAnsi="宋体" w:eastAsia="宋体" w:cs="Times New Roman"/>
          <w:b/>
          <w:bCs/>
          <w:color w:val="000000"/>
          <w:kern w:val="0"/>
          <w:sz w:val="28"/>
          <w:szCs w:val="28"/>
          <w:highlight w:val="none"/>
          <w:lang w:val="en-US" w:eastAsia="zh-CN" w:bidi="ar"/>
        </w:rPr>
        <w:br w:type="page"/>
      </w:r>
      <w:bookmarkStart w:id="55" w:name="_Toc6175"/>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四</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采购需求</w:t>
      </w:r>
      <w:bookmarkEnd w:id="55"/>
    </w:p>
    <w:p>
      <w:pPr>
        <w:pStyle w:val="4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一、项目</w:t>
      </w:r>
      <w:r>
        <w:rPr>
          <w:rFonts w:hint="eastAsia" w:ascii="宋体" w:hAnsi="宋体" w:eastAsia="宋体" w:cs="宋体"/>
          <w:b/>
          <w:sz w:val="21"/>
          <w:szCs w:val="21"/>
          <w:highlight w:val="none"/>
        </w:rPr>
        <w:t>概况</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本项目位于安徽省全椒县六镇镇马塘湖矿山，所属滁州市兴全矿业投资有限公司投资开发。兴全矿业骨料加工项目已全面建成投产，日均产能不低于1.5万吨，成品骨料销售稳步进行。加工厂搭载了智能发运系统，利用智能称重系统（</w:t>
      </w:r>
      <w:r>
        <w:rPr>
          <w:rFonts w:hint="eastAsia" w:ascii="宋体" w:hAnsi="宋体" w:eastAsia="宋体" w:cs="宋体"/>
          <w:b/>
          <w:bCs/>
          <w:color w:val="000000"/>
          <w:sz w:val="21"/>
          <w:szCs w:val="21"/>
          <w:highlight w:val="none"/>
          <w:lang w:val="en-US" w:eastAsia="zh-CN"/>
        </w:rPr>
        <w:t>注：该系统实现车辆通过门禁识别进入后，自动装料、智能称重、扫描离场等内容</w:t>
      </w:r>
      <w:r>
        <w:rPr>
          <w:rFonts w:hint="eastAsia" w:ascii="宋体" w:hAnsi="宋体" w:eastAsia="宋体" w:cs="宋体"/>
          <w:color w:val="000000"/>
          <w:sz w:val="21"/>
          <w:szCs w:val="21"/>
          <w:highlight w:val="none"/>
          <w:lang w:val="en-US" w:eastAsia="zh-CN"/>
        </w:rPr>
        <w:t>）及客商管理平台（</w:t>
      </w:r>
      <w:r>
        <w:rPr>
          <w:rFonts w:hint="eastAsia" w:ascii="宋体" w:hAnsi="宋体" w:eastAsia="宋体" w:cs="宋体"/>
          <w:b/>
          <w:bCs/>
          <w:color w:val="000000"/>
          <w:sz w:val="21"/>
          <w:szCs w:val="21"/>
          <w:highlight w:val="none"/>
          <w:lang w:val="en-US" w:eastAsia="zh-CN"/>
        </w:rPr>
        <w:t>注：该平台有客户下单及收款管理、派车称重管理、报表查询、统计分析等功能，与智能称重系统数据连接</w:t>
      </w:r>
      <w:r>
        <w:rPr>
          <w:rFonts w:hint="eastAsia" w:ascii="宋体" w:hAnsi="宋体" w:eastAsia="宋体" w:cs="宋体"/>
          <w:color w:val="000000"/>
          <w:sz w:val="21"/>
          <w:szCs w:val="21"/>
          <w:highlight w:val="none"/>
          <w:lang w:val="en-US" w:eastAsia="zh-CN"/>
        </w:rPr>
        <w:t>），实现了智能称重过磅。现通过公开招投标，采购加工厂区智能排队管理系统。发包内容包括车辆排队服务管理软件开发、移动端管理软件、系统调试管理等。实现排队预约、人脸签到、车辆定位（2KM范围）、车辆序列管理、排队消息推送、排队信息查询、发运系统端口接入等功能。</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二、服务需求</w:t>
      </w:r>
    </w:p>
    <w:p>
      <w:pPr>
        <w:pStyle w:val="22"/>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1、为解决项目发运过程中车辆插队、门口堵车问题需要建设排队管理系统；</w:t>
      </w:r>
    </w:p>
    <w:p>
      <w:pPr>
        <w:pStyle w:val="22"/>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2、排队系统求嵌入现有客商管理平台；</w:t>
      </w:r>
    </w:p>
    <w:p>
      <w:pPr>
        <w:pStyle w:val="22"/>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3、排队系统要求使用移动端进行排队，车辆在原客商管理平台预约后进入厂区指定范围（暂定方圆2KM）后可以在移动端进行签到并进入排队序列；</w:t>
      </w:r>
    </w:p>
    <w:p>
      <w:pPr>
        <w:pStyle w:val="22"/>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4、为解决他人代为签到漏洞，系统要求司机在签到时需要与客商平台中绑定的司机身份信息进行人脸识别与照片比较判断是否为司机本人操作；</w:t>
      </w:r>
    </w:p>
    <w:p>
      <w:pPr>
        <w:pStyle w:val="22"/>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5、司机排队过程中系统需要根据厂内车辆数量以及当天车辆发运速度预估计司机需要等待时间；</w:t>
      </w:r>
    </w:p>
    <w:p>
      <w:pPr>
        <w:pStyle w:val="22"/>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6、车辆排队时司机可以移动端时间查询当前的排队位置，并在有车辆出厂时呼叫一下车辆进厂；</w:t>
      </w:r>
    </w:p>
    <w:p>
      <w:pPr>
        <w:pStyle w:val="22"/>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7、根据现场实际情况当某个车辆有紧急情况需要插队时，管理员可以将该车辆手工调整排队顺序将其插队到第一位；</w:t>
      </w:r>
    </w:p>
    <w:p>
      <w:pPr>
        <w:pStyle w:val="22"/>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8、因现场可能某种物料无库存系统可由管理员暂停该品类的车辆进厂；</w:t>
      </w:r>
    </w:p>
    <w:p>
      <w:pPr>
        <w:pStyle w:val="22"/>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9、排队系统需要与现场门禁系统联动实时反应车辆的进出厂情况；</w:t>
      </w:r>
    </w:p>
    <w:p>
      <w:pPr>
        <w:pStyle w:val="22"/>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10、为方便管理需要将已签到的车辆数量进行分类统计并显示于原客商管理平台；</w:t>
      </w:r>
    </w:p>
    <w:p>
      <w:pPr>
        <w:pStyle w:val="22"/>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default"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11、开发的排队管理系统，应与招标人自有的客商管理平台、入口门禁、厂内智能发运系统兼容，并稳定运行；</w:t>
      </w:r>
    </w:p>
    <w:p>
      <w:pPr>
        <w:pStyle w:val="22"/>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default"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12、其他未列明功能，满足车辆排队管理需求。</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textAlignment w:val="auto"/>
        <w:rPr>
          <w:rFonts w:hint="eastAsia" w:ascii="宋体" w:hAnsi="宋体" w:eastAsia="宋体" w:cs="宋体"/>
          <w:b/>
          <w:sz w:val="21"/>
          <w:szCs w:val="21"/>
          <w:highlight w:val="none"/>
          <w:lang w:val="en-US" w:eastAsia="zh-CN"/>
        </w:rPr>
      </w:pPr>
      <w:bookmarkStart w:id="56" w:name="_Toc21484"/>
      <w:r>
        <w:rPr>
          <w:rFonts w:hint="eastAsia" w:ascii="宋体" w:hAnsi="宋体" w:eastAsia="宋体" w:cs="宋体"/>
          <w:b/>
          <w:sz w:val="21"/>
          <w:szCs w:val="21"/>
          <w:highlight w:val="none"/>
          <w:lang w:val="en-US" w:eastAsia="zh-CN"/>
        </w:rPr>
        <w:t>三、其他要求</w:t>
      </w:r>
    </w:p>
    <w:bookmarkEnd w:id="56"/>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1、中标单位需在中标后立即组建软件开发团队，根据招标文件约定工期，于1个月内完成软件开发，满足招标人车辆排队管理需求；</w:t>
      </w:r>
    </w:p>
    <w:p>
      <w:pPr>
        <w:pStyle w:val="7"/>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中标人在软件上线调试后，派遣专业人员驻场指导调试过程，对招标人及车辆管理者免费培训，直至软件运行正常，经业主验收认可后理解为调试完成。期间产生的住宿、出行、餐饮、办公等费用由中标人自理；</w:t>
      </w:r>
    </w:p>
    <w:p>
      <w:pPr>
        <w:pStyle w:val="7"/>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3、招标人有权根据调试过程中的实际情况，要求中标人进行技改调整；</w:t>
      </w:r>
    </w:p>
    <w:p>
      <w:pPr>
        <w:pStyle w:val="7"/>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4、系统需具备高可用性，确保长时间稳定运行；</w:t>
      </w:r>
    </w:p>
    <w:p>
      <w:pPr>
        <w:pStyle w:val="7"/>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5、数据处理速度快，响应时间短；</w:t>
      </w:r>
    </w:p>
    <w:p>
      <w:pPr>
        <w:pStyle w:val="7"/>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6、系统安全性高，数据保密性强；</w:t>
      </w:r>
    </w:p>
    <w:p>
      <w:pPr>
        <w:pStyle w:val="7"/>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7、本项目中标人须提供至少三年的免费质保服务，所有质保费用均已包含在投标报价中，软件终身免费升级服务。</w:t>
      </w:r>
    </w:p>
    <w:p>
      <w:pPr>
        <w:pStyle w:val="7"/>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default" w:ascii="宋体" w:hAnsi="宋体" w:cs="宋体"/>
          <w:color w:val="000000"/>
          <w:sz w:val="21"/>
          <w:szCs w:val="21"/>
          <w:highlight w:val="none"/>
          <w:lang w:val="en-US" w:eastAsia="zh-CN"/>
        </w:rPr>
      </w:pPr>
    </w:p>
    <w:p>
      <w:pPr>
        <w:pStyle w:val="7"/>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default" w:ascii="宋体" w:hAnsi="宋体" w:cs="宋体"/>
          <w:color w:val="000000"/>
          <w:sz w:val="21"/>
          <w:szCs w:val="21"/>
          <w:highlight w:val="none"/>
          <w:lang w:val="en-US" w:eastAsia="zh-CN"/>
        </w:rPr>
      </w:pPr>
    </w:p>
    <w:p>
      <w:pPr>
        <w:pStyle w:val="7"/>
        <w:rPr>
          <w:rFonts w:hint="default" w:ascii="宋体" w:hAnsi="宋体" w:cs="宋体"/>
          <w:color w:val="000000"/>
          <w:sz w:val="21"/>
          <w:szCs w:val="21"/>
          <w:highlight w:val="none"/>
          <w:lang w:val="en-US" w:eastAsia="zh-CN"/>
        </w:rPr>
      </w:pPr>
    </w:p>
    <w:p>
      <w:pP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pPr>
        <w:jc w:val="center"/>
        <w:outlineLvl w:val="0"/>
        <w:rPr>
          <w:rFonts w:hint="eastAsia" w:ascii="宋体" w:hAnsi="Times New Roman" w:eastAsia="宋体" w:cs="Times New Roman"/>
          <w:b/>
          <w:bCs w:val="0"/>
          <w:color w:val="auto"/>
          <w:kern w:val="2"/>
          <w:sz w:val="32"/>
          <w:szCs w:val="32"/>
          <w:highlight w:val="none"/>
          <w:lang w:val="en-US" w:eastAsia="zh-CN" w:bidi="ar-SA"/>
        </w:rPr>
      </w:pPr>
      <w:bookmarkStart w:id="57" w:name="_Toc26764"/>
      <w:r>
        <w:rPr>
          <w:rFonts w:hint="eastAsia" w:ascii="宋体" w:hAnsi="Times New Roman" w:eastAsia="宋体" w:cs="Times New Roman"/>
          <w:b/>
          <w:bCs w:val="0"/>
          <w:color w:val="auto"/>
          <w:kern w:val="2"/>
          <w:sz w:val="32"/>
          <w:szCs w:val="32"/>
          <w:highlight w:val="none"/>
          <w:lang w:val="en-US" w:eastAsia="zh-CN" w:bidi="ar-SA"/>
        </w:rPr>
        <w:t>第五章  合同条款及格式</w:t>
      </w:r>
      <w:bookmarkEnd w:id="57"/>
    </w:p>
    <w:p>
      <w:pPr>
        <w:keepNext w:val="0"/>
        <w:keepLines w:val="0"/>
        <w:widowControl/>
        <w:suppressLineNumbers w:val="0"/>
        <w:spacing w:before="0" w:beforeLines="0" w:beforeAutospacing="0" w:after="0" w:afterLines="0" w:afterAutospacing="0" w:line="400" w:lineRule="exact"/>
        <w:ind w:left="360" w:right="0"/>
        <w:jc w:val="center"/>
        <w:textAlignment w:val="baseline"/>
        <w:outlineLvl w:val="1"/>
        <w:rPr>
          <w:rFonts w:hint="eastAsia" w:ascii="宋体" w:hAnsi="宋体" w:eastAsia="宋体" w:cs="宋体"/>
          <w:b/>
          <w:bCs w:val="0"/>
          <w:color w:val="000000"/>
          <w:kern w:val="2"/>
          <w:sz w:val="30"/>
          <w:szCs w:val="30"/>
          <w:highlight w:val="none"/>
          <w:vertAlign w:val="baseline"/>
          <w:lang w:val="en-US" w:eastAsia="zh-CN" w:bidi="ar"/>
        </w:rPr>
      </w:pPr>
    </w:p>
    <w:p>
      <w:pPr>
        <w:keepNext w:val="0"/>
        <w:keepLines w:val="0"/>
        <w:widowControl/>
        <w:suppressLineNumbers w:val="0"/>
        <w:spacing w:before="0" w:beforeLines="0" w:beforeAutospacing="0" w:after="0" w:afterLines="0" w:afterAutospacing="0" w:line="400" w:lineRule="exact"/>
        <w:ind w:left="360" w:right="0"/>
        <w:jc w:val="center"/>
        <w:textAlignment w:val="baseline"/>
        <w:outlineLvl w:val="1"/>
        <w:rPr>
          <w:rFonts w:hint="eastAsia" w:ascii="宋体" w:hAnsi="宋体" w:eastAsia="宋体" w:cs="宋体"/>
          <w:b/>
          <w:bCs w:val="0"/>
          <w:color w:val="000000"/>
          <w:kern w:val="2"/>
          <w:sz w:val="30"/>
          <w:szCs w:val="30"/>
          <w:highlight w:val="none"/>
          <w:vertAlign w:val="baseline"/>
          <w:lang w:val="en-US" w:eastAsia="zh-CN" w:bidi="ar"/>
        </w:rPr>
      </w:pPr>
    </w:p>
    <w:p>
      <w:pPr>
        <w:keepNext w:val="0"/>
        <w:keepLines w:val="0"/>
        <w:widowControl/>
        <w:suppressLineNumbers w:val="0"/>
        <w:spacing w:before="0" w:beforeLines="0" w:beforeAutospacing="0" w:after="0" w:afterLines="0" w:afterAutospacing="0" w:line="400" w:lineRule="exact"/>
        <w:ind w:left="360" w:right="0"/>
        <w:jc w:val="center"/>
        <w:textAlignment w:val="baseline"/>
        <w:outlineLvl w:val="1"/>
        <w:rPr>
          <w:rFonts w:hint="eastAsia" w:ascii="黑体" w:hAnsi="Times New Roman" w:eastAsia="黑体" w:cs="黑体"/>
          <w:b/>
          <w:bCs w:val="0"/>
          <w:color w:val="000000"/>
          <w:kern w:val="2"/>
          <w:sz w:val="30"/>
          <w:szCs w:val="30"/>
          <w:highlight w:val="none"/>
          <w:vertAlign w:val="baseline"/>
        </w:rPr>
      </w:pPr>
      <w:r>
        <w:rPr>
          <w:rFonts w:hint="eastAsia" w:ascii="宋体" w:hAnsi="宋体" w:eastAsia="宋体" w:cs="宋体"/>
          <w:b/>
          <w:bCs w:val="0"/>
          <w:color w:val="000000"/>
          <w:kern w:val="2"/>
          <w:sz w:val="30"/>
          <w:szCs w:val="30"/>
          <w:highlight w:val="none"/>
          <w:vertAlign w:val="baseline"/>
          <w:lang w:val="en-US" w:eastAsia="zh-CN" w:bidi="ar"/>
        </w:rPr>
        <w:t>一、合同协议书（格式）</w:t>
      </w:r>
    </w:p>
    <w:p>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p>
    <w:p>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p>
    <w:p>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p>
    <w:p>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项目名称：</w:t>
      </w:r>
      <w:r>
        <w:rPr>
          <w:rFonts w:hint="eastAsia" w:ascii="宋体" w:hAnsi="宋体" w:eastAsia="宋体" w:cs="Times New Roman"/>
          <w:kern w:val="2"/>
          <w:sz w:val="21"/>
          <w:szCs w:val="21"/>
          <w:highlight w:val="none"/>
          <w:lang w:val="en-US" w:eastAsia="zh-CN" w:bidi="ar"/>
        </w:rPr>
        <w:t xml:space="preserve">    </w:t>
      </w:r>
    </w:p>
    <w:p>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项目编号：</w:t>
      </w:r>
    </w:p>
    <w:p>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u w:val="single"/>
        </w:rPr>
      </w:pPr>
      <w:r>
        <w:rPr>
          <w:rFonts w:hint="eastAsia" w:ascii="宋体" w:hAnsi="宋体" w:eastAsia="宋体" w:cs="宋体"/>
          <w:kern w:val="2"/>
          <w:sz w:val="21"/>
          <w:szCs w:val="21"/>
          <w:highlight w:val="none"/>
          <w:lang w:val="en-US" w:eastAsia="zh-CN" w:bidi="ar"/>
        </w:rPr>
        <w:t>甲方（采购人）：</w:t>
      </w:r>
      <w:r>
        <w:rPr>
          <w:rFonts w:hint="eastAsia" w:ascii="宋体" w:hAnsi="宋体" w:eastAsia="宋体" w:cs="Times New Roman"/>
          <w:kern w:val="2"/>
          <w:sz w:val="21"/>
          <w:szCs w:val="21"/>
          <w:highlight w:val="none"/>
          <w:u w:val="single"/>
          <w:lang w:val="en-US" w:eastAsia="zh-CN" w:bidi="ar"/>
        </w:rPr>
        <w:t xml:space="preserve">                              </w:t>
      </w:r>
    </w:p>
    <w:p>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u w:val="single"/>
        </w:rPr>
      </w:pPr>
      <w:r>
        <w:rPr>
          <w:rFonts w:hint="eastAsia" w:ascii="宋体" w:hAnsi="宋体" w:eastAsia="宋体" w:cs="宋体"/>
          <w:kern w:val="2"/>
          <w:sz w:val="21"/>
          <w:szCs w:val="21"/>
          <w:highlight w:val="none"/>
          <w:lang w:val="en-US" w:eastAsia="zh-CN" w:bidi="ar"/>
        </w:rPr>
        <w:t>乙方（中标人）：</w:t>
      </w:r>
      <w:r>
        <w:rPr>
          <w:rFonts w:hint="eastAsia" w:ascii="宋体" w:hAnsi="宋体" w:eastAsia="宋体" w:cs="Times New Roman"/>
          <w:kern w:val="2"/>
          <w:sz w:val="21"/>
          <w:szCs w:val="21"/>
          <w:highlight w:val="none"/>
          <w:u w:val="single"/>
          <w:lang w:val="en-US" w:eastAsia="zh-CN" w:bidi="ar"/>
        </w:rPr>
        <w:t xml:space="preserve">                              </w:t>
      </w:r>
    </w:p>
    <w:p>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u w:val="single"/>
        </w:rPr>
      </w:pPr>
      <w:r>
        <w:rPr>
          <w:rFonts w:hint="eastAsia" w:ascii="宋体" w:hAnsi="宋体" w:eastAsia="宋体" w:cs="宋体"/>
          <w:kern w:val="2"/>
          <w:sz w:val="21"/>
          <w:szCs w:val="21"/>
          <w:highlight w:val="none"/>
          <w:lang w:val="en-US" w:eastAsia="zh-CN" w:bidi="ar"/>
        </w:rPr>
        <w:t>签订地：</w:t>
      </w:r>
      <w:r>
        <w:rPr>
          <w:rFonts w:hint="eastAsia" w:ascii="宋体" w:hAnsi="宋体" w:eastAsia="宋体" w:cs="Times New Roman"/>
          <w:kern w:val="2"/>
          <w:sz w:val="21"/>
          <w:szCs w:val="21"/>
          <w:highlight w:val="none"/>
          <w:u w:val="single"/>
          <w:lang w:val="en-US" w:eastAsia="zh-CN" w:bidi="ar"/>
        </w:rPr>
        <w:t xml:space="preserve">                                     </w:t>
      </w:r>
    </w:p>
    <w:p>
      <w:pPr>
        <w:keepNext w:val="0"/>
        <w:keepLines w:val="0"/>
        <w:widowControl w:val="0"/>
        <w:suppressLineNumbers w:val="0"/>
        <w:spacing w:before="120" w:beforeLines="0" w:beforeAutospacing="0" w:after="0" w:afterLines="0" w:afterAutospacing="0" w:line="480" w:lineRule="auto"/>
        <w:ind w:left="96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签订日期：</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年</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月</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p>
    <w:p>
      <w:pPr>
        <w:keepNext w:val="0"/>
        <w:keepLines w:val="0"/>
        <w:widowControl/>
        <w:suppressLineNumbers w:val="0"/>
        <w:spacing w:before="0" w:beforeLines="0" w:beforeAutospacing="0" w:after="0" w:afterLines="0" w:afterAutospacing="0"/>
        <w:ind w:left="0" w:right="0"/>
        <w:jc w:val="center"/>
        <w:rPr>
          <w:rFonts w:hint="eastAsia" w:ascii="方正小标宋简体" w:hAnsi="方正小标宋简体" w:eastAsia="方正小标宋简体" w:cs="方正小标宋简体"/>
          <w:b/>
          <w:bCs w:val="0"/>
          <w:kern w:val="2"/>
          <w:sz w:val="44"/>
          <w:szCs w:val="44"/>
          <w:highlight w:val="none"/>
        </w:rPr>
      </w:pPr>
      <w:r>
        <w:rPr>
          <w:rFonts w:hint="eastAsia" w:ascii="宋体" w:hAnsi="宋体" w:eastAsia="宋体" w:cs="Times New Roman"/>
          <w:kern w:val="2"/>
          <w:sz w:val="21"/>
          <w:szCs w:val="21"/>
          <w:highlight w:val="none"/>
          <w:lang w:val="en-US" w:eastAsia="zh-CN" w:bidi="ar"/>
        </w:rPr>
        <w:br w:type="page"/>
      </w:r>
      <w:r>
        <w:rPr>
          <w:rFonts w:hint="eastAsia" w:ascii="宋体" w:hAnsi="宋体" w:eastAsia="宋体" w:cs="宋体"/>
          <w:b/>
          <w:bCs w:val="0"/>
          <w:kern w:val="2"/>
          <w:sz w:val="28"/>
          <w:szCs w:val="28"/>
          <w:highlight w:val="none"/>
          <w:lang w:val="en-US" w:eastAsia="zh-CN" w:bidi="ar"/>
        </w:rPr>
        <w:t>(签订合同时，仅以此文本为基准，具体条款双方协定)</w:t>
      </w:r>
    </w:p>
    <w:p>
      <w:pPr>
        <w:keepNext w:val="0"/>
        <w:keepLines w:val="0"/>
        <w:widowControl/>
        <w:suppressLineNumbers w:val="0"/>
        <w:spacing w:before="0" w:beforeAutospacing="0" w:after="0" w:afterAutospacing="0" w:line="357" w:lineRule="atLeast"/>
        <w:ind w:left="0" w:right="0"/>
        <w:jc w:val="left"/>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i/>
          <w:iCs/>
          <w:color w:val="000000"/>
          <w:kern w:val="2"/>
          <w:sz w:val="21"/>
          <w:szCs w:val="21"/>
          <w:highlight w:val="none"/>
          <w:u w:val="single" w:color="000000"/>
          <w:vertAlign w:val="baseline"/>
          <w:lang w:val="en-US" w:eastAsia="zh-CN" w:bidi="ar"/>
        </w:rPr>
        <w:t>（采购人名称）</w:t>
      </w:r>
      <w:r>
        <w:rPr>
          <w:rFonts w:hint="eastAsia" w:ascii="宋体" w:hAnsi="宋体" w:eastAsia="宋体" w:cs="宋体"/>
          <w:color w:val="000000"/>
          <w:kern w:val="2"/>
          <w:sz w:val="21"/>
          <w:szCs w:val="21"/>
          <w:highlight w:val="none"/>
          <w:vertAlign w:val="baseline"/>
          <w:lang w:val="en-US" w:eastAsia="zh-CN" w:bidi="ar"/>
        </w:rPr>
        <w:t>（以下简称：甲方）通过公开招标，经评标委员会评定，确定</w:t>
      </w:r>
      <w:r>
        <w:rPr>
          <w:rFonts w:hint="eastAsia" w:ascii="宋体" w:hAnsi="宋体" w:eastAsia="宋体" w:cs="宋体"/>
          <w:i/>
          <w:iCs/>
          <w:color w:val="000000"/>
          <w:kern w:val="2"/>
          <w:sz w:val="21"/>
          <w:szCs w:val="21"/>
          <w:highlight w:val="none"/>
          <w:u w:val="single" w:color="000000"/>
          <w:vertAlign w:val="baseline"/>
          <w:lang w:val="en-US" w:eastAsia="zh-CN" w:bidi="ar"/>
        </w:rPr>
        <w:t>（中标人人名称）</w:t>
      </w:r>
      <w:r>
        <w:rPr>
          <w:rFonts w:hint="eastAsia" w:ascii="宋体" w:hAnsi="宋体" w:eastAsia="宋体" w:cs="宋体"/>
          <w:color w:val="000000"/>
          <w:kern w:val="2"/>
          <w:sz w:val="21"/>
          <w:szCs w:val="21"/>
          <w:highlight w:val="none"/>
          <w:vertAlign w:val="baseline"/>
          <w:lang w:val="en-US" w:eastAsia="zh-CN" w:bidi="ar"/>
        </w:rPr>
        <w:t>（以下简称：乙方）为本项目中标人，现按照招标文件确定的事项签订本合同。</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根据《中华人民共和国民法典》等相关法律法规之规定，按照平等、自愿、公平和诚实信用的原则，经甲方和乙方协商一致，约定以下合同条款，以兹共同遵守、全面履行。</w:t>
      </w:r>
    </w:p>
    <w:p>
      <w:pPr>
        <w:keepNext w:val="0"/>
        <w:keepLines w:val="0"/>
        <w:widowControl w:val="0"/>
        <w:suppressLineNumbers w:val="0"/>
        <w:spacing w:before="0" w:beforeAutospacing="0" w:after="0" w:afterAutospacing="0" w:line="360" w:lineRule="auto"/>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1.1 合同组成部分</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下列文件为本合同的组成部分，并构成一个整体，需综合解释、相互补充。如果下列文件内容出现不一致的情形，那么在保证按照采购文件确定的事项前提下，组成本合同的多个文件的优先适用顺序如下：</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1.1.1本合同及其补充合同、变更协议；</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1.1.2中标通知书；</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1.1.3投标文件（含澄清或者说明文件）；</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1.1.4招标文件（含澄清或者修改文件）；</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1.1.5其他相关采购文件。</w:t>
      </w:r>
    </w:p>
    <w:p>
      <w:pPr>
        <w:keepNext w:val="0"/>
        <w:keepLines w:val="0"/>
        <w:widowControl w:val="0"/>
        <w:suppressLineNumbers w:val="0"/>
        <w:spacing w:before="0" w:beforeAutospacing="0" w:after="0" w:afterAutospacing="0" w:line="360" w:lineRule="auto"/>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1.2 服务</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u w:val="single" w:color="000000"/>
          <w:vertAlign w:val="baseline"/>
        </w:rPr>
      </w:pPr>
      <w:r>
        <w:rPr>
          <w:rFonts w:hint="eastAsia" w:ascii="宋体" w:hAnsi="宋体" w:eastAsia="宋体" w:cs="宋体"/>
          <w:color w:val="000000"/>
          <w:kern w:val="2"/>
          <w:sz w:val="21"/>
          <w:szCs w:val="21"/>
          <w:highlight w:val="none"/>
          <w:vertAlign w:val="baseline"/>
          <w:lang w:val="en-US" w:eastAsia="zh-CN" w:bidi="ar"/>
        </w:rPr>
        <w:t>1.2.1服务名称：</w:t>
      </w:r>
      <w:r>
        <w:rPr>
          <w:rFonts w:hint="eastAsia" w:ascii="宋体" w:hAnsi="宋体" w:eastAsia="宋体" w:cs="宋体"/>
          <w:color w:val="000000"/>
          <w:kern w:val="2"/>
          <w:sz w:val="21"/>
          <w:szCs w:val="21"/>
          <w:highlight w:val="none"/>
          <w:u w:val="single" w:color="000000"/>
          <w:vertAlign w:val="baseline"/>
          <w:lang w:val="en-US" w:eastAsia="zh-CN" w:bidi="ar"/>
        </w:rPr>
        <w:t xml:space="preserve">                                                </w:t>
      </w:r>
      <w:r>
        <w:rPr>
          <w:rFonts w:hint="eastAsia" w:ascii="宋体" w:hAnsi="宋体" w:eastAsia="宋体" w:cs="宋体"/>
          <w:color w:val="000000"/>
          <w:kern w:val="2"/>
          <w:sz w:val="21"/>
          <w:szCs w:val="21"/>
          <w:highlight w:val="none"/>
          <w:vertAlign w:val="baseline"/>
          <w:lang w:val="en-US" w:eastAsia="zh-CN" w:bidi="ar"/>
        </w:rPr>
        <w:t>；</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lang w:val="en-US" w:eastAsia="zh-CN" w:bidi="ar"/>
        </w:rPr>
      </w:pPr>
      <w:r>
        <w:rPr>
          <w:rFonts w:hint="eastAsia" w:ascii="宋体" w:hAnsi="宋体" w:eastAsia="宋体" w:cs="宋体"/>
          <w:color w:val="000000"/>
          <w:kern w:val="2"/>
          <w:sz w:val="21"/>
          <w:szCs w:val="21"/>
          <w:highlight w:val="none"/>
          <w:vertAlign w:val="baseline"/>
          <w:lang w:val="en-US" w:eastAsia="zh-CN" w:bidi="ar"/>
        </w:rPr>
        <w:t>1.2.2服务内容（包括但不限于）：</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lang w:val="en-US" w:eastAsia="zh-CN" w:bidi="ar"/>
        </w:rPr>
      </w:pPr>
      <w:r>
        <w:rPr>
          <w:rFonts w:hint="eastAsia" w:ascii="宋体" w:hAnsi="宋体" w:eastAsia="宋体" w:cs="宋体"/>
          <w:color w:val="000000"/>
          <w:kern w:val="2"/>
          <w:sz w:val="21"/>
          <w:szCs w:val="21"/>
          <w:highlight w:val="none"/>
          <w:vertAlign w:val="baseline"/>
          <w:lang w:val="en-US" w:eastAsia="zh-CN" w:bidi="ar"/>
        </w:rPr>
        <w:t>（1）为解决项目发运过程中车辆插队、门口堵车问题需要建设排队管理系统；</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lang w:val="en-US" w:eastAsia="zh-CN" w:bidi="ar"/>
        </w:rPr>
      </w:pPr>
      <w:r>
        <w:rPr>
          <w:rFonts w:hint="eastAsia" w:ascii="宋体" w:hAnsi="宋体" w:eastAsia="宋体" w:cs="宋体"/>
          <w:color w:val="000000"/>
          <w:kern w:val="2"/>
          <w:sz w:val="21"/>
          <w:szCs w:val="21"/>
          <w:highlight w:val="none"/>
          <w:vertAlign w:val="baseline"/>
          <w:lang w:val="en-US" w:eastAsia="zh-CN" w:bidi="ar"/>
        </w:rPr>
        <w:t>（2）排队系统求嵌入现有客商管理平台；</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lang w:val="en-US" w:eastAsia="zh-CN" w:bidi="ar"/>
        </w:rPr>
      </w:pPr>
      <w:r>
        <w:rPr>
          <w:rFonts w:hint="eastAsia" w:ascii="宋体" w:hAnsi="宋体" w:eastAsia="宋体" w:cs="宋体"/>
          <w:color w:val="000000"/>
          <w:kern w:val="2"/>
          <w:sz w:val="21"/>
          <w:szCs w:val="21"/>
          <w:highlight w:val="none"/>
          <w:vertAlign w:val="baseline"/>
          <w:lang w:val="en-US" w:eastAsia="zh-CN" w:bidi="ar"/>
        </w:rPr>
        <w:t>（3）排队系统要求使用移动端进行排队，车辆在原客商管理平台预约后进入厂区指定范围（暂定方圆2KM）后可以在移动端进行签到并进入排队序列；</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lang w:val="en-US" w:eastAsia="zh-CN" w:bidi="ar"/>
        </w:rPr>
      </w:pPr>
      <w:r>
        <w:rPr>
          <w:rFonts w:hint="eastAsia" w:ascii="宋体" w:hAnsi="宋体" w:eastAsia="宋体" w:cs="宋体"/>
          <w:color w:val="000000"/>
          <w:kern w:val="2"/>
          <w:sz w:val="21"/>
          <w:szCs w:val="21"/>
          <w:highlight w:val="none"/>
          <w:vertAlign w:val="baseline"/>
          <w:lang w:val="en-US" w:eastAsia="zh-CN" w:bidi="ar"/>
        </w:rPr>
        <w:t>（4）为解决他人代为签到漏洞，系统要求司机在签到时需要与客商平台中绑定的司机身份信息进行人脸识别与照片比较判断是否为司机本人操作；</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lang w:val="en-US" w:eastAsia="zh-CN" w:bidi="ar"/>
        </w:rPr>
      </w:pPr>
      <w:r>
        <w:rPr>
          <w:rFonts w:hint="eastAsia" w:ascii="宋体" w:hAnsi="宋体" w:eastAsia="宋体" w:cs="宋体"/>
          <w:color w:val="000000"/>
          <w:kern w:val="2"/>
          <w:sz w:val="21"/>
          <w:szCs w:val="21"/>
          <w:highlight w:val="none"/>
          <w:vertAlign w:val="baseline"/>
          <w:lang w:val="en-US" w:eastAsia="zh-CN" w:bidi="ar"/>
        </w:rPr>
        <w:t>（5）司机排队过程中系统需要根据厂内车辆数量以及当天车辆发运速度预估计司机需要等待时间；</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lang w:val="en-US" w:eastAsia="zh-CN" w:bidi="ar"/>
        </w:rPr>
      </w:pPr>
      <w:r>
        <w:rPr>
          <w:rFonts w:hint="eastAsia" w:ascii="宋体" w:hAnsi="宋体" w:eastAsia="宋体" w:cs="宋体"/>
          <w:color w:val="000000"/>
          <w:kern w:val="2"/>
          <w:sz w:val="21"/>
          <w:szCs w:val="21"/>
          <w:highlight w:val="none"/>
          <w:vertAlign w:val="baseline"/>
          <w:lang w:val="en-US" w:eastAsia="zh-CN" w:bidi="ar"/>
        </w:rPr>
        <w:t>（6）车辆排队时司机可以移动端时间查询当前的排队位置，并在有车辆出厂时呼叫一下车辆进厂；</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lang w:val="en-US" w:eastAsia="zh-CN" w:bidi="ar"/>
        </w:rPr>
      </w:pPr>
      <w:r>
        <w:rPr>
          <w:rFonts w:hint="eastAsia" w:ascii="宋体" w:hAnsi="宋体" w:eastAsia="宋体" w:cs="宋体"/>
          <w:color w:val="000000"/>
          <w:kern w:val="2"/>
          <w:sz w:val="21"/>
          <w:szCs w:val="21"/>
          <w:highlight w:val="none"/>
          <w:vertAlign w:val="baseline"/>
          <w:lang w:val="en-US" w:eastAsia="zh-CN" w:bidi="ar"/>
        </w:rPr>
        <w:t>（7）根据现场实际情况当某个车辆有紧急情况需要插队时，管理员可以将该车辆手工调整排队顺序将其插队到第一位；</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lang w:val="en-US" w:eastAsia="zh-CN" w:bidi="ar"/>
        </w:rPr>
      </w:pPr>
      <w:r>
        <w:rPr>
          <w:rFonts w:hint="eastAsia" w:ascii="宋体" w:hAnsi="宋体" w:eastAsia="宋体" w:cs="宋体"/>
          <w:color w:val="000000"/>
          <w:kern w:val="2"/>
          <w:sz w:val="21"/>
          <w:szCs w:val="21"/>
          <w:highlight w:val="none"/>
          <w:vertAlign w:val="baseline"/>
          <w:lang w:val="en-US" w:eastAsia="zh-CN" w:bidi="ar"/>
        </w:rPr>
        <w:t>（8）因现场可能某种物料无库存系统可由管理员暂停该品类的车辆进厂；</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lang w:val="en-US" w:eastAsia="zh-CN" w:bidi="ar"/>
        </w:rPr>
      </w:pPr>
      <w:r>
        <w:rPr>
          <w:rFonts w:hint="eastAsia" w:ascii="宋体" w:hAnsi="宋体" w:eastAsia="宋体" w:cs="宋体"/>
          <w:color w:val="000000"/>
          <w:kern w:val="2"/>
          <w:sz w:val="21"/>
          <w:szCs w:val="21"/>
          <w:highlight w:val="none"/>
          <w:vertAlign w:val="baseline"/>
          <w:lang w:val="en-US" w:eastAsia="zh-CN" w:bidi="ar"/>
        </w:rPr>
        <w:t>（9）排队系统需要与现场门禁系统联动实时反应车辆的进出厂情况；</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lang w:val="en-US" w:eastAsia="zh-CN" w:bidi="ar"/>
        </w:rPr>
      </w:pPr>
      <w:r>
        <w:rPr>
          <w:rFonts w:hint="eastAsia" w:ascii="宋体" w:hAnsi="宋体" w:eastAsia="宋体" w:cs="宋体"/>
          <w:color w:val="000000"/>
          <w:kern w:val="2"/>
          <w:sz w:val="21"/>
          <w:szCs w:val="21"/>
          <w:highlight w:val="none"/>
          <w:vertAlign w:val="baseline"/>
          <w:lang w:val="en-US" w:eastAsia="zh-CN" w:bidi="ar"/>
        </w:rPr>
        <w:t>（10）为方便管理需要将已签到的车辆数量进行分类统计并显示于原客商管理平台；</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u w:val="single" w:color="000000"/>
          <w:vertAlign w:val="baseline"/>
        </w:rPr>
      </w:pPr>
      <w:r>
        <w:rPr>
          <w:rFonts w:hint="eastAsia" w:ascii="宋体" w:hAnsi="宋体" w:eastAsia="宋体" w:cs="宋体"/>
          <w:color w:val="000000"/>
          <w:kern w:val="2"/>
          <w:sz w:val="21"/>
          <w:szCs w:val="21"/>
          <w:highlight w:val="none"/>
          <w:vertAlign w:val="baseline"/>
          <w:lang w:val="en-US" w:eastAsia="zh-CN" w:bidi="ar"/>
        </w:rPr>
        <w:t>（11）其他未列明功能，满足车辆排队管理需求。</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1.2.3服务质量：</w:t>
      </w:r>
      <w:r>
        <w:rPr>
          <w:rFonts w:hint="eastAsia" w:ascii="宋体" w:hAnsi="宋体" w:eastAsia="宋体" w:cs="宋体"/>
          <w:color w:val="000000"/>
          <w:kern w:val="2"/>
          <w:sz w:val="21"/>
          <w:szCs w:val="21"/>
          <w:highlight w:val="none"/>
          <w:u w:val="single" w:color="000000"/>
          <w:vertAlign w:val="baseline"/>
          <w:lang w:val="en-US" w:eastAsia="zh-CN" w:bidi="ar"/>
        </w:rPr>
        <w:t xml:space="preserve">                                                </w:t>
      </w:r>
      <w:r>
        <w:rPr>
          <w:rFonts w:hint="eastAsia" w:ascii="宋体" w:hAnsi="宋体" w:eastAsia="宋体" w:cs="宋体"/>
          <w:color w:val="000000"/>
          <w:kern w:val="2"/>
          <w:sz w:val="21"/>
          <w:szCs w:val="21"/>
          <w:highlight w:val="none"/>
          <w:vertAlign w:val="baseline"/>
          <w:lang w:val="en-US" w:eastAsia="zh-CN" w:bidi="ar"/>
        </w:rPr>
        <w:t>。</w:t>
      </w:r>
    </w:p>
    <w:p>
      <w:pPr>
        <w:keepNext w:val="0"/>
        <w:keepLines w:val="0"/>
        <w:widowControl w:val="0"/>
        <w:suppressLineNumbers w:val="0"/>
        <w:spacing w:before="0" w:beforeAutospacing="0" w:after="0" w:afterAutospacing="0" w:line="360" w:lineRule="auto"/>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1.3 价款</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本合同总价为：¥</w:t>
      </w:r>
      <w:r>
        <w:rPr>
          <w:rFonts w:hint="eastAsia" w:ascii="宋体" w:hAnsi="宋体" w:eastAsia="宋体" w:cs="宋体"/>
          <w:color w:val="000000"/>
          <w:kern w:val="2"/>
          <w:sz w:val="21"/>
          <w:szCs w:val="21"/>
          <w:highlight w:val="none"/>
          <w:u w:val="single" w:color="000000"/>
          <w:vertAlign w:val="baseline"/>
          <w:lang w:val="en-US" w:eastAsia="zh-CN" w:bidi="ar"/>
        </w:rPr>
        <w:t xml:space="preserve">           </w:t>
      </w:r>
      <w:r>
        <w:rPr>
          <w:rFonts w:hint="eastAsia" w:ascii="宋体" w:hAnsi="宋体" w:eastAsia="宋体" w:cs="宋体"/>
          <w:color w:val="000000"/>
          <w:kern w:val="2"/>
          <w:sz w:val="21"/>
          <w:szCs w:val="21"/>
          <w:highlight w:val="none"/>
          <w:vertAlign w:val="baseline"/>
          <w:lang w:val="en-US" w:eastAsia="zh-CN" w:bidi="ar"/>
        </w:rPr>
        <w:t>元（大写：人民币</w:t>
      </w:r>
      <w:r>
        <w:rPr>
          <w:rFonts w:hint="eastAsia" w:ascii="宋体" w:hAnsi="宋体" w:eastAsia="宋体" w:cs="宋体"/>
          <w:color w:val="000000"/>
          <w:kern w:val="2"/>
          <w:sz w:val="21"/>
          <w:szCs w:val="21"/>
          <w:highlight w:val="none"/>
          <w:u w:val="single" w:color="000000"/>
          <w:vertAlign w:val="baseline"/>
          <w:lang w:val="en-US" w:eastAsia="zh-CN" w:bidi="ar"/>
        </w:rPr>
        <w:t xml:space="preserve">                 </w:t>
      </w:r>
      <w:r>
        <w:rPr>
          <w:rFonts w:hint="eastAsia" w:ascii="宋体" w:hAnsi="宋体" w:eastAsia="宋体" w:cs="宋体"/>
          <w:color w:val="000000"/>
          <w:kern w:val="2"/>
          <w:sz w:val="21"/>
          <w:szCs w:val="21"/>
          <w:highlight w:val="none"/>
          <w:vertAlign w:val="baseline"/>
          <w:lang w:val="en-US" w:eastAsia="zh-CN" w:bidi="ar"/>
        </w:rPr>
        <w:t>元）。</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u w:val="single" w:color="000000"/>
          <w:vertAlign w:val="baseline"/>
        </w:rPr>
      </w:pPr>
      <w:r>
        <w:rPr>
          <w:rFonts w:hint="eastAsia" w:ascii="宋体" w:hAnsi="宋体" w:eastAsia="宋体" w:cs="宋体"/>
          <w:color w:val="000000"/>
          <w:kern w:val="2"/>
          <w:sz w:val="21"/>
          <w:szCs w:val="21"/>
          <w:highlight w:val="none"/>
          <w:vertAlign w:val="baseline"/>
          <w:lang w:val="en-US" w:eastAsia="zh-CN" w:bidi="ar"/>
        </w:rPr>
        <w:t>分项价格：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6"/>
        <w:gridCol w:w="4305"/>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57" w:lineRule="atLeast"/>
              <w:ind w:left="0" w:right="0"/>
              <w:jc w:val="center"/>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序号</w:t>
            </w:r>
          </w:p>
        </w:tc>
        <w:tc>
          <w:tcPr>
            <w:tcW w:w="43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57" w:lineRule="atLeast"/>
              <w:ind w:left="0" w:right="0" w:firstLine="200"/>
              <w:jc w:val="center"/>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分项名称</w:t>
            </w:r>
          </w:p>
        </w:tc>
        <w:tc>
          <w:tcPr>
            <w:tcW w:w="32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57" w:lineRule="atLeast"/>
              <w:ind w:left="0" w:right="0"/>
              <w:jc w:val="center"/>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57" w:lineRule="atLeast"/>
              <w:ind w:left="0" w:right="0"/>
              <w:jc w:val="center"/>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w:t>
            </w:r>
          </w:p>
        </w:tc>
        <w:tc>
          <w:tcPr>
            <w:tcW w:w="43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57" w:lineRule="atLeast"/>
              <w:ind w:left="0" w:right="0" w:firstLine="200"/>
              <w:jc w:val="center"/>
              <w:textAlignment w:val="baseline"/>
              <w:rPr>
                <w:rFonts w:hint="eastAsia" w:ascii="宋体" w:hAnsi="宋体" w:eastAsia="宋体" w:cs="宋体"/>
                <w:color w:val="000000"/>
                <w:kern w:val="2"/>
                <w:sz w:val="21"/>
                <w:szCs w:val="21"/>
                <w:highlight w:val="none"/>
                <w:vertAlign w:val="baseline"/>
              </w:rPr>
            </w:pPr>
          </w:p>
        </w:tc>
        <w:tc>
          <w:tcPr>
            <w:tcW w:w="32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57" w:lineRule="atLeast"/>
              <w:ind w:left="0" w:right="0" w:firstLine="200"/>
              <w:jc w:val="center"/>
              <w:textAlignment w:val="baseline"/>
              <w:rPr>
                <w:rFonts w:hint="eastAsia" w:ascii="宋体" w:hAnsi="宋体" w:eastAsia="宋体" w:cs="宋体"/>
                <w:color w:val="000000"/>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57" w:lineRule="atLeast"/>
              <w:ind w:left="0" w:right="0"/>
              <w:jc w:val="center"/>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w:t>
            </w:r>
          </w:p>
        </w:tc>
        <w:tc>
          <w:tcPr>
            <w:tcW w:w="43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57" w:lineRule="atLeast"/>
              <w:ind w:left="0" w:right="0" w:firstLine="200"/>
              <w:jc w:val="center"/>
              <w:textAlignment w:val="baseline"/>
              <w:rPr>
                <w:rFonts w:hint="eastAsia" w:ascii="宋体" w:hAnsi="宋体" w:eastAsia="宋体" w:cs="宋体"/>
                <w:color w:val="000000"/>
                <w:kern w:val="2"/>
                <w:sz w:val="21"/>
                <w:szCs w:val="21"/>
                <w:highlight w:val="none"/>
                <w:vertAlign w:val="baseline"/>
              </w:rPr>
            </w:pPr>
          </w:p>
        </w:tc>
        <w:tc>
          <w:tcPr>
            <w:tcW w:w="32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57" w:lineRule="atLeast"/>
              <w:ind w:left="0" w:right="0" w:firstLine="200"/>
              <w:jc w:val="center"/>
              <w:textAlignment w:val="baseline"/>
              <w:rPr>
                <w:rFonts w:hint="eastAsia" w:ascii="宋体" w:hAnsi="宋体" w:eastAsia="宋体" w:cs="宋体"/>
                <w:color w:val="000000"/>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57" w:lineRule="atLeast"/>
              <w:ind w:left="0" w:right="0"/>
              <w:jc w:val="center"/>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3</w:t>
            </w:r>
          </w:p>
        </w:tc>
        <w:tc>
          <w:tcPr>
            <w:tcW w:w="43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57" w:lineRule="atLeast"/>
              <w:ind w:left="0" w:right="0" w:firstLine="200"/>
              <w:jc w:val="center"/>
              <w:textAlignment w:val="baseline"/>
              <w:rPr>
                <w:rFonts w:hint="eastAsia" w:ascii="宋体" w:hAnsi="宋体" w:eastAsia="宋体" w:cs="宋体"/>
                <w:color w:val="000000"/>
                <w:kern w:val="2"/>
                <w:sz w:val="21"/>
                <w:szCs w:val="21"/>
                <w:highlight w:val="none"/>
                <w:vertAlign w:val="baseline"/>
              </w:rPr>
            </w:pPr>
          </w:p>
        </w:tc>
        <w:tc>
          <w:tcPr>
            <w:tcW w:w="32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57" w:lineRule="atLeast"/>
              <w:ind w:left="0" w:right="0" w:firstLine="200"/>
              <w:jc w:val="center"/>
              <w:textAlignment w:val="baseline"/>
              <w:rPr>
                <w:rFonts w:hint="eastAsia" w:ascii="宋体" w:hAnsi="宋体" w:eastAsia="宋体" w:cs="宋体"/>
                <w:color w:val="000000"/>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57" w:lineRule="atLeast"/>
              <w:ind w:left="0" w:right="0"/>
              <w:jc w:val="center"/>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w:t>
            </w:r>
          </w:p>
        </w:tc>
        <w:tc>
          <w:tcPr>
            <w:tcW w:w="43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57" w:lineRule="atLeast"/>
              <w:ind w:left="0" w:right="0" w:firstLine="200"/>
              <w:jc w:val="center"/>
              <w:textAlignment w:val="baseline"/>
              <w:rPr>
                <w:rFonts w:hint="eastAsia" w:ascii="宋体" w:hAnsi="宋体" w:eastAsia="宋体" w:cs="宋体"/>
                <w:color w:val="000000"/>
                <w:kern w:val="2"/>
                <w:sz w:val="21"/>
                <w:szCs w:val="21"/>
                <w:highlight w:val="none"/>
                <w:vertAlign w:val="baseline"/>
              </w:rPr>
            </w:pPr>
          </w:p>
        </w:tc>
        <w:tc>
          <w:tcPr>
            <w:tcW w:w="32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57" w:lineRule="atLeast"/>
              <w:ind w:left="0" w:right="0" w:firstLine="200"/>
              <w:jc w:val="center"/>
              <w:textAlignment w:val="baseline"/>
              <w:rPr>
                <w:rFonts w:hint="eastAsia" w:ascii="宋体" w:hAnsi="宋体" w:eastAsia="宋体" w:cs="宋体"/>
                <w:color w:val="000000"/>
                <w:kern w:val="2"/>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57" w:lineRule="atLeast"/>
              <w:ind w:left="0" w:right="0" w:firstLine="200"/>
              <w:jc w:val="center"/>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总价</w:t>
            </w:r>
          </w:p>
        </w:tc>
        <w:tc>
          <w:tcPr>
            <w:tcW w:w="32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57" w:lineRule="atLeast"/>
              <w:ind w:left="0" w:right="0" w:firstLine="200"/>
              <w:jc w:val="center"/>
              <w:textAlignment w:val="baseline"/>
              <w:rPr>
                <w:rFonts w:hint="eastAsia" w:ascii="宋体" w:hAnsi="宋体" w:eastAsia="宋体" w:cs="宋体"/>
                <w:color w:val="000000"/>
                <w:kern w:val="2"/>
                <w:sz w:val="21"/>
                <w:szCs w:val="21"/>
                <w:highlight w:val="none"/>
                <w:vertAlign w:val="baseline"/>
              </w:rPr>
            </w:pPr>
          </w:p>
        </w:tc>
      </w:tr>
    </w:tbl>
    <w:p>
      <w:pPr>
        <w:keepNext w:val="0"/>
        <w:keepLines w:val="0"/>
        <w:widowControl w:val="0"/>
        <w:suppressLineNumbers w:val="0"/>
        <w:spacing w:before="0" w:beforeAutospacing="0" w:after="0" w:afterAutospacing="0" w:line="360" w:lineRule="auto"/>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1.4 付款方式和发票开具方式</w:t>
      </w:r>
    </w:p>
    <w:p>
      <w:pPr>
        <w:pStyle w:val="21"/>
        <w:keepNext w:val="0"/>
        <w:keepLines w:val="0"/>
        <w:widowControl/>
        <w:suppressLineNumbers w:val="0"/>
        <w:spacing w:before="0" w:beforeAutospacing="0" w:after="0" w:afterAutospacing="0" w:line="360" w:lineRule="auto"/>
        <w:ind w:left="0" w:right="0" w:firstLine="422" w:firstLineChars="200"/>
        <w:jc w:val="both"/>
        <w:textAlignment w:val="baseline"/>
        <w:rPr>
          <w:rFonts w:hint="eastAsia" w:ascii="宋体" w:hAnsi="宋体" w:eastAsia="宋体" w:cs="Times New Roman"/>
          <w:b/>
          <w:bCs/>
          <w:color w:val="000000"/>
          <w:kern w:val="0"/>
          <w:sz w:val="21"/>
          <w:szCs w:val="21"/>
          <w:highlight w:val="none"/>
          <w:u w:val="single" w:color="000000"/>
          <w:vertAlign w:val="baseline"/>
        </w:rPr>
      </w:pPr>
      <w:r>
        <w:rPr>
          <w:rFonts w:hint="eastAsia" w:ascii="宋体" w:hAnsi="宋体" w:eastAsia="宋体" w:cs="宋体"/>
          <w:b/>
          <w:bCs/>
          <w:color w:val="000000"/>
          <w:kern w:val="0"/>
          <w:sz w:val="21"/>
          <w:szCs w:val="21"/>
          <w:highlight w:val="none"/>
          <w:u w:color="auto"/>
          <w:vertAlign w:val="baseline"/>
          <w:lang w:val="en-US" w:eastAsia="zh-CN" w:bidi="ar"/>
        </w:rPr>
        <w:t>1.4.1付款方式：</w:t>
      </w:r>
      <w:r>
        <w:rPr>
          <w:rFonts w:hint="eastAsia" w:ascii="宋体" w:hAnsi="宋体" w:eastAsia="宋体" w:cs="Times New Roman"/>
          <w:b/>
          <w:bCs/>
          <w:color w:val="000000"/>
          <w:kern w:val="0"/>
          <w:sz w:val="21"/>
          <w:szCs w:val="21"/>
          <w:highlight w:val="none"/>
          <w:u w:val="single" w:color="000000"/>
          <w:vertAlign w:val="baseline"/>
          <w:lang w:val="en-US" w:eastAsia="zh-CN" w:bidi="ar"/>
        </w:rPr>
        <w:t xml:space="preserve">                                              </w:t>
      </w:r>
      <w:r>
        <w:rPr>
          <w:rFonts w:hint="eastAsia" w:ascii="宋体" w:hAnsi="宋体" w:eastAsia="宋体" w:cs="宋体"/>
          <w:b/>
          <w:bCs/>
          <w:color w:val="000000"/>
          <w:kern w:val="0"/>
          <w:sz w:val="21"/>
          <w:szCs w:val="21"/>
          <w:highlight w:val="none"/>
          <w:u w:val="single" w:color="000000"/>
          <w:vertAlign w:val="baseline"/>
          <w:lang w:val="en-US" w:eastAsia="zh-CN" w:bidi="ar"/>
        </w:rPr>
        <w:t>。</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1.4.2发票开具方式：</w:t>
      </w:r>
      <w:r>
        <w:rPr>
          <w:rFonts w:hint="eastAsia" w:ascii="宋体" w:hAnsi="宋体" w:eastAsia="宋体" w:cs="宋体"/>
          <w:color w:val="000000"/>
          <w:kern w:val="2"/>
          <w:sz w:val="21"/>
          <w:szCs w:val="21"/>
          <w:highlight w:val="none"/>
          <w:u w:val="single" w:color="000000"/>
          <w:vertAlign w:val="baseline"/>
          <w:lang w:val="en-US" w:eastAsia="zh-CN" w:bidi="ar"/>
        </w:rPr>
        <w:t xml:space="preserve">                                            </w:t>
      </w:r>
      <w:r>
        <w:rPr>
          <w:rFonts w:hint="eastAsia" w:ascii="宋体" w:hAnsi="宋体" w:eastAsia="宋体" w:cs="宋体"/>
          <w:color w:val="000000"/>
          <w:kern w:val="2"/>
          <w:sz w:val="21"/>
          <w:szCs w:val="21"/>
          <w:highlight w:val="none"/>
          <w:vertAlign w:val="baseline"/>
          <w:lang w:val="en-US" w:eastAsia="zh-CN" w:bidi="ar"/>
        </w:rPr>
        <w:t>。</w:t>
      </w:r>
    </w:p>
    <w:p>
      <w:pPr>
        <w:keepNext w:val="0"/>
        <w:keepLines w:val="0"/>
        <w:widowControl w:val="0"/>
        <w:suppressLineNumbers w:val="0"/>
        <w:spacing w:before="0" w:beforeAutospacing="0" w:after="0" w:afterAutospacing="0" w:line="360" w:lineRule="auto"/>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1.5 服务期限、地点和方式</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u w:val="single" w:color="000000"/>
          <w:vertAlign w:val="baseline"/>
        </w:rPr>
      </w:pPr>
      <w:r>
        <w:rPr>
          <w:rFonts w:hint="eastAsia" w:ascii="宋体" w:hAnsi="宋体" w:eastAsia="宋体" w:cs="宋体"/>
          <w:color w:val="000000"/>
          <w:kern w:val="2"/>
          <w:sz w:val="21"/>
          <w:szCs w:val="21"/>
          <w:highlight w:val="none"/>
          <w:vertAlign w:val="baseline"/>
          <w:lang w:val="en-US" w:eastAsia="zh-CN" w:bidi="ar"/>
        </w:rPr>
        <w:t>1.5.1服务期限：</w:t>
      </w:r>
      <w:r>
        <w:rPr>
          <w:rFonts w:hint="eastAsia" w:ascii="宋体" w:hAnsi="宋体" w:eastAsia="宋体" w:cs="宋体"/>
          <w:color w:val="000000"/>
          <w:kern w:val="2"/>
          <w:sz w:val="21"/>
          <w:szCs w:val="21"/>
          <w:highlight w:val="none"/>
          <w:u w:val="single" w:color="000000"/>
          <w:vertAlign w:val="baseline"/>
          <w:lang w:val="en-US" w:eastAsia="zh-CN" w:bidi="ar"/>
        </w:rPr>
        <w:t xml:space="preserve">                                                </w:t>
      </w:r>
      <w:r>
        <w:rPr>
          <w:rFonts w:hint="eastAsia" w:ascii="宋体" w:hAnsi="宋体" w:eastAsia="宋体" w:cs="宋体"/>
          <w:color w:val="000000"/>
          <w:kern w:val="2"/>
          <w:sz w:val="21"/>
          <w:szCs w:val="21"/>
          <w:highlight w:val="none"/>
          <w:vertAlign w:val="baseline"/>
          <w:lang w:val="en-US" w:eastAsia="zh-CN" w:bidi="ar"/>
        </w:rPr>
        <w:t>；</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1.5.2服务地点：</w:t>
      </w:r>
      <w:r>
        <w:rPr>
          <w:rFonts w:hint="eastAsia" w:ascii="宋体" w:hAnsi="宋体" w:eastAsia="宋体" w:cs="宋体"/>
          <w:color w:val="000000"/>
          <w:kern w:val="2"/>
          <w:sz w:val="21"/>
          <w:szCs w:val="21"/>
          <w:highlight w:val="none"/>
          <w:u w:val="single" w:color="000000"/>
          <w:vertAlign w:val="baseline"/>
          <w:lang w:val="en-US" w:eastAsia="zh-CN" w:bidi="ar"/>
        </w:rPr>
        <w:t xml:space="preserve">                                                </w:t>
      </w:r>
      <w:r>
        <w:rPr>
          <w:rFonts w:hint="eastAsia" w:ascii="宋体" w:hAnsi="宋体" w:eastAsia="宋体" w:cs="宋体"/>
          <w:color w:val="000000"/>
          <w:kern w:val="2"/>
          <w:sz w:val="21"/>
          <w:szCs w:val="21"/>
          <w:highlight w:val="none"/>
          <w:vertAlign w:val="baseline"/>
          <w:lang w:val="en-US" w:eastAsia="zh-CN" w:bidi="ar"/>
        </w:rPr>
        <w:t>；</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1.5.3服务方式：</w:t>
      </w:r>
      <w:r>
        <w:rPr>
          <w:rFonts w:hint="eastAsia" w:ascii="宋体" w:hAnsi="宋体" w:eastAsia="宋体" w:cs="宋体"/>
          <w:color w:val="000000"/>
          <w:kern w:val="2"/>
          <w:sz w:val="21"/>
          <w:szCs w:val="21"/>
          <w:highlight w:val="none"/>
          <w:u w:val="single" w:color="000000"/>
          <w:vertAlign w:val="baseline"/>
          <w:lang w:val="en-US" w:eastAsia="zh-CN" w:bidi="ar"/>
        </w:rPr>
        <w:t xml:space="preserve">                                                </w:t>
      </w:r>
      <w:r>
        <w:rPr>
          <w:rFonts w:hint="eastAsia" w:ascii="宋体" w:hAnsi="宋体" w:eastAsia="宋体" w:cs="宋体"/>
          <w:color w:val="000000"/>
          <w:kern w:val="2"/>
          <w:sz w:val="21"/>
          <w:szCs w:val="21"/>
          <w:highlight w:val="none"/>
          <w:vertAlign w:val="baseline"/>
          <w:lang w:val="en-US" w:eastAsia="zh-CN" w:bidi="ar"/>
        </w:rPr>
        <w:t>。</w:t>
      </w:r>
    </w:p>
    <w:p>
      <w:pPr>
        <w:keepNext w:val="0"/>
        <w:keepLines w:val="0"/>
        <w:widowControl w:val="0"/>
        <w:suppressLineNumbers w:val="0"/>
        <w:spacing w:before="0" w:beforeAutospacing="0" w:after="0" w:afterAutospacing="0" w:line="360" w:lineRule="auto"/>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1.6 违约责任</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000000"/>
          <w:kern w:val="2"/>
          <w:sz w:val="21"/>
          <w:szCs w:val="21"/>
          <w:highlight w:val="none"/>
          <w:u w:val="single" w:color="000000"/>
          <w:vertAlign w:val="baseline"/>
          <w:lang w:val="en-US" w:eastAsia="zh-CN" w:bidi="ar"/>
        </w:rPr>
        <w:t>1</w:t>
      </w:r>
      <w:r>
        <w:rPr>
          <w:rFonts w:hint="eastAsia" w:ascii="宋体" w:hAnsi="宋体" w:eastAsia="宋体" w:cs="宋体"/>
          <w:color w:val="000000"/>
          <w:kern w:val="2"/>
          <w:sz w:val="21"/>
          <w:szCs w:val="21"/>
          <w:highlight w:val="none"/>
          <w:vertAlign w:val="baseline"/>
          <w:lang w:val="en-US" w:eastAsia="zh-CN" w:bidi="ar"/>
        </w:rPr>
        <w:t>%计算，最高限额为本合同总价的</w:t>
      </w:r>
      <w:r>
        <w:rPr>
          <w:rFonts w:hint="eastAsia" w:ascii="宋体" w:hAnsi="宋体" w:eastAsia="宋体" w:cs="宋体"/>
          <w:color w:val="000000"/>
          <w:kern w:val="2"/>
          <w:sz w:val="21"/>
          <w:szCs w:val="21"/>
          <w:highlight w:val="none"/>
          <w:u w:val="single" w:color="000000"/>
          <w:vertAlign w:val="baseline"/>
          <w:lang w:val="en-US" w:eastAsia="zh-CN" w:bidi="ar"/>
        </w:rPr>
        <w:t>10</w:t>
      </w:r>
      <w:r>
        <w:rPr>
          <w:rFonts w:hint="eastAsia" w:ascii="宋体" w:hAnsi="宋体" w:eastAsia="宋体" w:cs="宋体"/>
          <w:color w:val="000000"/>
          <w:kern w:val="2"/>
          <w:sz w:val="21"/>
          <w:szCs w:val="21"/>
          <w:highlight w:val="none"/>
          <w:vertAlign w:val="baseline"/>
          <w:lang w:val="en-US" w:eastAsia="zh-CN" w:bidi="ar"/>
        </w:rPr>
        <w:t>%；迟延履行的违约金计算数额达到前述最高限额之日起，甲方有权在要求乙方支付违约金的同时，书面通知乙方解除本合同；</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000000"/>
          <w:kern w:val="2"/>
          <w:sz w:val="21"/>
          <w:szCs w:val="21"/>
          <w:highlight w:val="none"/>
          <w:u w:val="single" w:color="000000"/>
          <w:vertAlign w:val="baseline"/>
          <w:lang w:val="en-US" w:eastAsia="zh-CN" w:bidi="ar"/>
        </w:rPr>
        <w:t xml:space="preserve"> 0.1 </w:t>
      </w:r>
      <w:r>
        <w:rPr>
          <w:rFonts w:hint="eastAsia" w:ascii="宋体" w:hAnsi="宋体" w:eastAsia="宋体" w:cs="宋体"/>
          <w:color w:val="000000"/>
          <w:kern w:val="2"/>
          <w:sz w:val="21"/>
          <w:szCs w:val="21"/>
          <w:highlight w:val="none"/>
          <w:vertAlign w:val="baseline"/>
          <w:lang w:val="en-US" w:eastAsia="zh-CN" w:bidi="ar"/>
        </w:rPr>
        <w:t>%计算，最高限额为本合同总价的</w:t>
      </w:r>
      <w:r>
        <w:rPr>
          <w:rFonts w:hint="eastAsia" w:ascii="宋体" w:hAnsi="宋体" w:eastAsia="宋体" w:cs="宋体"/>
          <w:color w:val="000000"/>
          <w:kern w:val="2"/>
          <w:sz w:val="21"/>
          <w:szCs w:val="21"/>
          <w:highlight w:val="none"/>
          <w:u w:val="single" w:color="000000"/>
          <w:vertAlign w:val="baseline"/>
          <w:lang w:val="en-US" w:eastAsia="zh-CN" w:bidi="ar"/>
        </w:rPr>
        <w:t xml:space="preserve"> 1 </w:t>
      </w:r>
      <w:r>
        <w:rPr>
          <w:rFonts w:hint="eastAsia" w:ascii="宋体" w:hAnsi="宋体" w:eastAsia="宋体" w:cs="宋体"/>
          <w:color w:val="000000"/>
          <w:kern w:val="2"/>
          <w:sz w:val="21"/>
          <w:szCs w:val="21"/>
          <w:highlight w:val="none"/>
          <w:vertAlign w:val="baseline"/>
          <w:lang w:val="en-US" w:eastAsia="zh-CN" w:bidi="ar"/>
        </w:rPr>
        <w:t>%；迟延付款的违约金计算数额达到前述最高限额之日起，乙方有权在要求甲方支付违约金的同时，书面通知甲方解除本合同；</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lang w:val="en-US" w:eastAsia="zh-CN" w:bidi="ar"/>
        </w:rPr>
      </w:pPr>
      <w:r>
        <w:rPr>
          <w:rFonts w:hint="eastAsia" w:ascii="宋体" w:hAnsi="宋体" w:eastAsia="宋体" w:cs="宋体"/>
          <w:color w:val="000000"/>
          <w:kern w:val="2"/>
          <w:sz w:val="21"/>
          <w:szCs w:val="21"/>
          <w:highlight w:val="none"/>
          <w:vertAlign w:val="baseline"/>
          <w:lang w:val="en-US" w:eastAsia="zh-CN" w:bidi="ar"/>
        </w:rPr>
        <w:t>1.6.6如果出现政府采购监督管理部门在处理投诉事项期间，书面通知甲方暂停采购活动的情形，或者询问或质疑事项可能影响中标结果的，导致甲方中止履行合同的情形，均不视为甲方违约。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widowControl w:val="0"/>
        <w:suppressLineNumbers w:val="0"/>
        <w:spacing w:before="0" w:beforeAutospacing="0" w:after="0" w:afterAutospacing="0" w:line="360" w:lineRule="auto"/>
        <w:ind w:right="0" w:firstLine="422" w:firstLineChars="200"/>
        <w:jc w:val="both"/>
        <w:textAlignment w:val="baseline"/>
        <w:outlineLvl w:val="3"/>
        <w:rPr>
          <w:rFonts w:hint="eastAsia" w:ascii="宋体" w:hAnsi="宋体" w:eastAsia="宋体" w:cs="宋体"/>
          <w:b/>
          <w:bCs/>
          <w:color w:val="000000"/>
          <w:kern w:val="2"/>
          <w:sz w:val="21"/>
          <w:szCs w:val="21"/>
          <w:highlight w:val="none"/>
          <w:vertAlign w:val="baseline"/>
          <w:lang w:val="en-US" w:eastAsia="zh-CN" w:bidi="ar"/>
        </w:rPr>
      </w:pPr>
      <w:r>
        <w:rPr>
          <w:rFonts w:hint="eastAsia" w:ascii="宋体" w:hAnsi="宋体" w:eastAsia="宋体" w:cs="宋体"/>
          <w:b/>
          <w:bCs/>
          <w:color w:val="000000"/>
          <w:kern w:val="2"/>
          <w:sz w:val="21"/>
          <w:szCs w:val="21"/>
          <w:highlight w:val="none"/>
          <w:vertAlign w:val="baseline"/>
          <w:lang w:val="en-US" w:eastAsia="zh-CN" w:bidi="ar"/>
        </w:rPr>
        <w:t>1.7 其他</w:t>
      </w:r>
    </w:p>
    <w:p>
      <w:pPr>
        <w:keepNext w:val="0"/>
        <w:keepLines w:val="0"/>
        <w:widowControl w:val="0"/>
        <w:suppressLineNumbers w:val="0"/>
        <w:spacing w:before="0" w:beforeAutospacing="0" w:after="0" w:afterAutospacing="0" w:line="360" w:lineRule="auto"/>
        <w:ind w:left="0" w:right="0" w:firstLine="435"/>
        <w:jc w:val="both"/>
        <w:textAlignment w:val="baseline"/>
        <w:rPr>
          <w:rFonts w:hint="default" w:ascii="宋体" w:hAnsi="宋体" w:eastAsia="宋体" w:cs="宋体"/>
          <w:color w:val="000000"/>
          <w:kern w:val="2"/>
          <w:sz w:val="21"/>
          <w:szCs w:val="21"/>
          <w:highlight w:val="none"/>
          <w:vertAlign w:val="baseline"/>
          <w:lang w:val="en-US" w:eastAsia="zh-CN" w:bidi="ar"/>
        </w:rPr>
      </w:pPr>
      <w:r>
        <w:rPr>
          <w:rFonts w:hint="eastAsia" w:ascii="宋体" w:hAnsi="宋体" w:eastAsia="宋体" w:cs="宋体"/>
          <w:color w:val="000000"/>
          <w:kern w:val="2"/>
          <w:sz w:val="21"/>
          <w:szCs w:val="21"/>
          <w:highlight w:val="none"/>
          <w:vertAlign w:val="baseline"/>
          <w:lang w:val="en-US" w:eastAsia="zh-CN" w:bidi="ar"/>
        </w:rPr>
        <w:t>1.7.</w:t>
      </w:r>
      <w:r>
        <w:rPr>
          <w:rFonts w:hint="default" w:ascii="宋体" w:hAnsi="宋体" w:eastAsia="宋体" w:cs="宋体"/>
          <w:color w:val="000000"/>
          <w:kern w:val="2"/>
          <w:sz w:val="21"/>
          <w:szCs w:val="21"/>
          <w:highlight w:val="none"/>
          <w:vertAlign w:val="baseline"/>
          <w:lang w:val="en-US" w:eastAsia="zh-CN" w:bidi="ar"/>
        </w:rPr>
        <w:t>1</w:t>
      </w:r>
      <w:r>
        <w:rPr>
          <w:rFonts w:hint="eastAsia" w:ascii="宋体" w:hAnsi="宋体" w:eastAsia="宋体" w:cs="宋体"/>
          <w:color w:val="000000"/>
          <w:kern w:val="2"/>
          <w:sz w:val="21"/>
          <w:szCs w:val="21"/>
          <w:highlight w:val="none"/>
          <w:vertAlign w:val="baseline"/>
          <w:lang w:val="en-US" w:eastAsia="zh-CN" w:bidi="ar"/>
        </w:rPr>
        <w:t>乙方</w:t>
      </w:r>
      <w:r>
        <w:rPr>
          <w:rFonts w:hint="default" w:ascii="宋体" w:hAnsi="宋体" w:eastAsia="宋体" w:cs="宋体"/>
          <w:color w:val="000000"/>
          <w:kern w:val="2"/>
          <w:sz w:val="21"/>
          <w:szCs w:val="21"/>
          <w:highlight w:val="none"/>
          <w:vertAlign w:val="baseline"/>
          <w:lang w:val="en-US" w:eastAsia="zh-CN" w:bidi="ar"/>
        </w:rPr>
        <w:t>单位需在中标后立即组建软件开发团队，根据招标文件约定工期，于1个月内完成软件开发，满足</w:t>
      </w:r>
      <w:r>
        <w:rPr>
          <w:rFonts w:hint="eastAsia" w:ascii="宋体" w:hAnsi="宋体" w:eastAsia="宋体" w:cs="宋体"/>
          <w:color w:val="000000"/>
          <w:kern w:val="2"/>
          <w:sz w:val="21"/>
          <w:szCs w:val="21"/>
          <w:highlight w:val="none"/>
          <w:vertAlign w:val="baseline"/>
          <w:lang w:val="en-US" w:eastAsia="zh-CN" w:bidi="ar"/>
        </w:rPr>
        <w:t>甲方</w:t>
      </w:r>
      <w:r>
        <w:rPr>
          <w:rFonts w:hint="default" w:ascii="宋体" w:hAnsi="宋体" w:eastAsia="宋体" w:cs="宋体"/>
          <w:color w:val="000000"/>
          <w:kern w:val="2"/>
          <w:sz w:val="21"/>
          <w:szCs w:val="21"/>
          <w:highlight w:val="none"/>
          <w:vertAlign w:val="baseline"/>
          <w:lang w:val="en-US" w:eastAsia="zh-CN" w:bidi="ar"/>
        </w:rPr>
        <w:t>车辆排队管理需求；</w:t>
      </w:r>
    </w:p>
    <w:p>
      <w:pPr>
        <w:keepNext w:val="0"/>
        <w:keepLines w:val="0"/>
        <w:widowControl w:val="0"/>
        <w:suppressLineNumbers w:val="0"/>
        <w:spacing w:before="0" w:beforeAutospacing="0" w:after="0" w:afterAutospacing="0" w:line="360" w:lineRule="auto"/>
        <w:ind w:left="0" w:right="0" w:firstLine="435"/>
        <w:jc w:val="both"/>
        <w:textAlignment w:val="baseline"/>
        <w:rPr>
          <w:rFonts w:hint="default" w:ascii="宋体" w:hAnsi="宋体" w:eastAsia="宋体" w:cs="宋体"/>
          <w:color w:val="000000"/>
          <w:kern w:val="2"/>
          <w:sz w:val="21"/>
          <w:szCs w:val="21"/>
          <w:highlight w:val="none"/>
          <w:vertAlign w:val="baseline"/>
          <w:lang w:val="en-US" w:eastAsia="zh-CN" w:bidi="ar"/>
        </w:rPr>
      </w:pPr>
      <w:r>
        <w:rPr>
          <w:rFonts w:hint="eastAsia" w:ascii="宋体" w:hAnsi="宋体" w:eastAsia="宋体" w:cs="宋体"/>
          <w:color w:val="000000"/>
          <w:kern w:val="2"/>
          <w:sz w:val="21"/>
          <w:szCs w:val="21"/>
          <w:highlight w:val="none"/>
          <w:vertAlign w:val="baseline"/>
          <w:lang w:val="en-US" w:eastAsia="zh-CN" w:bidi="ar"/>
        </w:rPr>
        <w:t>1.7.2乙方</w:t>
      </w:r>
      <w:r>
        <w:rPr>
          <w:rFonts w:hint="default" w:ascii="宋体" w:hAnsi="宋体" w:eastAsia="宋体" w:cs="宋体"/>
          <w:color w:val="000000"/>
          <w:kern w:val="2"/>
          <w:sz w:val="21"/>
          <w:szCs w:val="21"/>
          <w:highlight w:val="none"/>
          <w:vertAlign w:val="baseline"/>
          <w:lang w:val="en-US" w:eastAsia="zh-CN" w:bidi="ar"/>
        </w:rPr>
        <w:t>在软件上线调试后，派遣专业人员驻场指导调试过程，对</w:t>
      </w:r>
      <w:r>
        <w:rPr>
          <w:rFonts w:hint="eastAsia" w:ascii="宋体" w:hAnsi="宋体" w:eastAsia="宋体" w:cs="宋体"/>
          <w:color w:val="000000"/>
          <w:kern w:val="2"/>
          <w:sz w:val="21"/>
          <w:szCs w:val="21"/>
          <w:highlight w:val="none"/>
          <w:vertAlign w:val="baseline"/>
          <w:lang w:val="en-US" w:eastAsia="zh-CN" w:bidi="ar"/>
        </w:rPr>
        <w:t>甲方</w:t>
      </w:r>
      <w:r>
        <w:rPr>
          <w:rFonts w:hint="default" w:ascii="宋体" w:hAnsi="宋体" w:eastAsia="宋体" w:cs="宋体"/>
          <w:color w:val="000000"/>
          <w:kern w:val="2"/>
          <w:sz w:val="21"/>
          <w:szCs w:val="21"/>
          <w:highlight w:val="none"/>
          <w:vertAlign w:val="baseline"/>
          <w:lang w:val="en-US" w:eastAsia="zh-CN" w:bidi="ar"/>
        </w:rPr>
        <w:t>及车辆管理者免费培训，直至软件运行正常，经</w:t>
      </w:r>
      <w:r>
        <w:rPr>
          <w:rFonts w:hint="eastAsia" w:ascii="宋体" w:hAnsi="宋体" w:eastAsia="宋体" w:cs="宋体"/>
          <w:color w:val="000000"/>
          <w:kern w:val="2"/>
          <w:sz w:val="21"/>
          <w:szCs w:val="21"/>
          <w:highlight w:val="none"/>
          <w:vertAlign w:val="baseline"/>
          <w:lang w:val="en-US" w:eastAsia="zh-CN" w:bidi="ar"/>
        </w:rPr>
        <w:t>甲方</w:t>
      </w:r>
      <w:r>
        <w:rPr>
          <w:rFonts w:hint="default" w:ascii="宋体" w:hAnsi="宋体" w:eastAsia="宋体" w:cs="宋体"/>
          <w:color w:val="000000"/>
          <w:kern w:val="2"/>
          <w:sz w:val="21"/>
          <w:szCs w:val="21"/>
          <w:highlight w:val="none"/>
          <w:vertAlign w:val="baseline"/>
          <w:lang w:val="en-US" w:eastAsia="zh-CN" w:bidi="ar"/>
        </w:rPr>
        <w:t>验收认可后理解为调试完成。期间产生的住宿、出行、餐饮、办公等费用由</w:t>
      </w:r>
      <w:r>
        <w:rPr>
          <w:rFonts w:hint="eastAsia" w:ascii="宋体" w:hAnsi="宋体" w:eastAsia="宋体" w:cs="宋体"/>
          <w:color w:val="000000"/>
          <w:kern w:val="2"/>
          <w:sz w:val="21"/>
          <w:szCs w:val="21"/>
          <w:highlight w:val="none"/>
          <w:vertAlign w:val="baseline"/>
          <w:lang w:val="en-US" w:eastAsia="zh-CN" w:bidi="ar"/>
        </w:rPr>
        <w:t>乙方</w:t>
      </w:r>
      <w:r>
        <w:rPr>
          <w:rFonts w:hint="default" w:ascii="宋体" w:hAnsi="宋体" w:eastAsia="宋体" w:cs="宋体"/>
          <w:color w:val="000000"/>
          <w:kern w:val="2"/>
          <w:sz w:val="21"/>
          <w:szCs w:val="21"/>
          <w:highlight w:val="none"/>
          <w:vertAlign w:val="baseline"/>
          <w:lang w:val="en-US" w:eastAsia="zh-CN" w:bidi="ar"/>
        </w:rPr>
        <w:t>自理；</w:t>
      </w:r>
    </w:p>
    <w:p>
      <w:pPr>
        <w:keepNext w:val="0"/>
        <w:keepLines w:val="0"/>
        <w:widowControl w:val="0"/>
        <w:suppressLineNumbers w:val="0"/>
        <w:spacing w:before="0" w:beforeAutospacing="0" w:after="0" w:afterAutospacing="0" w:line="360" w:lineRule="auto"/>
        <w:ind w:left="0" w:right="0" w:firstLine="435"/>
        <w:jc w:val="both"/>
        <w:textAlignment w:val="baseline"/>
        <w:rPr>
          <w:rFonts w:hint="default" w:ascii="宋体" w:hAnsi="宋体" w:eastAsia="宋体" w:cs="宋体"/>
          <w:color w:val="000000"/>
          <w:kern w:val="2"/>
          <w:sz w:val="21"/>
          <w:szCs w:val="21"/>
          <w:highlight w:val="none"/>
          <w:vertAlign w:val="baseline"/>
          <w:lang w:val="en-US" w:eastAsia="zh-CN" w:bidi="ar"/>
        </w:rPr>
      </w:pPr>
      <w:r>
        <w:rPr>
          <w:rFonts w:hint="eastAsia" w:ascii="宋体" w:hAnsi="宋体" w:eastAsia="宋体" w:cs="宋体"/>
          <w:color w:val="000000"/>
          <w:kern w:val="2"/>
          <w:sz w:val="21"/>
          <w:szCs w:val="21"/>
          <w:highlight w:val="none"/>
          <w:vertAlign w:val="baseline"/>
          <w:lang w:val="en-US" w:eastAsia="zh-CN" w:bidi="ar"/>
        </w:rPr>
        <w:t>1.7.</w:t>
      </w:r>
      <w:r>
        <w:rPr>
          <w:rFonts w:hint="default" w:ascii="宋体" w:hAnsi="宋体" w:eastAsia="宋体" w:cs="宋体"/>
          <w:color w:val="000000"/>
          <w:kern w:val="2"/>
          <w:sz w:val="21"/>
          <w:szCs w:val="21"/>
          <w:highlight w:val="none"/>
          <w:vertAlign w:val="baseline"/>
          <w:lang w:val="en-US" w:eastAsia="zh-CN" w:bidi="ar"/>
        </w:rPr>
        <w:t>3</w:t>
      </w:r>
      <w:r>
        <w:rPr>
          <w:rFonts w:hint="eastAsia" w:ascii="宋体" w:hAnsi="宋体" w:eastAsia="宋体" w:cs="宋体"/>
          <w:color w:val="000000"/>
          <w:kern w:val="2"/>
          <w:sz w:val="21"/>
          <w:szCs w:val="21"/>
          <w:highlight w:val="none"/>
          <w:vertAlign w:val="baseline"/>
          <w:lang w:val="en-US" w:eastAsia="zh-CN" w:bidi="ar"/>
        </w:rPr>
        <w:t>甲方</w:t>
      </w:r>
      <w:r>
        <w:rPr>
          <w:rFonts w:hint="default" w:ascii="宋体" w:hAnsi="宋体" w:eastAsia="宋体" w:cs="宋体"/>
          <w:color w:val="000000"/>
          <w:kern w:val="2"/>
          <w:sz w:val="21"/>
          <w:szCs w:val="21"/>
          <w:highlight w:val="none"/>
          <w:vertAlign w:val="baseline"/>
          <w:lang w:val="en-US" w:eastAsia="zh-CN" w:bidi="ar"/>
        </w:rPr>
        <w:t>有权根据调试过程中的实际情况，要求</w:t>
      </w:r>
      <w:r>
        <w:rPr>
          <w:rFonts w:hint="eastAsia" w:ascii="宋体" w:hAnsi="宋体" w:eastAsia="宋体" w:cs="宋体"/>
          <w:color w:val="000000"/>
          <w:kern w:val="2"/>
          <w:sz w:val="21"/>
          <w:szCs w:val="21"/>
          <w:highlight w:val="none"/>
          <w:vertAlign w:val="baseline"/>
          <w:lang w:val="en-US" w:eastAsia="zh-CN" w:bidi="ar"/>
        </w:rPr>
        <w:t>乙方</w:t>
      </w:r>
      <w:r>
        <w:rPr>
          <w:rFonts w:hint="default" w:ascii="宋体" w:hAnsi="宋体" w:eastAsia="宋体" w:cs="宋体"/>
          <w:color w:val="000000"/>
          <w:kern w:val="2"/>
          <w:sz w:val="21"/>
          <w:szCs w:val="21"/>
          <w:highlight w:val="none"/>
          <w:vertAlign w:val="baseline"/>
          <w:lang w:val="en-US" w:eastAsia="zh-CN" w:bidi="ar"/>
        </w:rPr>
        <w:t>进行技改调整；</w:t>
      </w:r>
    </w:p>
    <w:p>
      <w:pPr>
        <w:keepNext w:val="0"/>
        <w:keepLines w:val="0"/>
        <w:widowControl w:val="0"/>
        <w:suppressLineNumbers w:val="0"/>
        <w:spacing w:before="0" w:beforeAutospacing="0" w:after="0" w:afterAutospacing="0" w:line="360" w:lineRule="auto"/>
        <w:ind w:left="0" w:right="0" w:firstLine="435"/>
        <w:jc w:val="both"/>
        <w:textAlignment w:val="baseline"/>
        <w:rPr>
          <w:rFonts w:hint="default" w:ascii="宋体" w:hAnsi="宋体" w:eastAsia="宋体" w:cs="宋体"/>
          <w:color w:val="000000"/>
          <w:kern w:val="2"/>
          <w:sz w:val="21"/>
          <w:szCs w:val="21"/>
          <w:highlight w:val="none"/>
          <w:vertAlign w:val="baseline"/>
          <w:lang w:val="en-US" w:eastAsia="zh-CN" w:bidi="ar"/>
        </w:rPr>
      </w:pPr>
      <w:r>
        <w:rPr>
          <w:rFonts w:hint="default" w:ascii="宋体" w:hAnsi="宋体" w:eastAsia="宋体" w:cs="宋体"/>
          <w:color w:val="000000"/>
          <w:kern w:val="2"/>
          <w:sz w:val="21"/>
          <w:szCs w:val="21"/>
          <w:highlight w:val="none"/>
          <w:vertAlign w:val="baseline"/>
          <w:lang w:val="en-US" w:eastAsia="zh-CN" w:bidi="ar"/>
        </w:rPr>
        <w:t>1.7.4系统需具备高可用性，确保长时间稳定运行；</w:t>
      </w:r>
    </w:p>
    <w:p>
      <w:pPr>
        <w:keepNext w:val="0"/>
        <w:keepLines w:val="0"/>
        <w:widowControl w:val="0"/>
        <w:suppressLineNumbers w:val="0"/>
        <w:spacing w:before="0" w:beforeAutospacing="0" w:after="0" w:afterAutospacing="0" w:line="360" w:lineRule="auto"/>
        <w:ind w:left="0" w:right="0" w:firstLine="435"/>
        <w:jc w:val="both"/>
        <w:textAlignment w:val="baseline"/>
        <w:rPr>
          <w:rFonts w:hint="default" w:ascii="宋体" w:hAnsi="宋体" w:eastAsia="宋体" w:cs="宋体"/>
          <w:color w:val="000000"/>
          <w:kern w:val="2"/>
          <w:sz w:val="21"/>
          <w:szCs w:val="21"/>
          <w:highlight w:val="none"/>
          <w:vertAlign w:val="baseline"/>
          <w:lang w:val="en-US" w:eastAsia="zh-CN" w:bidi="ar"/>
        </w:rPr>
      </w:pPr>
      <w:r>
        <w:rPr>
          <w:rFonts w:hint="default" w:ascii="宋体" w:hAnsi="宋体" w:eastAsia="宋体" w:cs="宋体"/>
          <w:color w:val="000000"/>
          <w:kern w:val="2"/>
          <w:sz w:val="21"/>
          <w:szCs w:val="21"/>
          <w:highlight w:val="none"/>
          <w:vertAlign w:val="baseline"/>
          <w:lang w:val="en-US" w:eastAsia="zh-CN" w:bidi="ar"/>
        </w:rPr>
        <w:t>1.7.5数据处理速度快，响应时间短；</w:t>
      </w:r>
    </w:p>
    <w:p>
      <w:pPr>
        <w:pStyle w:val="7"/>
        <w:rPr>
          <w:rFonts w:hint="default"/>
          <w:highlight w:val="none"/>
          <w:lang w:val="en-US"/>
        </w:rPr>
      </w:pPr>
      <w:r>
        <w:rPr>
          <w:rFonts w:hint="eastAsia" w:ascii="宋体" w:hAnsi="宋体" w:cs="宋体"/>
          <w:color w:val="000000"/>
          <w:sz w:val="21"/>
          <w:szCs w:val="21"/>
          <w:highlight w:val="none"/>
          <w:lang w:val="en-US" w:eastAsia="zh-CN"/>
        </w:rPr>
        <w:t>1.7.6系统安全性高，数据保密性强。</w:t>
      </w:r>
    </w:p>
    <w:p>
      <w:pPr>
        <w:keepNext w:val="0"/>
        <w:keepLines w:val="0"/>
        <w:widowControl w:val="0"/>
        <w:suppressLineNumbers w:val="0"/>
        <w:spacing w:before="0" w:beforeAutospacing="0" w:after="0" w:afterAutospacing="0" w:line="360" w:lineRule="auto"/>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1.8 合同争议的解决</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本合同履行过程中发生的任何争议，双方当事人均可通过和解或者调解解决；不愿和解、调解或者和解、调解不成的，可以选择下列第</w:t>
      </w:r>
      <w:r>
        <w:rPr>
          <w:rFonts w:hint="eastAsia" w:ascii="宋体" w:hAnsi="宋体" w:eastAsia="宋体" w:cs="宋体"/>
          <w:color w:val="000000"/>
          <w:kern w:val="2"/>
          <w:sz w:val="21"/>
          <w:szCs w:val="21"/>
          <w:highlight w:val="none"/>
          <w:u w:val="single" w:color="000000"/>
          <w:vertAlign w:val="baseline"/>
          <w:lang w:val="en-US" w:eastAsia="zh-CN" w:bidi="ar"/>
        </w:rPr>
        <w:t xml:space="preserve">    </w:t>
      </w:r>
      <w:r>
        <w:rPr>
          <w:rFonts w:hint="eastAsia" w:ascii="宋体" w:hAnsi="宋体" w:eastAsia="宋体" w:cs="宋体"/>
          <w:color w:val="000000"/>
          <w:kern w:val="2"/>
          <w:sz w:val="21"/>
          <w:szCs w:val="21"/>
          <w:highlight w:val="none"/>
          <w:vertAlign w:val="baseline"/>
          <w:lang w:val="en-US" w:eastAsia="zh-CN" w:bidi="ar"/>
        </w:rPr>
        <w:t>种方式解决：</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1.8.1将争议提交滁州仲裁委员会依申请仲裁时其现行有效的仲裁规则裁决；</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1.8.2向甲方（采购人）所在地人民法院起诉。</w:t>
      </w:r>
    </w:p>
    <w:p>
      <w:pPr>
        <w:keepNext w:val="0"/>
        <w:keepLines w:val="0"/>
        <w:widowControl w:val="0"/>
        <w:suppressLineNumbers w:val="0"/>
        <w:spacing w:before="0" w:beforeAutospacing="0" w:after="0" w:afterAutospacing="0" w:line="360" w:lineRule="auto"/>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1.9 合同生效</w:t>
      </w:r>
    </w:p>
    <w:p>
      <w:pPr>
        <w:keepNext w:val="0"/>
        <w:keepLines w:val="0"/>
        <w:widowControl w:val="0"/>
        <w:suppressLineNumbers w:val="0"/>
        <w:spacing w:before="0" w:beforeAutospacing="0" w:after="0" w:afterAutospacing="0" w:line="360" w:lineRule="auto"/>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本合同自双方当事人盖章时生效。</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textAlignment w:val="baseline"/>
        <w:rPr>
          <w:rFonts w:hint="eastAsia" w:ascii="宋体" w:hAnsi="宋体" w:eastAsia="宋体" w:cs="宋体"/>
          <w:bCs/>
          <w:color w:val="000000"/>
          <w:kern w:val="2"/>
          <w:sz w:val="21"/>
          <w:szCs w:val="21"/>
          <w:highlight w:val="none"/>
          <w:vertAlign w:val="baseline"/>
        </w:rPr>
      </w:pPr>
      <w:r>
        <w:rPr>
          <w:rFonts w:hint="eastAsia" w:ascii="宋体" w:hAnsi="宋体" w:eastAsia="宋体" w:cs="宋体"/>
          <w:bCs/>
          <w:color w:val="000000"/>
          <w:kern w:val="2"/>
          <w:sz w:val="21"/>
          <w:szCs w:val="21"/>
          <w:highlight w:val="none"/>
          <w:vertAlign w:val="baseline"/>
          <w:lang w:val="en-US" w:eastAsia="zh-CN" w:bidi="ar"/>
        </w:rPr>
        <w:t>甲    方：</w:t>
      </w:r>
      <w:r>
        <w:rPr>
          <w:rFonts w:hint="eastAsia" w:ascii="宋体" w:hAnsi="宋体" w:eastAsia="宋体" w:cs="宋体"/>
          <w:bCs/>
          <w:color w:val="000000"/>
          <w:kern w:val="2"/>
          <w:sz w:val="21"/>
          <w:szCs w:val="21"/>
          <w:highlight w:val="none"/>
          <w:u w:val="single" w:color="000000"/>
          <w:vertAlign w:val="baseline"/>
          <w:lang w:val="en-US" w:eastAsia="zh-CN" w:bidi="ar"/>
        </w:rPr>
        <w:t xml:space="preserve">    （单位盖章）     </w:t>
      </w:r>
      <w:r>
        <w:rPr>
          <w:rFonts w:hint="eastAsia" w:ascii="宋体" w:hAnsi="宋体" w:eastAsia="宋体" w:cs="宋体"/>
          <w:bCs/>
          <w:color w:val="000000"/>
          <w:kern w:val="2"/>
          <w:sz w:val="21"/>
          <w:szCs w:val="21"/>
          <w:highlight w:val="none"/>
          <w:vertAlign w:val="baseline"/>
          <w:lang w:val="en-US" w:eastAsia="zh-CN" w:bidi="ar"/>
        </w:rPr>
        <w:t xml:space="preserve">          乙    方：</w:t>
      </w:r>
      <w:r>
        <w:rPr>
          <w:rFonts w:hint="eastAsia" w:ascii="宋体" w:hAnsi="宋体" w:eastAsia="宋体" w:cs="宋体"/>
          <w:bCs/>
          <w:color w:val="000000"/>
          <w:kern w:val="2"/>
          <w:sz w:val="21"/>
          <w:szCs w:val="21"/>
          <w:highlight w:val="none"/>
          <w:u w:val="single" w:color="000000"/>
          <w:vertAlign w:val="baseline"/>
          <w:lang w:val="en-US" w:eastAsia="zh-CN" w:bidi="ar"/>
        </w:rPr>
        <w:t xml:space="preserve">    （单位盖章）     </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法定代表人                               法定代表人</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或授权代表（签字）：                     或授权代表（签字）：</w:t>
      </w:r>
    </w:p>
    <w:p>
      <w:pPr>
        <w:keepNext w:val="0"/>
        <w:keepLines w:val="0"/>
        <w:widowControl/>
        <w:suppressLineNumbers w:val="0"/>
        <w:spacing w:before="0" w:beforeAutospacing="0" w:after="0" w:afterAutospacing="0" w:line="357" w:lineRule="atLeast"/>
        <w:ind w:left="0" w:right="0"/>
        <w:jc w:val="both"/>
        <w:textAlignment w:val="baseline"/>
        <w:rPr>
          <w:rFonts w:hint="default" w:ascii="Times New Roman" w:hAnsi="Times New Roman" w:cs="Times New Roman"/>
          <w:color w:val="000000"/>
          <w:kern w:val="2"/>
          <w:sz w:val="21"/>
          <w:szCs w:val="21"/>
          <w:highlight w:val="none"/>
          <w:vertAlign w:val="baseline"/>
        </w:rPr>
      </w:pPr>
      <w:r>
        <w:rPr>
          <w:rFonts w:hint="eastAsia" w:ascii="宋体" w:hAnsi="宋体" w:eastAsia="宋体" w:cs="宋体"/>
          <w:bCs/>
          <w:color w:val="000000"/>
          <w:kern w:val="2"/>
          <w:sz w:val="21"/>
          <w:szCs w:val="21"/>
          <w:highlight w:val="none"/>
          <w:vertAlign w:val="baseline"/>
          <w:lang w:val="en-US" w:eastAsia="zh-CN" w:bidi="ar"/>
        </w:rPr>
        <w:t>时间：</w:t>
      </w:r>
      <w:r>
        <w:rPr>
          <w:rFonts w:hint="eastAsia" w:ascii="宋体" w:hAnsi="宋体" w:eastAsia="宋体" w:cs="宋体"/>
          <w:bCs/>
          <w:color w:val="000000"/>
          <w:kern w:val="2"/>
          <w:sz w:val="21"/>
          <w:szCs w:val="21"/>
          <w:highlight w:val="none"/>
          <w:u w:val="single" w:color="000000"/>
          <w:vertAlign w:val="baseline"/>
          <w:lang w:val="en-US" w:eastAsia="zh-CN" w:bidi="ar"/>
        </w:rPr>
        <w:t xml:space="preserve">      </w:t>
      </w:r>
      <w:r>
        <w:rPr>
          <w:rFonts w:hint="eastAsia" w:ascii="宋体" w:hAnsi="宋体" w:eastAsia="宋体" w:cs="宋体"/>
          <w:bCs/>
          <w:color w:val="000000"/>
          <w:kern w:val="2"/>
          <w:sz w:val="21"/>
          <w:szCs w:val="21"/>
          <w:highlight w:val="none"/>
          <w:vertAlign w:val="baseline"/>
          <w:lang w:val="en-US" w:eastAsia="zh-CN" w:bidi="ar"/>
        </w:rPr>
        <w:t>年</w:t>
      </w:r>
      <w:r>
        <w:rPr>
          <w:rFonts w:hint="eastAsia" w:ascii="宋体" w:hAnsi="宋体" w:eastAsia="宋体" w:cs="宋体"/>
          <w:bCs/>
          <w:color w:val="000000"/>
          <w:kern w:val="2"/>
          <w:sz w:val="21"/>
          <w:szCs w:val="21"/>
          <w:highlight w:val="none"/>
          <w:u w:val="single" w:color="000000"/>
          <w:vertAlign w:val="baseline"/>
          <w:lang w:val="en-US" w:eastAsia="zh-CN" w:bidi="ar"/>
        </w:rPr>
        <w:t xml:space="preserve">    </w:t>
      </w:r>
      <w:r>
        <w:rPr>
          <w:rFonts w:hint="eastAsia" w:ascii="宋体" w:hAnsi="宋体" w:eastAsia="宋体" w:cs="宋体"/>
          <w:bCs/>
          <w:color w:val="000000"/>
          <w:kern w:val="2"/>
          <w:sz w:val="21"/>
          <w:szCs w:val="21"/>
          <w:highlight w:val="none"/>
          <w:vertAlign w:val="baseline"/>
          <w:lang w:val="en-US" w:eastAsia="zh-CN" w:bidi="ar"/>
        </w:rPr>
        <w:t>月</w:t>
      </w:r>
      <w:r>
        <w:rPr>
          <w:rFonts w:hint="eastAsia" w:ascii="宋体" w:hAnsi="宋体" w:eastAsia="宋体" w:cs="宋体"/>
          <w:bCs/>
          <w:color w:val="000000"/>
          <w:kern w:val="2"/>
          <w:sz w:val="21"/>
          <w:szCs w:val="21"/>
          <w:highlight w:val="none"/>
          <w:u w:val="single" w:color="000000"/>
          <w:vertAlign w:val="baseline"/>
          <w:lang w:val="en-US" w:eastAsia="zh-CN" w:bidi="ar"/>
        </w:rPr>
        <w:t xml:space="preserve">    </w:t>
      </w:r>
      <w:r>
        <w:rPr>
          <w:rFonts w:hint="eastAsia" w:ascii="宋体" w:hAnsi="宋体" w:eastAsia="宋体" w:cs="宋体"/>
          <w:bCs/>
          <w:color w:val="000000"/>
          <w:kern w:val="2"/>
          <w:sz w:val="21"/>
          <w:szCs w:val="21"/>
          <w:highlight w:val="none"/>
          <w:vertAlign w:val="baseline"/>
          <w:lang w:val="en-US" w:eastAsia="zh-CN" w:bidi="ar"/>
        </w:rPr>
        <w:t>日               时间：</w:t>
      </w:r>
      <w:r>
        <w:rPr>
          <w:rFonts w:hint="eastAsia" w:ascii="宋体" w:hAnsi="宋体" w:eastAsia="宋体" w:cs="宋体"/>
          <w:bCs/>
          <w:color w:val="000000"/>
          <w:kern w:val="2"/>
          <w:sz w:val="21"/>
          <w:szCs w:val="21"/>
          <w:highlight w:val="none"/>
          <w:u w:val="single" w:color="000000"/>
          <w:vertAlign w:val="baseline"/>
          <w:lang w:val="en-US" w:eastAsia="zh-CN" w:bidi="ar"/>
        </w:rPr>
        <w:t xml:space="preserve">      </w:t>
      </w:r>
      <w:r>
        <w:rPr>
          <w:rFonts w:hint="eastAsia" w:ascii="宋体" w:hAnsi="宋体" w:eastAsia="宋体" w:cs="宋体"/>
          <w:bCs/>
          <w:color w:val="000000"/>
          <w:kern w:val="2"/>
          <w:sz w:val="21"/>
          <w:szCs w:val="21"/>
          <w:highlight w:val="none"/>
          <w:vertAlign w:val="baseline"/>
          <w:lang w:val="en-US" w:eastAsia="zh-CN" w:bidi="ar"/>
        </w:rPr>
        <w:t>年</w:t>
      </w:r>
      <w:r>
        <w:rPr>
          <w:rFonts w:hint="eastAsia" w:ascii="宋体" w:hAnsi="宋体" w:eastAsia="宋体" w:cs="宋体"/>
          <w:bCs/>
          <w:color w:val="000000"/>
          <w:kern w:val="2"/>
          <w:sz w:val="21"/>
          <w:szCs w:val="21"/>
          <w:highlight w:val="none"/>
          <w:u w:val="single" w:color="000000"/>
          <w:vertAlign w:val="baseline"/>
          <w:lang w:val="en-US" w:eastAsia="zh-CN" w:bidi="ar"/>
        </w:rPr>
        <w:t xml:space="preserve">    </w:t>
      </w:r>
      <w:r>
        <w:rPr>
          <w:rFonts w:hint="eastAsia" w:ascii="宋体" w:hAnsi="宋体" w:eastAsia="宋体" w:cs="宋体"/>
          <w:bCs/>
          <w:color w:val="000000"/>
          <w:kern w:val="2"/>
          <w:sz w:val="21"/>
          <w:szCs w:val="21"/>
          <w:highlight w:val="none"/>
          <w:vertAlign w:val="baseline"/>
          <w:lang w:val="en-US" w:eastAsia="zh-CN" w:bidi="ar"/>
        </w:rPr>
        <w:t>月</w:t>
      </w:r>
      <w:r>
        <w:rPr>
          <w:rFonts w:hint="eastAsia" w:ascii="宋体" w:hAnsi="宋体" w:eastAsia="宋体" w:cs="宋体"/>
          <w:bCs/>
          <w:color w:val="000000"/>
          <w:kern w:val="2"/>
          <w:sz w:val="21"/>
          <w:szCs w:val="21"/>
          <w:highlight w:val="none"/>
          <w:u w:val="single" w:color="000000"/>
          <w:vertAlign w:val="baseline"/>
          <w:lang w:val="en-US" w:eastAsia="zh-CN" w:bidi="ar"/>
        </w:rPr>
        <w:t xml:space="preserve">    </w:t>
      </w:r>
      <w:r>
        <w:rPr>
          <w:rFonts w:hint="eastAsia" w:ascii="宋体" w:hAnsi="宋体" w:eastAsia="宋体" w:cs="宋体"/>
          <w:bCs/>
          <w:color w:val="000000"/>
          <w:kern w:val="2"/>
          <w:sz w:val="21"/>
          <w:szCs w:val="21"/>
          <w:highlight w:val="none"/>
          <w:vertAlign w:val="baseline"/>
          <w:lang w:val="en-US" w:eastAsia="zh-CN" w:bidi="ar"/>
        </w:rPr>
        <w:t>日</w:t>
      </w:r>
    </w:p>
    <w:p>
      <w:pPr>
        <w:keepNext w:val="0"/>
        <w:keepLines w:val="0"/>
        <w:widowControl/>
        <w:suppressLineNumbers w:val="0"/>
        <w:spacing w:before="0" w:beforeAutospacing="0" w:after="0" w:afterAutospacing="0" w:line="314" w:lineRule="auto"/>
        <w:ind w:left="0" w:right="0"/>
        <w:jc w:val="center"/>
        <w:textAlignment w:val="baseline"/>
        <w:rPr>
          <w:rFonts w:hint="eastAsia" w:ascii="宋体" w:hAnsi="宋体" w:eastAsia="宋体" w:cs="宋体"/>
          <w:b/>
          <w:bCs w:val="0"/>
          <w:kern w:val="2"/>
          <w:sz w:val="24"/>
          <w:szCs w:val="24"/>
          <w:highlight w:val="none"/>
          <w:vertAlign w:val="baseline"/>
        </w:rPr>
      </w:pPr>
      <w:r>
        <w:rPr>
          <w:rFonts w:hint="eastAsia" w:ascii="宋体" w:hAnsi="宋体" w:eastAsia="宋体" w:cs="宋体"/>
          <w:b/>
          <w:bCs w:val="0"/>
          <w:color w:val="000000"/>
          <w:kern w:val="0"/>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314" w:lineRule="auto"/>
        <w:ind w:left="0" w:right="0"/>
        <w:jc w:val="center"/>
        <w:textAlignment w:val="baseline"/>
        <w:rPr>
          <w:rFonts w:hint="eastAsia" w:ascii="宋体" w:hAnsi="宋体" w:eastAsia="宋体" w:cs="宋体"/>
          <w:b/>
          <w:bCs w:val="0"/>
          <w:kern w:val="2"/>
          <w:sz w:val="24"/>
          <w:szCs w:val="24"/>
          <w:highlight w:val="none"/>
          <w:vertAlign w:val="baseline"/>
        </w:rPr>
      </w:pPr>
      <w:r>
        <w:rPr>
          <w:rFonts w:hint="eastAsia" w:ascii="宋体" w:hAnsi="宋体" w:eastAsia="宋体" w:cs="宋体"/>
          <w:b/>
          <w:bCs w:val="0"/>
          <w:color w:val="000000"/>
          <w:kern w:val="0"/>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314" w:lineRule="auto"/>
        <w:ind w:left="0" w:right="0"/>
        <w:jc w:val="center"/>
        <w:textAlignment w:val="baseline"/>
        <w:rPr>
          <w:rFonts w:hint="eastAsia" w:ascii="宋体" w:hAnsi="宋体" w:eastAsia="宋体" w:cs="宋体"/>
          <w:b/>
          <w:bCs w:val="0"/>
          <w:kern w:val="2"/>
          <w:sz w:val="24"/>
          <w:szCs w:val="24"/>
          <w:highlight w:val="none"/>
          <w:vertAlign w:val="baseline"/>
        </w:rPr>
      </w:pPr>
      <w:r>
        <w:rPr>
          <w:rFonts w:hint="eastAsia" w:ascii="宋体" w:hAnsi="宋体" w:eastAsia="宋体" w:cs="宋体"/>
          <w:b/>
          <w:bCs w:val="0"/>
          <w:color w:val="000000"/>
          <w:kern w:val="0"/>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314" w:lineRule="auto"/>
        <w:ind w:left="0" w:right="0"/>
        <w:jc w:val="center"/>
        <w:textAlignment w:val="baseline"/>
        <w:rPr>
          <w:rFonts w:hint="eastAsia" w:ascii="宋体" w:hAnsi="宋体" w:eastAsia="宋体" w:cs="宋体"/>
          <w:b/>
          <w:bCs w:val="0"/>
          <w:kern w:val="2"/>
          <w:sz w:val="24"/>
          <w:szCs w:val="24"/>
          <w:highlight w:val="none"/>
          <w:vertAlign w:val="baseline"/>
        </w:rPr>
      </w:pPr>
      <w:r>
        <w:rPr>
          <w:rFonts w:hint="eastAsia" w:ascii="宋体" w:hAnsi="宋体" w:eastAsia="宋体" w:cs="宋体"/>
          <w:b/>
          <w:bCs w:val="0"/>
          <w:color w:val="000000"/>
          <w:kern w:val="0"/>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314" w:lineRule="auto"/>
        <w:ind w:left="0" w:right="0"/>
        <w:jc w:val="center"/>
        <w:textAlignment w:val="baseline"/>
        <w:rPr>
          <w:rFonts w:hint="eastAsia" w:ascii="宋体" w:hAnsi="宋体" w:eastAsia="宋体" w:cs="宋体"/>
          <w:b/>
          <w:bCs w:val="0"/>
          <w:kern w:val="2"/>
          <w:sz w:val="24"/>
          <w:szCs w:val="24"/>
          <w:highlight w:val="none"/>
          <w:vertAlign w:val="baseline"/>
        </w:rPr>
      </w:pPr>
      <w:r>
        <w:rPr>
          <w:rFonts w:hint="eastAsia" w:ascii="宋体" w:hAnsi="宋体" w:eastAsia="宋体" w:cs="宋体"/>
          <w:b/>
          <w:bCs w:val="0"/>
          <w:color w:val="000000"/>
          <w:kern w:val="0"/>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314" w:lineRule="auto"/>
        <w:ind w:left="0" w:right="0"/>
        <w:jc w:val="center"/>
        <w:textAlignment w:val="baseline"/>
        <w:rPr>
          <w:rFonts w:hint="eastAsia" w:ascii="宋体" w:hAnsi="宋体" w:eastAsia="宋体" w:cs="宋体"/>
          <w:b/>
          <w:bCs w:val="0"/>
          <w:kern w:val="2"/>
          <w:sz w:val="24"/>
          <w:szCs w:val="24"/>
          <w:highlight w:val="none"/>
          <w:vertAlign w:val="baseline"/>
        </w:rPr>
      </w:pPr>
      <w:r>
        <w:rPr>
          <w:rFonts w:hint="eastAsia" w:ascii="宋体" w:hAnsi="宋体" w:eastAsia="宋体" w:cs="宋体"/>
          <w:b/>
          <w:bCs w:val="0"/>
          <w:color w:val="000000"/>
          <w:kern w:val="0"/>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314" w:lineRule="auto"/>
        <w:ind w:left="0" w:right="0"/>
        <w:jc w:val="center"/>
        <w:textAlignment w:val="baseline"/>
        <w:rPr>
          <w:rFonts w:hint="eastAsia" w:ascii="宋体" w:hAnsi="宋体" w:eastAsia="宋体" w:cs="宋体"/>
          <w:b/>
          <w:bCs w:val="0"/>
          <w:kern w:val="2"/>
          <w:sz w:val="24"/>
          <w:szCs w:val="24"/>
          <w:highlight w:val="none"/>
          <w:vertAlign w:val="baseline"/>
        </w:rPr>
      </w:pPr>
      <w:r>
        <w:rPr>
          <w:rFonts w:hint="eastAsia" w:ascii="宋体" w:hAnsi="宋体" w:eastAsia="宋体" w:cs="宋体"/>
          <w:b/>
          <w:bCs w:val="0"/>
          <w:color w:val="000000"/>
          <w:kern w:val="0"/>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314" w:lineRule="auto"/>
        <w:ind w:left="0" w:right="0"/>
        <w:jc w:val="center"/>
        <w:textAlignment w:val="baseline"/>
        <w:rPr>
          <w:rFonts w:hint="eastAsia" w:ascii="宋体" w:hAnsi="宋体" w:eastAsia="宋体" w:cs="宋体"/>
          <w:b/>
          <w:bCs w:val="0"/>
          <w:kern w:val="2"/>
          <w:sz w:val="24"/>
          <w:szCs w:val="24"/>
          <w:highlight w:val="none"/>
          <w:vertAlign w:val="baseline"/>
        </w:rPr>
      </w:pPr>
      <w:r>
        <w:rPr>
          <w:rFonts w:hint="eastAsia" w:ascii="宋体" w:hAnsi="宋体" w:eastAsia="宋体" w:cs="宋体"/>
          <w:b/>
          <w:bCs w:val="0"/>
          <w:color w:val="000000"/>
          <w:kern w:val="0"/>
          <w:sz w:val="24"/>
          <w:szCs w:val="24"/>
          <w:highlight w:val="none"/>
          <w:vertAlign w:val="baseline"/>
          <w:lang w:val="en-US" w:eastAsia="zh-CN" w:bidi="ar"/>
        </w:rPr>
        <w:t xml:space="preserve"> </w:t>
      </w:r>
    </w:p>
    <w:p>
      <w:pPr>
        <w:keepNext w:val="0"/>
        <w:keepLines w:val="0"/>
        <w:widowControl/>
        <w:suppressLineNumbers w:val="0"/>
        <w:spacing w:before="0" w:beforeAutospacing="0" w:after="0" w:afterAutospacing="0" w:line="314" w:lineRule="auto"/>
        <w:ind w:left="0" w:right="0"/>
        <w:jc w:val="center"/>
        <w:textAlignment w:val="baseline"/>
        <w:rPr>
          <w:rFonts w:hint="eastAsia" w:ascii="宋体" w:hAnsi="宋体" w:eastAsia="宋体" w:cs="宋体"/>
          <w:b/>
          <w:bCs w:val="0"/>
          <w:kern w:val="2"/>
          <w:sz w:val="24"/>
          <w:szCs w:val="24"/>
          <w:highlight w:val="none"/>
          <w:vertAlign w:val="baseline"/>
        </w:rPr>
      </w:pPr>
      <w:r>
        <w:rPr>
          <w:rFonts w:hint="eastAsia" w:ascii="宋体" w:hAnsi="宋体" w:eastAsia="宋体" w:cs="宋体"/>
          <w:b/>
          <w:bCs w:val="0"/>
          <w:color w:val="000000"/>
          <w:kern w:val="0"/>
          <w:sz w:val="24"/>
          <w:szCs w:val="24"/>
          <w:highlight w:val="none"/>
          <w:vertAlign w:val="baseline"/>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textAlignment w:val="baseline"/>
        <w:outlineLvl w:val="2"/>
        <w:rPr>
          <w:rFonts w:hint="eastAsia" w:ascii="宋体" w:hAnsi="宋体" w:eastAsia="宋体" w:cs="宋体"/>
          <w:b/>
          <w:bCs w:val="0"/>
          <w:color w:val="000000"/>
          <w:kern w:val="2"/>
          <w:sz w:val="21"/>
          <w:szCs w:val="21"/>
          <w:highlight w:val="none"/>
          <w:vertAlign w:val="baseline"/>
        </w:rPr>
      </w:pPr>
      <w:r>
        <w:rPr>
          <w:rFonts w:hint="eastAsia" w:ascii="宋体" w:hAnsi="宋体" w:eastAsia="宋体" w:cs="宋体"/>
          <w:b/>
          <w:bCs w:val="0"/>
          <w:color w:val="000000"/>
          <w:kern w:val="2"/>
          <w:sz w:val="21"/>
          <w:szCs w:val="21"/>
          <w:highlight w:val="none"/>
          <w:vertAlign w:val="baseline"/>
          <w:lang w:val="en-US" w:eastAsia="zh-CN" w:bidi="ar"/>
        </w:rPr>
        <w:br w:type="page"/>
      </w:r>
      <w:r>
        <w:rPr>
          <w:rFonts w:hint="eastAsia" w:ascii="宋体" w:hAnsi="宋体" w:eastAsia="宋体" w:cs="宋体"/>
          <w:b/>
          <w:bCs w:val="0"/>
          <w:color w:val="000000"/>
          <w:kern w:val="2"/>
          <w:sz w:val="21"/>
          <w:szCs w:val="21"/>
          <w:highlight w:val="none"/>
          <w:vertAlign w:val="baseline"/>
          <w:lang w:val="en-US" w:eastAsia="zh-CN" w:bidi="ar"/>
        </w:rPr>
        <w:t>第二部分 合同一般条款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2.1 定义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本合同中的下列词语应按以下内容进行解释：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2.1.1“合同”系指采购人和中标人签订的载明双方当事人所达成的协议，并包括所有的附件、附录和构成合同的其他文件。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2.1.2“合同价”系指根据合同约定，中标人在完全履行合同义务后，采购人应支付给中标人的价格。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2.1.3“服务”系指中标人根据合同约定应向采购人履行的除货物和工程以外的其他政府采购对象，包括采购人自身需要的服务和向社会公众提供的公共服务。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2.1.4“甲方”系指与中标人签署合同的采购人；采购人委托采购代理机构代表其与乙方签订合同的，采购人的授权委托书作为合同附件。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2.1.5“乙方”系指根据合同约定提供服务的中标人；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2.1.6“现场”系指合同约定提供服务的地点。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2.2 技术规范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2.3 知识产权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2.3.2具有知识产权的计算机软件等货物的知识产权归属，详见</w:t>
      </w:r>
      <w:r>
        <w:rPr>
          <w:rFonts w:hint="eastAsia" w:ascii="宋体" w:hAnsi="宋体" w:eastAsia="宋体" w:cs="宋体"/>
          <w:b/>
          <w:bCs w:val="0"/>
          <w:i/>
          <w:iCs w:val="0"/>
          <w:color w:val="000000"/>
          <w:kern w:val="2"/>
          <w:sz w:val="21"/>
          <w:szCs w:val="21"/>
          <w:highlight w:val="none"/>
          <w:u w:val="single" w:color="000000"/>
          <w:vertAlign w:val="baseline"/>
          <w:lang w:val="en-US" w:eastAsia="zh-CN" w:bidi="ar"/>
        </w:rPr>
        <w:t>合同专用条款</w:t>
      </w:r>
      <w:r>
        <w:rPr>
          <w:rFonts w:hint="eastAsia" w:ascii="宋体" w:hAnsi="宋体" w:eastAsia="宋体" w:cs="宋体"/>
          <w:color w:val="000000"/>
          <w:kern w:val="2"/>
          <w:sz w:val="21"/>
          <w:szCs w:val="21"/>
          <w:highlight w:val="none"/>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2.4 履约检查和问题反馈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2.4.1甲方有权在其认为必要时，对乙方是否能够按照合同约定提供服务进行履约检查，以确保乙方所提供的服务能够依约满足甲方项目需求，但不得因履约检查妨碍乙方的正常工作，乙方应予积极配合；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2.4.2合同履行期间，甲方有权将履行过程中出现的问题反馈给乙方，双方当事人应以书面形式约定需要完善和改进的内容。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2.5 结算方式和付款条件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详见</w:t>
      </w:r>
      <w:r>
        <w:rPr>
          <w:rFonts w:hint="eastAsia" w:ascii="宋体" w:hAnsi="宋体" w:eastAsia="宋体" w:cs="宋体"/>
          <w:b/>
          <w:bCs w:val="0"/>
          <w:i/>
          <w:iCs w:val="0"/>
          <w:color w:val="000000"/>
          <w:kern w:val="2"/>
          <w:sz w:val="21"/>
          <w:szCs w:val="21"/>
          <w:highlight w:val="none"/>
          <w:u w:val="single" w:color="000000"/>
          <w:vertAlign w:val="baseline"/>
          <w:lang w:val="en-US" w:eastAsia="zh-CN" w:bidi="ar"/>
        </w:rPr>
        <w:t>合同专用条款</w:t>
      </w:r>
      <w:r>
        <w:rPr>
          <w:rFonts w:hint="eastAsia" w:ascii="宋体" w:hAnsi="宋体" w:eastAsia="宋体" w:cs="宋体"/>
          <w:color w:val="000000"/>
          <w:kern w:val="2"/>
          <w:sz w:val="21"/>
          <w:szCs w:val="21"/>
          <w:highlight w:val="none"/>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2.6 技术资料和保密义务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2.6.1乙方有权依据合同约定和项目需要，向甲方了解有关情况，调阅有关资料等，甲方应予积极配合；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2.6.2乙方有义务妥善保管和保护由甲方提供的前款信息和资料等；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2.7 质量保证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2.7.1乙方应建立和完善履行合同的内部质量保证体系，并提供相关内部规章制度给甲方，以便甲方进行监督检查；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2.7.2乙方应保证履行合同的人员数量和素质、软件和硬件设备的配置、场地、环境和设施等满足全面履行合同的要求，并应接受甲方的监督检查。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val="0"/>
          <w:color w:val="000000"/>
          <w:kern w:val="2"/>
          <w:sz w:val="21"/>
          <w:szCs w:val="21"/>
          <w:highlight w:val="none"/>
          <w:vertAlign w:val="baseline"/>
        </w:rPr>
      </w:pPr>
      <w:r>
        <w:rPr>
          <w:rFonts w:hint="eastAsia" w:ascii="宋体" w:hAnsi="宋体" w:eastAsia="宋体" w:cs="宋体"/>
          <w:b/>
          <w:bCs w:val="0"/>
          <w:color w:val="000000"/>
          <w:kern w:val="2"/>
          <w:sz w:val="21"/>
          <w:szCs w:val="21"/>
          <w:highlight w:val="none"/>
          <w:vertAlign w:val="baseline"/>
          <w:lang w:val="en-US" w:eastAsia="zh-CN" w:bidi="ar"/>
        </w:rPr>
        <w:t>2.8 延迟履行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2.9 合同变更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2.9.1双方当事人协商一致，可以签订书面补充合同的形式变更合同，但不得违背采购文件确定的事项；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2.9.2合同继续履行将损害国家利益和社会公共利益的，双方当事人应当以书面形式变更合同。有过错的一方应当承担赔偿责任，双方当事人都有过错的，各自承担相应的责任。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2.10 合同转让和分包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2.11 不可抗力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2.11.1如果任何一方遭遇法律规定的不可抗力，致使合同履行受阻时，履行合同的期限应予延长，延长的期限应相当于不可抗力所影响的时间；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2.11.2因不可抗力致使不能实现合同目的的，当事人可以解除合同；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2.11.3因不可抗力致使合同有变更必要的，双方当事人应在</w:t>
      </w:r>
      <w:r>
        <w:rPr>
          <w:rFonts w:hint="eastAsia" w:ascii="宋体" w:hAnsi="宋体" w:eastAsia="宋体" w:cs="宋体"/>
          <w:b/>
          <w:bCs w:val="0"/>
          <w:i/>
          <w:iCs w:val="0"/>
          <w:color w:val="000000"/>
          <w:kern w:val="2"/>
          <w:sz w:val="21"/>
          <w:szCs w:val="21"/>
          <w:highlight w:val="none"/>
          <w:u w:val="single" w:color="000000"/>
          <w:vertAlign w:val="baseline"/>
          <w:lang w:val="en-US" w:eastAsia="zh-CN" w:bidi="ar"/>
        </w:rPr>
        <w:t>合同专用条款</w:t>
      </w:r>
      <w:r>
        <w:rPr>
          <w:rFonts w:hint="eastAsia" w:ascii="宋体" w:hAnsi="宋体" w:eastAsia="宋体" w:cs="宋体"/>
          <w:color w:val="000000"/>
          <w:kern w:val="2"/>
          <w:sz w:val="21"/>
          <w:szCs w:val="21"/>
          <w:highlight w:val="none"/>
          <w:vertAlign w:val="baseline"/>
          <w:lang w:val="en-US" w:eastAsia="zh-CN" w:bidi="ar"/>
        </w:rPr>
        <w:t>约定时间内以书面形式变更合同；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2.11.4受不可抗力影响的一方在不可抗力发生后，应在</w:t>
      </w:r>
      <w:r>
        <w:rPr>
          <w:rFonts w:hint="eastAsia" w:ascii="宋体" w:hAnsi="宋体" w:eastAsia="宋体" w:cs="宋体"/>
          <w:b/>
          <w:bCs w:val="0"/>
          <w:i/>
          <w:iCs w:val="0"/>
          <w:color w:val="000000"/>
          <w:kern w:val="2"/>
          <w:sz w:val="21"/>
          <w:szCs w:val="21"/>
          <w:highlight w:val="none"/>
          <w:u w:val="single" w:color="000000"/>
          <w:vertAlign w:val="baseline"/>
          <w:lang w:val="en-US" w:eastAsia="zh-CN" w:bidi="ar"/>
        </w:rPr>
        <w:t>合同专用条款</w:t>
      </w:r>
      <w:r>
        <w:rPr>
          <w:rFonts w:hint="eastAsia" w:ascii="宋体" w:hAnsi="宋体" w:eastAsia="宋体" w:cs="宋体"/>
          <w:color w:val="000000"/>
          <w:kern w:val="2"/>
          <w:sz w:val="21"/>
          <w:szCs w:val="21"/>
          <w:highlight w:val="none"/>
          <w:vertAlign w:val="baseline"/>
          <w:lang w:val="en-US" w:eastAsia="zh-CN" w:bidi="ar"/>
        </w:rPr>
        <w:t>约定时间内以书面形式通知对方当事人，并在</w:t>
      </w:r>
      <w:r>
        <w:rPr>
          <w:rFonts w:hint="eastAsia" w:ascii="宋体" w:hAnsi="宋体" w:eastAsia="宋体" w:cs="宋体"/>
          <w:b/>
          <w:bCs w:val="0"/>
          <w:i/>
          <w:iCs w:val="0"/>
          <w:color w:val="000000"/>
          <w:kern w:val="2"/>
          <w:sz w:val="21"/>
          <w:szCs w:val="21"/>
          <w:highlight w:val="none"/>
          <w:u w:val="single" w:color="000000"/>
          <w:vertAlign w:val="baseline"/>
          <w:lang w:val="en-US" w:eastAsia="zh-CN" w:bidi="ar"/>
        </w:rPr>
        <w:t>合同专用条款</w:t>
      </w:r>
      <w:r>
        <w:rPr>
          <w:rFonts w:hint="eastAsia" w:ascii="宋体" w:hAnsi="宋体" w:eastAsia="宋体" w:cs="宋体"/>
          <w:color w:val="000000"/>
          <w:kern w:val="2"/>
          <w:sz w:val="21"/>
          <w:szCs w:val="21"/>
          <w:highlight w:val="none"/>
          <w:vertAlign w:val="baseline"/>
          <w:lang w:val="en-US" w:eastAsia="zh-CN" w:bidi="ar"/>
        </w:rPr>
        <w:t>约定时间内，将有关部门出具的证明文件送达对方当事人。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2.12 税费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与合同有关的一切税费，均按照中华人民共和国法律的相关规定缴纳。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2.13 乙方破产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val="0"/>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2.14 合同中止、终止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2.14.1双方当事人不得擅自中止或者终止合同；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2.14.2合同继续履行将损害国家利益和社会公共利益的，双方当事人应当中止或者终止合同。有过错的一方应当承担赔偿责任，双方当事人都有过错的，各自承担相应的责任。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2.15 检验和验收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2.15.1乙方按照</w:t>
      </w:r>
      <w:r>
        <w:rPr>
          <w:rFonts w:hint="eastAsia" w:ascii="宋体" w:hAnsi="宋体" w:eastAsia="宋体" w:cs="宋体"/>
          <w:b/>
          <w:bCs w:val="0"/>
          <w:i/>
          <w:iCs w:val="0"/>
          <w:color w:val="000000"/>
          <w:kern w:val="2"/>
          <w:sz w:val="21"/>
          <w:szCs w:val="21"/>
          <w:highlight w:val="none"/>
          <w:u w:val="single" w:color="000000"/>
          <w:vertAlign w:val="baseline"/>
          <w:lang w:val="en-US" w:eastAsia="zh-CN" w:bidi="ar"/>
        </w:rPr>
        <w:t>合同专用条款</w:t>
      </w:r>
      <w:r>
        <w:rPr>
          <w:rFonts w:hint="eastAsia" w:ascii="宋体" w:hAnsi="宋体" w:eastAsia="宋体" w:cs="宋体"/>
          <w:color w:val="000000"/>
          <w:kern w:val="2"/>
          <w:sz w:val="21"/>
          <w:szCs w:val="21"/>
          <w:highlight w:val="none"/>
          <w:vertAlign w:val="baseline"/>
          <w:lang w:val="en-US" w:eastAsia="zh-CN" w:bidi="ar"/>
        </w:rPr>
        <w:t>的约定，定期提交服务报告，甲方按照</w:t>
      </w:r>
      <w:r>
        <w:rPr>
          <w:rFonts w:hint="eastAsia" w:ascii="宋体" w:hAnsi="宋体" w:eastAsia="宋体" w:cs="宋体"/>
          <w:b/>
          <w:bCs w:val="0"/>
          <w:i/>
          <w:iCs w:val="0"/>
          <w:color w:val="000000"/>
          <w:kern w:val="2"/>
          <w:sz w:val="21"/>
          <w:szCs w:val="21"/>
          <w:highlight w:val="none"/>
          <w:u w:val="single" w:color="000000"/>
          <w:vertAlign w:val="baseline"/>
          <w:lang w:val="en-US" w:eastAsia="zh-CN" w:bidi="ar"/>
        </w:rPr>
        <w:t>合同专用条款</w:t>
      </w:r>
      <w:r>
        <w:rPr>
          <w:rFonts w:hint="eastAsia" w:ascii="宋体" w:hAnsi="宋体" w:eastAsia="宋体" w:cs="宋体"/>
          <w:color w:val="000000"/>
          <w:kern w:val="2"/>
          <w:sz w:val="21"/>
          <w:szCs w:val="21"/>
          <w:highlight w:val="none"/>
          <w:vertAlign w:val="baseline"/>
          <w:lang w:val="en-US" w:eastAsia="zh-CN" w:bidi="ar"/>
        </w:rPr>
        <w:t>的约定进行定期验收；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2.15.2合同期满或者履行完毕后，甲方有权组织对乙方履约的验收，即：按照合同约定的标准，组织对乙方履约情况的验收，并出具验收书；向社会公众提供的公共服务项目，验收时应当邀请服务对象参与并出具意见，验收结果应当向社会公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2.15.3检验和验收标准、程序等具体内容以及前述验收书的效力详见</w:t>
      </w:r>
      <w:r>
        <w:rPr>
          <w:rFonts w:hint="eastAsia" w:ascii="宋体" w:hAnsi="宋体" w:eastAsia="宋体" w:cs="宋体"/>
          <w:b/>
          <w:bCs w:val="0"/>
          <w:i/>
          <w:iCs w:val="0"/>
          <w:color w:val="000000"/>
          <w:kern w:val="2"/>
          <w:sz w:val="21"/>
          <w:szCs w:val="21"/>
          <w:highlight w:val="none"/>
          <w:u w:val="single" w:color="000000"/>
          <w:vertAlign w:val="baseline"/>
          <w:lang w:val="en-US" w:eastAsia="zh-CN" w:bidi="ar"/>
        </w:rPr>
        <w:t>合同专用条款</w:t>
      </w:r>
      <w:r>
        <w:rPr>
          <w:rFonts w:hint="eastAsia" w:ascii="宋体" w:hAnsi="宋体" w:eastAsia="宋体" w:cs="宋体"/>
          <w:i/>
          <w:iCs w:val="0"/>
          <w:color w:val="000000"/>
          <w:kern w:val="2"/>
          <w:sz w:val="21"/>
          <w:szCs w:val="21"/>
          <w:highlight w:val="none"/>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2.16 合同使用的文字和适用的法律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2.16.1合同使用汉语进行书写、变更和解释；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eastAsia" w:ascii="宋体" w:hAnsi="宋体" w:eastAsia="宋体" w:cs="宋体"/>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2.16.2合同适用中华人民共和国法律。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7"/>
        <w:jc w:val="both"/>
        <w:textAlignment w:val="baseline"/>
        <w:outlineLvl w:val="3"/>
        <w:rPr>
          <w:rFonts w:hint="eastAsia" w:ascii="宋体" w:hAnsi="宋体" w:eastAsia="宋体" w:cs="宋体"/>
          <w:b/>
          <w:bCs w:val="0"/>
          <w:color w:val="000000"/>
          <w:kern w:val="2"/>
          <w:sz w:val="21"/>
          <w:szCs w:val="21"/>
          <w:highlight w:val="none"/>
          <w:vertAlign w:val="baseline"/>
        </w:rPr>
      </w:pPr>
      <w:r>
        <w:rPr>
          <w:rFonts w:hint="eastAsia" w:ascii="宋体" w:hAnsi="宋体" w:eastAsia="宋体" w:cs="宋体"/>
          <w:b/>
          <w:bCs/>
          <w:color w:val="000000"/>
          <w:kern w:val="2"/>
          <w:sz w:val="21"/>
          <w:szCs w:val="21"/>
          <w:highlight w:val="none"/>
          <w:vertAlign w:val="baseline"/>
          <w:lang w:val="en-US" w:eastAsia="zh-CN" w:bidi="ar"/>
        </w:rPr>
        <w:t>2.17 合同份数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5"/>
        <w:jc w:val="both"/>
        <w:textAlignment w:val="baseline"/>
        <w:rPr>
          <w:rFonts w:hint="default" w:ascii="Times New Roman" w:hAnsi="Times New Roman" w:eastAsia="宋体" w:cs="Times New Roman"/>
          <w:b/>
          <w:bCs w:val="0"/>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合同份数按</w:t>
      </w:r>
      <w:r>
        <w:rPr>
          <w:rFonts w:hint="eastAsia" w:ascii="宋体" w:hAnsi="宋体" w:eastAsia="宋体" w:cs="宋体"/>
          <w:b/>
          <w:bCs w:val="0"/>
          <w:i/>
          <w:iCs w:val="0"/>
          <w:color w:val="000000"/>
          <w:kern w:val="2"/>
          <w:sz w:val="21"/>
          <w:szCs w:val="21"/>
          <w:highlight w:val="none"/>
          <w:u w:val="single" w:color="000000"/>
          <w:vertAlign w:val="baseline"/>
          <w:lang w:val="en-US" w:eastAsia="zh-CN" w:bidi="ar"/>
        </w:rPr>
        <w:t>合同专用条款</w:t>
      </w:r>
      <w:r>
        <w:rPr>
          <w:rFonts w:hint="eastAsia" w:ascii="宋体" w:hAnsi="宋体" w:eastAsia="宋体" w:cs="宋体"/>
          <w:color w:val="000000"/>
          <w:kern w:val="2"/>
          <w:sz w:val="21"/>
          <w:szCs w:val="21"/>
          <w:highlight w:val="none"/>
          <w:vertAlign w:val="baseline"/>
          <w:lang w:val="en-US" w:eastAsia="zh-CN" w:bidi="ar"/>
        </w:rPr>
        <w:t>规定，每份均具有同等法律效力。</w:t>
      </w:r>
      <w:r>
        <w:rPr>
          <w:rFonts w:hint="default" w:ascii="Times New Roman" w:hAnsi="Times New Roman" w:eastAsia="宋体" w:cs="Times New Roman"/>
          <w:b/>
          <w:bCs w:val="0"/>
          <w:color w:val="000000"/>
          <w:kern w:val="2"/>
          <w:sz w:val="21"/>
          <w:szCs w:val="21"/>
          <w:highlight w:val="none"/>
          <w:vertAlign w:val="baseline"/>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textAlignment w:val="baseline"/>
        <w:outlineLvl w:val="2"/>
        <w:rPr>
          <w:rFonts w:hint="eastAsia" w:ascii="宋体" w:hAnsi="宋体" w:eastAsia="宋体" w:cs="宋体"/>
          <w:b/>
          <w:bCs w:val="0"/>
          <w:color w:val="000000"/>
          <w:kern w:val="2"/>
          <w:sz w:val="21"/>
          <w:szCs w:val="21"/>
          <w:highlight w:val="none"/>
          <w:vertAlign w:val="baseline"/>
        </w:rPr>
      </w:pPr>
      <w:r>
        <w:rPr>
          <w:rFonts w:hint="eastAsia" w:ascii="宋体" w:hAnsi="宋体" w:eastAsia="宋体" w:cs="宋体"/>
          <w:b/>
          <w:bCs w:val="0"/>
          <w:color w:val="000000"/>
          <w:kern w:val="2"/>
          <w:sz w:val="21"/>
          <w:szCs w:val="21"/>
          <w:highlight w:val="none"/>
          <w:vertAlign w:val="baseline"/>
          <w:lang w:val="en-US" w:eastAsia="zh-CN" w:bidi="ar"/>
        </w:rPr>
        <w:br w:type="page"/>
      </w:r>
      <w:r>
        <w:rPr>
          <w:rFonts w:hint="eastAsia" w:ascii="宋体" w:hAnsi="宋体" w:eastAsia="宋体" w:cs="宋体"/>
          <w:b/>
          <w:bCs w:val="0"/>
          <w:color w:val="000000"/>
          <w:kern w:val="2"/>
          <w:sz w:val="21"/>
          <w:szCs w:val="21"/>
          <w:highlight w:val="none"/>
          <w:vertAlign w:val="baseline"/>
          <w:lang w:val="en-US" w:eastAsia="zh-CN" w:bidi="ar"/>
        </w:rPr>
        <w:t>第三部分 合同专用条款</w:t>
      </w:r>
    </w:p>
    <w:p>
      <w:pPr>
        <w:keepNext w:val="0"/>
        <w:keepLines w:val="0"/>
        <w:widowControl w:val="0"/>
        <w:suppressLineNumbers w:val="0"/>
        <w:spacing w:before="0" w:beforeAutospacing="0" w:after="0" w:afterAutospacing="0" w:line="360" w:lineRule="auto"/>
        <w:ind w:left="0" w:right="0" w:firstLine="435"/>
        <w:jc w:val="both"/>
        <w:textAlignment w:val="baseline"/>
        <w:rPr>
          <w:rFonts w:hint="default" w:ascii="Times New Roman" w:hAnsi="Times New Roman" w:eastAsia="宋体" w:cs="Times New Roman"/>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793"/>
        <w:gridCol w:w="75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91" w:hRule="atLeast"/>
          <w:jc w:val="center"/>
        </w:trPr>
        <w:tc>
          <w:tcPr>
            <w:tcW w:w="793"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57" w:lineRule="atLeast"/>
              <w:ind w:left="0" w:right="0"/>
              <w:jc w:val="center"/>
              <w:textAlignment w:val="baseline"/>
              <w:rPr>
                <w:rFonts w:hint="default" w:ascii="Times New Roman" w:hAnsi="Times New Roman" w:eastAsia="宋体" w:cs="Times New Roman"/>
                <w:b/>
                <w:bCs w:val="0"/>
                <w:color w:val="000000"/>
                <w:kern w:val="2"/>
                <w:sz w:val="21"/>
                <w:szCs w:val="21"/>
                <w:highlight w:val="none"/>
                <w:vertAlign w:val="baseline"/>
              </w:rPr>
            </w:pPr>
            <w:r>
              <w:rPr>
                <w:rFonts w:hint="eastAsia" w:ascii="宋体" w:hAnsi="宋体" w:eastAsia="宋体" w:cs="宋体"/>
                <w:b/>
                <w:bCs w:val="0"/>
                <w:color w:val="000000"/>
                <w:kern w:val="2"/>
                <w:sz w:val="21"/>
                <w:szCs w:val="21"/>
                <w:highlight w:val="none"/>
                <w:vertAlign w:val="baseline"/>
                <w:lang w:val="en-US" w:eastAsia="zh-CN" w:bidi="ar"/>
              </w:rPr>
              <w:t>条款号</w:t>
            </w:r>
          </w:p>
        </w:tc>
        <w:tc>
          <w:tcPr>
            <w:tcW w:w="756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57" w:lineRule="atLeast"/>
              <w:ind w:left="0" w:right="0"/>
              <w:jc w:val="center"/>
              <w:textAlignment w:val="baseline"/>
              <w:rPr>
                <w:rFonts w:hint="default" w:ascii="Times New Roman" w:hAnsi="Times New Roman" w:eastAsia="宋体" w:cs="Times New Roman"/>
                <w:b/>
                <w:bCs w:val="0"/>
                <w:color w:val="000000"/>
                <w:kern w:val="2"/>
                <w:sz w:val="21"/>
                <w:szCs w:val="21"/>
                <w:highlight w:val="none"/>
                <w:vertAlign w:val="baseline"/>
              </w:rPr>
            </w:pPr>
            <w:r>
              <w:rPr>
                <w:rFonts w:hint="eastAsia" w:ascii="宋体" w:hAnsi="宋体" w:eastAsia="宋体" w:cs="宋体"/>
                <w:b/>
                <w:bCs w:val="0"/>
                <w:color w:val="000000"/>
                <w:kern w:val="2"/>
                <w:sz w:val="21"/>
                <w:szCs w:val="21"/>
                <w:highlight w:val="none"/>
                <w:vertAlign w:val="baseline"/>
                <w:lang w:val="en-US" w:eastAsia="zh-CN" w:bidi="ar"/>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88" w:hRule="atLeast"/>
          <w:jc w:val="center"/>
        </w:trPr>
        <w:tc>
          <w:tcPr>
            <w:tcW w:w="793"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c>
          <w:tcPr>
            <w:tcW w:w="756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c>
          <w:tcPr>
            <w:tcW w:w="756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c>
          <w:tcPr>
            <w:tcW w:w="756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c>
          <w:tcPr>
            <w:tcW w:w="756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c>
          <w:tcPr>
            <w:tcW w:w="756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u w:val="single" w:color="000000"/>
                <w:vertAlign w:val="baseli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c>
          <w:tcPr>
            <w:tcW w:w="756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c>
          <w:tcPr>
            <w:tcW w:w="756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u w:val="single" w:color="000000"/>
                <w:vertAlign w:val="baseli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c>
          <w:tcPr>
            <w:tcW w:w="756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c>
          <w:tcPr>
            <w:tcW w:w="756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c>
          <w:tcPr>
            <w:tcW w:w="756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c>
          <w:tcPr>
            <w:tcW w:w="756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textAlignment w:val="baseline"/>
              <w:rPr>
                <w:rFonts w:hint="default" w:ascii="Times New Roman" w:hAnsi="Times New Roman" w:eastAsia="宋体" w:cs="Times New Roman"/>
                <w:color w:val="000000"/>
                <w:kern w:val="2"/>
                <w:sz w:val="21"/>
                <w:szCs w:val="21"/>
                <w:highlight w:val="none"/>
                <w:vertAlign w:val="baseline"/>
              </w:rPr>
            </w:pPr>
          </w:p>
        </w:tc>
      </w:tr>
    </w:tbl>
    <w:p>
      <w:pPr>
        <w:keepNext w:val="0"/>
        <w:keepLines w:val="0"/>
        <w:widowControl w:val="0"/>
        <w:suppressLineNumbers w:val="0"/>
        <w:spacing w:before="156" w:beforeLines="50" w:beforeAutospacing="0" w:after="156" w:afterLines="50" w:afterAutospacing="0" w:line="357" w:lineRule="atLeast"/>
        <w:ind w:left="0" w:right="0"/>
        <w:jc w:val="center"/>
        <w:textAlignment w:val="baseline"/>
        <w:outlineLvl w:val="0"/>
        <w:rPr>
          <w:rFonts w:hint="eastAsia" w:ascii="宋体" w:hAnsi="宋体" w:eastAsia="宋体" w:cs="宋体"/>
          <w:b/>
          <w:bCs w:val="0"/>
          <w:color w:val="000000"/>
          <w:kern w:val="2"/>
          <w:sz w:val="32"/>
          <w:szCs w:val="32"/>
          <w:highlight w:val="none"/>
          <w:vertAlign w:val="baseline"/>
        </w:rPr>
      </w:pPr>
      <w:r>
        <w:rPr>
          <w:rFonts w:hint="eastAsia" w:ascii="宋体" w:hAnsi="宋体" w:eastAsia="宋体" w:cs="宋体"/>
          <w:b/>
          <w:bCs w:val="0"/>
          <w:color w:val="000000"/>
          <w:kern w:val="2"/>
          <w:sz w:val="32"/>
          <w:szCs w:val="32"/>
          <w:highlight w:val="none"/>
          <w:vertAlign w:val="baseline"/>
          <w:lang w:val="en-US" w:eastAsia="zh-CN" w:bidi="ar"/>
        </w:rPr>
        <w:t xml:space="preserve"> </w:t>
      </w:r>
    </w:p>
    <w:p>
      <w:pPr>
        <w:pStyle w:val="7"/>
        <w:spacing w:line="440" w:lineRule="exact"/>
        <w:ind w:firstLine="0"/>
        <w:jc w:val="left"/>
        <w:rPr>
          <w:rFonts w:hint="eastAsia" w:ascii="宋体" w:hAnsi="宋体" w:eastAsia="宋体" w:cs="宋体"/>
          <w:color w:val="auto"/>
          <w:sz w:val="21"/>
          <w:szCs w:val="21"/>
          <w:highlight w:val="none"/>
          <w:u w:val="none" w:color="000000"/>
        </w:rPr>
      </w:pPr>
    </w:p>
    <w:p>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color w:val="auto"/>
          <w:kern w:val="2"/>
          <w:sz w:val="28"/>
          <w:szCs w:val="28"/>
          <w:highlight w:val="none"/>
          <w:u w:color="auto"/>
          <w:lang w:val="en-US" w:eastAsia="zh-CN" w:bidi="ar"/>
        </w:rPr>
      </w:pPr>
      <w:bookmarkStart w:id="58" w:name="_Toc20599"/>
      <w:r>
        <w:rPr>
          <w:rFonts w:hint="eastAsia" w:ascii="宋体" w:hAnsi="宋体" w:eastAsia="宋体" w:cs="宋体"/>
          <w:color w:val="auto"/>
          <w:kern w:val="2"/>
          <w:sz w:val="28"/>
          <w:szCs w:val="28"/>
          <w:highlight w:val="none"/>
          <w:u w:color="auto"/>
          <w:lang w:val="en-US" w:eastAsia="zh-CN" w:bidi="ar"/>
        </w:rPr>
        <w:t>第六章  投标文件格式</w:t>
      </w:r>
      <w:bookmarkEnd w:id="58"/>
    </w:p>
    <w:p>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sz w:val="28"/>
          <w:szCs w:val="28"/>
          <w:highlight w:val="none"/>
          <w:lang w:val="en-US"/>
        </w:rPr>
      </w:pPr>
    </w:p>
    <w:p>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sz w:val="20"/>
          <w:szCs w:val="20"/>
          <w:highlight w:val="none"/>
          <w:lang w:val="en-US"/>
        </w:rPr>
      </w:pPr>
    </w:p>
    <w:p>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bookmarkStart w:id="59" w:name="_Toc21573"/>
      <w:bookmarkEnd w:id="59"/>
      <w:bookmarkStart w:id="60" w:name="_Toc128_WPSOffice_Level1"/>
      <w:r>
        <w:rPr>
          <w:rFonts w:hint="eastAsia" w:ascii="宋体" w:hAnsi="宋体" w:eastAsia="宋体" w:cs="宋体"/>
          <w:b/>
          <w:bCs w:val="0"/>
          <w:color w:val="000000"/>
          <w:kern w:val="0"/>
          <w:sz w:val="44"/>
          <w:szCs w:val="44"/>
          <w:highlight w:val="none"/>
          <w:u w:color="000000"/>
          <w:lang w:val="en-US" w:eastAsia="zh-CN" w:bidi="ar"/>
        </w:rPr>
        <w:t>资格证明文件</w:t>
      </w:r>
      <w:bookmarkEnd w:id="60"/>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bookmarkStart w:id="61" w:name="_Toc19336_WPSOffice_Level2"/>
      <w:bookmarkEnd w:id="61"/>
      <w:r>
        <w:rPr>
          <w:rFonts w:hint="eastAsia" w:ascii="宋体" w:hAnsi="宋体" w:eastAsia="宋体" w:cs="宋体"/>
          <w:color w:val="000000"/>
          <w:kern w:val="0"/>
          <w:sz w:val="32"/>
          <w:szCs w:val="32"/>
          <w:highlight w:val="none"/>
          <w:u w:color="000000"/>
          <w:lang w:val="en-US" w:eastAsia="zh-CN" w:bidi="ar"/>
        </w:rPr>
        <w:t>（投标文件一）</w:t>
      </w:r>
    </w:p>
    <w:p>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sz w:val="30"/>
          <w:szCs w:val="30"/>
          <w:highlight w:val="none"/>
          <w:lang w:val="en-US"/>
        </w:rPr>
      </w:pPr>
      <w:bookmarkStart w:id="62" w:name="_Toc7180_WPSOffice_Level3"/>
      <w:bookmarkEnd w:id="62"/>
      <w:r>
        <w:rPr>
          <w:rFonts w:hint="eastAsia" w:ascii="宋体" w:hAnsi="宋体" w:eastAsia="宋体" w:cs="宋体"/>
          <w:color w:val="000000"/>
          <w:kern w:val="0"/>
          <w:sz w:val="30"/>
          <w:szCs w:val="30"/>
          <w:highlight w:val="none"/>
          <w:u w:color="000000"/>
          <w:lang w:val="en-US" w:eastAsia="zh-CN" w:bidi="ar"/>
        </w:rPr>
        <w:t>项目名称：</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pPr>
        <w:pStyle w:val="23"/>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pPr>
        <w:pStyle w:val="18"/>
        <w:widowControl/>
        <w:rPr>
          <w:highlight w:val="none"/>
          <w:lang w:val="en-US"/>
        </w:rPr>
      </w:pPr>
      <w:r>
        <w:rPr>
          <w:highlight w:val="none"/>
          <w:lang w:val="en-US"/>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bidi="ar"/>
        </w:rPr>
        <w:br w:type="page"/>
      </w:r>
      <w:bookmarkStart w:id="63" w:name="_Toc14710_WPSOffice_Level1"/>
      <w:bookmarkEnd w:id="63"/>
      <w:r>
        <w:rPr>
          <w:rFonts w:hint="eastAsia" w:ascii="宋体" w:hAnsi="宋体" w:eastAsia="宋体" w:cs="宋体"/>
          <w:b/>
          <w:bCs w:val="0"/>
          <w:color w:val="000000"/>
          <w:kern w:val="0"/>
          <w:sz w:val="44"/>
          <w:szCs w:val="44"/>
          <w:highlight w:val="none"/>
          <w:u w:color="000000"/>
          <w:lang w:val="en-US" w:eastAsia="zh-CN" w:bidi="ar"/>
        </w:rPr>
        <w:t>目   录</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（1）法人代表人身份证明及其有效身份证（或法人代表授权委托书及其有效身份证）（格式见附件）；</w:t>
      </w:r>
    </w:p>
    <w:p>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（2）投标人有效的营业执照、税务登记证、组织机构代码证（或三合一证书）</w:t>
      </w:r>
      <w:r>
        <w:rPr>
          <w:rFonts w:hint="eastAsia" w:ascii="宋体" w:hAnsi="Times New Roman" w:eastAsia="宋体" w:cs="Times New Roman"/>
          <w:color w:val="auto"/>
          <w:szCs w:val="21"/>
          <w:highlight w:val="none"/>
          <w:lang w:eastAsia="zh-CN"/>
        </w:rPr>
        <w:t>；</w:t>
      </w:r>
    </w:p>
    <w:p>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（3）诚信投标承诺书（格式见附件）</w:t>
      </w:r>
      <w:r>
        <w:rPr>
          <w:rFonts w:hint="eastAsia" w:ascii="宋体" w:hAnsi="Times New Roman" w:eastAsia="宋体" w:cs="Times New Roman"/>
          <w:color w:val="auto"/>
          <w:szCs w:val="21"/>
          <w:highlight w:val="none"/>
          <w:lang w:eastAsia="zh-CN"/>
        </w:rPr>
        <w:t>；</w:t>
      </w:r>
    </w:p>
    <w:p>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lang w:eastAsia="zh-CN"/>
        </w:rPr>
        <w:t>招标文件中要求的资信评审（评分）的支持资料；</w:t>
      </w:r>
    </w:p>
    <w:p>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lang w:eastAsia="zh-CN"/>
        </w:rPr>
        <w:t>投标人认为需要提供的其他资信证明材料。</w:t>
      </w:r>
    </w:p>
    <w:p>
      <w:pPr>
        <w:spacing w:line="360" w:lineRule="auto"/>
        <w:ind w:firstLine="420" w:firstLineChars="200"/>
        <w:rPr>
          <w:rFonts w:hint="eastAsia" w:ascii="宋体" w:hAnsi="Times New Roman" w:eastAsia="宋体" w:cs="Times New Roman"/>
          <w:color w:val="auto"/>
          <w:szCs w:val="21"/>
          <w:highlight w:val="none"/>
          <w:lang w:eastAsia="zh-CN"/>
        </w:rPr>
      </w:pPr>
    </w:p>
    <w:p>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bidi="ar"/>
        </w:rPr>
        <w:br w:type="page"/>
      </w: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pPr>
        <w:pStyle w:val="39"/>
        <w:keepNext w:val="0"/>
        <w:keepLines w:val="0"/>
        <w:pageBreakBefore w:val="0"/>
        <w:widowControl/>
        <w:kinsoku/>
        <w:wordWrap/>
        <w:overflowPunct/>
        <w:topLinePunct w:val="0"/>
        <w:autoSpaceDE/>
        <w:autoSpaceDN/>
        <w:bidi w:val="0"/>
        <w:adjustRightInd/>
        <w:snapToGrid/>
        <w:spacing w:before="157" w:beforeLines="50" w:after="157" w:afterLines="50" w:line="400" w:lineRule="exact"/>
        <w:ind w:firstLine="180" w:firstLineChars="75"/>
        <w:textAlignment w:val="auto"/>
        <w:rPr>
          <w:rFonts w:hint="eastAsia" w:ascii="宋体"/>
          <w:b/>
          <w:color w:val="auto"/>
          <w:sz w:val="24"/>
          <w:szCs w:val="24"/>
          <w:highlight w:val="none"/>
        </w:rPr>
      </w:pPr>
      <w:r>
        <w:rPr>
          <w:rFonts w:hint="eastAsia" w:ascii="宋体"/>
          <w:color w:val="auto"/>
          <w:sz w:val="24"/>
          <w:szCs w:val="24"/>
          <w:highlight w:val="none"/>
        </w:rPr>
        <w:t>1.法定代表人身份证明</w:t>
      </w:r>
    </w:p>
    <w:p>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rPr>
        <w:t xml:space="preserve"> </w:t>
      </w:r>
    </w:p>
    <w:p>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hAnsi="Times New Roman" w:eastAsia="宋体" w:cs="Times New Roman"/>
          <w:sz w:val="24"/>
          <w:highlight w:val="none"/>
        </w:rPr>
        <w:t>姓</w:t>
      </w:r>
      <w:r>
        <w:rPr>
          <w:rFonts w:hint="eastAsia" w:ascii="宋体" w:hAnsi="Times New Roman" w:eastAsia="宋体" w:cs="Times New Roman"/>
          <w:sz w:val="24"/>
          <w:highlight w:val="none"/>
          <w:lang w:val="en-US" w:eastAsia="zh-CN"/>
        </w:rPr>
        <w:t xml:space="preserve">   </w:t>
      </w:r>
      <w:r>
        <w:rPr>
          <w:rFonts w:hint="eastAsia" w:ascii="宋体" w:hAnsi="Times New Roman" w:eastAsia="宋体" w:cs="Times New Roman"/>
          <w:sz w:val="24"/>
          <w:highlight w:val="none"/>
        </w:rPr>
        <w:t>名：</w:t>
      </w:r>
      <w:r>
        <w:rPr>
          <w:rFonts w:hint="eastAsia" w:ascii="宋体"/>
          <w:sz w:val="24"/>
          <w:highlight w:val="none"/>
          <w:u w:val="single"/>
        </w:rPr>
        <w:t xml:space="preserve">          </w:t>
      </w:r>
      <w:r>
        <w:rPr>
          <w:rFonts w:hint="eastAsia" w:ascii="宋体" w:hAnsi="Times New Roman" w:eastAsia="宋体" w:cs="Times New Roman"/>
          <w:sz w:val="24"/>
          <w:highlight w:val="none"/>
        </w:rPr>
        <w:t>身份证号码：</w:t>
      </w:r>
      <w:r>
        <w:rPr>
          <w:rFonts w:hint="eastAsia" w:ascii="宋体" w:hAnsi="Times New Roman" w:eastAsia="宋体" w:cs="Times New Roman"/>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lang w:eastAsia="zh-CN"/>
        </w:rPr>
        <w:t>，</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特此证明。</w:t>
      </w:r>
    </w:p>
    <w:p>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w:t>
      </w:r>
      <w:r>
        <w:rPr>
          <w:rFonts w:hint="eastAsia" w:ascii="宋体"/>
          <w:sz w:val="24"/>
          <w:highlight w:val="none"/>
          <w:lang w:val="en-US" w:eastAsia="zh-CN"/>
        </w:rPr>
        <w:t>盖</w:t>
      </w:r>
      <w:r>
        <w:rPr>
          <w:rFonts w:hint="eastAsia" w:ascii="宋体"/>
          <w:sz w:val="24"/>
          <w:highlight w:val="none"/>
        </w:rPr>
        <w:t>章）</w:t>
      </w:r>
    </w:p>
    <w:p>
      <w:pPr>
        <w:keepNext w:val="0"/>
        <w:keepLines w:val="0"/>
        <w:pageBreakBefore w:val="0"/>
        <w:kinsoku/>
        <w:wordWrap w:val="0"/>
        <w:overflowPunct/>
        <w:topLinePunct w:val="0"/>
        <w:autoSpaceDE/>
        <w:autoSpaceDN/>
        <w:bidi w:val="0"/>
        <w:adjustRightInd/>
        <w:snapToGrid/>
        <w:spacing w:line="400" w:lineRule="exact"/>
        <w:jc w:val="right"/>
        <w:rPr>
          <w:rFonts w:hint="eastAsia"/>
          <w:highlight w:val="none"/>
        </w:rPr>
      </w:pPr>
      <w:r>
        <w:rPr>
          <w:rFonts w:hint="eastAsia" w:ascii="宋体"/>
          <w:sz w:val="24"/>
          <w:highlight w:val="none"/>
        </w:rPr>
        <w:t xml:space="preserve">                                        </w:t>
      </w:r>
      <w:r>
        <w:rPr>
          <w:rFonts w:hint="eastAsia" w:ascii="宋体"/>
          <w:sz w:val="24"/>
          <w:highlight w:val="none"/>
          <w:u w:val="single"/>
        </w:rPr>
        <w:t xml:space="preserve">       </w:t>
      </w:r>
      <w:r>
        <w:rPr>
          <w:rFonts w:hint="eastAsia" w:ascii="宋体"/>
          <w:sz w:val="24"/>
          <w:highlight w:val="none"/>
        </w:rPr>
        <w:t xml:space="preserve">年 </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 xml:space="preserve">日  </w:t>
      </w:r>
    </w:p>
    <w:p>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rPr>
          <w:rFonts w:hint="eastAsia" w:ascii="宋体"/>
          <w:color w:val="auto"/>
          <w:sz w:val="28"/>
          <w:szCs w:val="28"/>
          <w:highlight w:val="none"/>
        </w:rPr>
      </w:pPr>
      <w:r>
        <w:rPr>
          <w:rFonts w:hint="eastAsia" w:ascii="宋体"/>
          <w:color w:val="auto"/>
          <w:sz w:val="28"/>
          <w:szCs w:val="28"/>
          <w:highlight w:val="none"/>
        </w:rPr>
        <w:t>2.授权委托书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r>
        <w:rPr>
          <w:rFonts w:hint="eastAsia" w:ascii="宋体"/>
          <w:color w:val="auto"/>
          <w:sz w:val="24"/>
          <w:highlight w:val="none"/>
        </w:rPr>
        <w:t xml:space="preserve">                                </w:t>
      </w:r>
    </w:p>
    <w:p>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pPr>
        <w:keepNext w:val="0"/>
        <w:keepLines w:val="0"/>
        <w:widowControl/>
        <w:suppressLineNumbers w:val="0"/>
        <w:spacing w:before="0" w:beforeAutospacing="0" w:after="0" w:afterAutospacing="0" w:line="480" w:lineRule="exact"/>
        <w:ind w:left="0" w:right="0" w:firstLine="3675" w:firstLineChars="1750"/>
        <w:jc w:val="both"/>
        <w:rPr>
          <w:rFonts w:hint="default"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联系电话：</w:t>
      </w:r>
    </w:p>
    <w:p>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pPr>
        <w:keepNext w:val="0"/>
        <w:keepLines w:val="0"/>
        <w:widowControl/>
        <w:suppressLineNumbers w:val="0"/>
        <w:spacing w:before="0" w:beforeAutospacing="0" w:after="0" w:afterAutospacing="0" w:line="480" w:lineRule="exact"/>
        <w:ind w:left="0" w:right="0" w:firstLine="3675" w:firstLineChars="1750"/>
        <w:jc w:val="both"/>
        <w:rPr>
          <w:rFonts w:hint="default"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联系电话：</w:t>
      </w:r>
    </w:p>
    <w:p>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  年    月    日</w:t>
      </w:r>
    </w:p>
    <w:p>
      <w:pPr>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pPr>
        <w:spacing w:line="360" w:lineRule="exact"/>
        <w:jc w:val="left"/>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pPr>
        <w:spacing w:line="360" w:lineRule="exact"/>
        <w:ind w:firstLine="413" w:firstLineChars="147"/>
        <w:jc w:val="center"/>
        <w:rPr>
          <w:rFonts w:hint="default" w:ascii="Calibri" w:hAnsi="Calibri" w:cs="Times New Roman"/>
          <w:b/>
          <w:bCs w:val="0"/>
          <w:sz w:val="28"/>
          <w:szCs w:val="28"/>
          <w:highlight w:val="none"/>
          <w:lang w:val="en-US"/>
        </w:rPr>
      </w:pPr>
      <w:r>
        <w:rPr>
          <w:rFonts w:hint="eastAsia"/>
          <w:b/>
          <w:sz w:val="28"/>
          <w:szCs w:val="28"/>
          <w:highlight w:val="none"/>
        </w:rPr>
        <w:t>诚信投标承诺书</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bookmarkStart w:id="64" w:name="_Toc451384148"/>
      <w:bookmarkStart w:id="65" w:name="_Toc425084385"/>
      <w:r>
        <w:rPr>
          <w:rFonts w:hint="eastAsia" w:ascii="宋体" w:hAnsi="宋体"/>
          <w:color w:val="000000"/>
          <w:szCs w:val="21"/>
          <w:highlight w:val="none"/>
        </w:rPr>
        <w:t>一、将遵循公</w:t>
      </w:r>
      <w:bookmarkStart w:id="66" w:name="_Toc503196197"/>
      <w:bookmarkStart w:id="67" w:name="_Toc506107356"/>
      <w:bookmarkStart w:id="68" w:name="_Toc26598"/>
      <w:r>
        <w:rPr>
          <w:rFonts w:hint="eastAsia" w:ascii="宋体" w:hAnsi="宋体"/>
          <w:color w:val="000000"/>
          <w:szCs w:val="21"/>
          <w:highlight w:val="none"/>
        </w:rPr>
        <w:t>开、公正和诚实信用</w:t>
      </w:r>
      <w:bookmarkEnd w:id="66"/>
      <w:bookmarkEnd w:id="67"/>
      <w:r>
        <w:rPr>
          <w:rFonts w:hint="eastAsia" w:ascii="宋体" w:hAnsi="宋体"/>
          <w:color w:val="000000"/>
          <w:szCs w:val="21"/>
          <w:highlight w:val="none"/>
        </w:rPr>
        <w:t>的</w:t>
      </w:r>
      <w:bookmarkEnd w:id="68"/>
      <w:r>
        <w:rPr>
          <w:rFonts w:hint="eastAsia" w:ascii="宋体" w:hAnsi="宋体"/>
          <w:color w:val="000000"/>
          <w:szCs w:val="21"/>
          <w:highlight w:val="none"/>
        </w:rPr>
        <w:t>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二、所提供的一切材料都是真实、合法的；</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color w:val="000000"/>
          <w:szCs w:val="21"/>
          <w:highlight w:val="none"/>
        </w:rPr>
      </w:pPr>
      <w:r>
        <w:rPr>
          <w:rFonts w:hint="eastAsia" w:ascii="宋体" w:hAnsi="宋体"/>
          <w:color w:val="000000"/>
          <w:szCs w:val="21"/>
          <w:highlight w:val="none"/>
        </w:rPr>
        <w:t>六、</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没有下列情形： 1、被人民法院列入失信被执行人的；2、我公司及其法定代表人、拟任项目经理（建造师）前三年被人民检察院列入行贿犯罪档案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w:t>
      </w:r>
      <w:r>
        <w:rPr>
          <w:rFonts w:hint="eastAsia"/>
          <w:color w:val="000000"/>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七、严格遵守开标纪律，服从监管人员管理；</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八、保证中标后不转包及使用挂靠施工队伍，若有分包征得建设单位同意；</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九、保证中标之后，按照投标文件承诺派驻管理人员及投入机械设备，如有违反，同意接受建设单位违约处罚；</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十、保证企业及所属相关人员在本次投标中无行贿等犯罪行为；</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ascii="宋体" w:hAnsi="宋体" w:eastAsiaTheme="minorEastAsia"/>
          <w:color w:val="000000"/>
          <w:szCs w:val="21"/>
          <w:highlight w:val="none"/>
          <w:lang w:eastAsia="zh-CN"/>
        </w:rPr>
      </w:pPr>
      <w:r>
        <w:rPr>
          <w:rFonts w:hint="eastAsia" w:ascii="宋体" w:hAnsi="宋体"/>
          <w:color w:val="000000"/>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00000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投标单位（签章或盖章）：          </w:t>
      </w:r>
      <w:r>
        <w:rPr>
          <w:rFonts w:hint="eastAsia" w:ascii="宋体" w:hAnsi="宋体"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法定代表人（签字或签章）：</w:t>
      </w:r>
    </w:p>
    <w:p>
      <w:pPr>
        <w:keepNext w:val="0"/>
        <w:keepLines w:val="0"/>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szCs w:val="21"/>
          <w:highlight w:val="none"/>
        </w:rPr>
      </w:pPr>
    </w:p>
    <w:p>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bookmarkEnd w:id="64"/>
    <w:bookmarkEnd w:id="65"/>
    <w:p>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000000"/>
          <w:kern w:val="0"/>
          <w:sz w:val="44"/>
          <w:szCs w:val="44"/>
          <w:highlight w:val="none"/>
          <w:u w:color="000000"/>
          <w:lang w:val="en-US" w:eastAsia="zh-CN" w:bidi="ar"/>
        </w:rPr>
      </w:pPr>
    </w:p>
    <w:p>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000000"/>
          <w:kern w:val="0"/>
          <w:sz w:val="44"/>
          <w:szCs w:val="44"/>
          <w:highlight w:val="none"/>
          <w:u w:color="000000"/>
          <w:lang w:val="en-US" w:eastAsia="zh-CN" w:bidi="ar"/>
        </w:rPr>
      </w:pPr>
    </w:p>
    <w:p>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技术标</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（投标文件二）</w:t>
      </w:r>
    </w:p>
    <w:p>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sz w:val="30"/>
          <w:szCs w:val="30"/>
          <w:highlight w:val="none"/>
          <w:lang w:val="en-US"/>
        </w:rPr>
      </w:pPr>
      <w:r>
        <w:rPr>
          <w:rFonts w:hint="eastAsia" w:ascii="宋体" w:hAnsi="宋体" w:eastAsia="宋体" w:cs="宋体"/>
          <w:color w:val="000000"/>
          <w:kern w:val="0"/>
          <w:sz w:val="30"/>
          <w:szCs w:val="30"/>
          <w:highlight w:val="none"/>
          <w:u w:color="000000"/>
          <w:lang w:val="en-US" w:eastAsia="zh-CN" w:bidi="ar"/>
        </w:rPr>
        <w:t>项目名称：</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pPr>
        <w:pStyle w:val="23"/>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pPr>
        <w:pStyle w:val="18"/>
        <w:widowControl/>
        <w:rPr>
          <w:highlight w:val="none"/>
          <w:lang w:val="en-US"/>
        </w:rPr>
      </w:pPr>
      <w:r>
        <w:rPr>
          <w:highlight w:val="none"/>
          <w:lang w:val="en-US"/>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pP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sz w:val="36"/>
          <w:szCs w:val="36"/>
          <w:highlight w:val="none"/>
          <w:lang w:val="en-US"/>
        </w:rPr>
      </w:pPr>
      <w:r>
        <w:rPr>
          <w:highlight w:val="none"/>
          <w:lang w:val="en-US"/>
        </w:rPr>
        <w:t xml:space="preserve"> </w:t>
      </w:r>
      <w:r>
        <w:rPr>
          <w:rFonts w:hint="eastAsia" w:ascii="宋体" w:hAnsi="宋体" w:eastAsia="宋体" w:cs="宋体"/>
          <w:b/>
          <w:bCs w:val="0"/>
          <w:color w:val="000000"/>
          <w:kern w:val="0"/>
          <w:sz w:val="44"/>
          <w:szCs w:val="44"/>
          <w:highlight w:val="none"/>
          <w:u w:color="000000"/>
          <w:lang w:val="en-US" w:eastAsia="zh-CN" w:bidi="ar"/>
        </w:rPr>
        <w:t>目</w:t>
      </w:r>
      <w:r>
        <w:rPr>
          <w:rFonts w:hint="default" w:ascii="Calibri" w:hAnsi="Calibri" w:eastAsia="宋体" w:cs="Times New Roman"/>
          <w:b/>
          <w:bCs w:val="0"/>
          <w:color w:val="000000"/>
          <w:kern w:val="0"/>
          <w:sz w:val="44"/>
          <w:szCs w:val="44"/>
          <w:highlight w:val="none"/>
          <w:u w:color="000000"/>
          <w:lang w:val="en-US" w:eastAsia="zh-CN" w:bidi="ar"/>
        </w:rPr>
        <w:t xml:space="preserve">   </w:t>
      </w:r>
      <w:r>
        <w:rPr>
          <w:rFonts w:hint="eastAsia" w:ascii="Calibri" w:hAnsi="Calibri" w:eastAsia="宋体" w:cs="宋体"/>
          <w:b/>
          <w:bCs w:val="0"/>
          <w:color w:val="000000"/>
          <w:kern w:val="0"/>
          <w:sz w:val="44"/>
          <w:szCs w:val="44"/>
          <w:highlight w:val="none"/>
          <w:u w:color="000000"/>
          <w:lang w:val="en-US" w:eastAsia="zh-CN" w:bidi="ar"/>
        </w:rPr>
        <w:t>录</w:t>
      </w:r>
    </w:p>
    <w:p>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pPr>
        <w:numPr>
          <w:ilvl w:val="0"/>
          <w:numId w:val="0"/>
        </w:num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kern w:val="2"/>
          <w:sz w:val="21"/>
          <w:szCs w:val="21"/>
          <w:highlight w:val="none"/>
          <w:lang w:val="en-US" w:eastAsia="zh-CN" w:bidi="ar-SA"/>
        </w:rPr>
        <w:t>（1）项目建设需求分析</w:t>
      </w:r>
      <w:r>
        <w:rPr>
          <w:rFonts w:hint="eastAsia" w:ascii="宋体" w:hAnsi="Times New Roman" w:eastAsia="宋体" w:cs="Times New Roman"/>
          <w:color w:val="auto"/>
          <w:szCs w:val="21"/>
          <w:highlight w:val="none"/>
          <w:lang w:eastAsia="zh-CN"/>
        </w:rPr>
        <w:t>；</w:t>
      </w:r>
    </w:p>
    <w:p>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kern w:val="2"/>
          <w:sz w:val="21"/>
          <w:szCs w:val="21"/>
          <w:highlight w:val="none"/>
          <w:lang w:val="en-US" w:eastAsia="zh-CN" w:bidi="ar-SA"/>
        </w:rPr>
        <w:t>总体设计方案</w:t>
      </w:r>
      <w:r>
        <w:rPr>
          <w:rFonts w:hint="eastAsia" w:ascii="宋体" w:hAnsi="Times New Roman" w:eastAsia="宋体" w:cs="Times New Roman"/>
          <w:color w:val="auto"/>
          <w:szCs w:val="21"/>
          <w:highlight w:val="none"/>
          <w:lang w:val="en-US" w:eastAsia="zh-CN"/>
        </w:rPr>
        <w:t>；</w:t>
      </w:r>
    </w:p>
    <w:p>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（3）项目实施方案；</w:t>
      </w:r>
    </w:p>
    <w:p>
      <w:pPr>
        <w:spacing w:line="360" w:lineRule="auto"/>
        <w:ind w:firstLine="420" w:firstLineChars="200"/>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（4）售后服务方案；</w:t>
      </w:r>
    </w:p>
    <w:p>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（5）服务承诺：是否响应招标文件要求的书面说明和服务承诺书（格式见附件）；</w:t>
      </w:r>
    </w:p>
    <w:p>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val="en-US" w:eastAsia="zh-CN"/>
        </w:rPr>
        <w:t>（6）</w:t>
      </w:r>
      <w:r>
        <w:rPr>
          <w:rFonts w:hint="eastAsia" w:ascii="宋体" w:hAnsi="Times New Roman" w:eastAsia="宋体" w:cs="Times New Roman"/>
          <w:color w:val="auto"/>
          <w:szCs w:val="21"/>
          <w:highlight w:val="none"/>
          <w:lang w:eastAsia="zh-CN"/>
        </w:rPr>
        <w:t>投标人认为需要提供的其他资信证明材料。</w:t>
      </w:r>
    </w:p>
    <w:p>
      <w:pPr>
        <w:rPr>
          <w:rFonts w:hint="eastAsia" w:ascii="宋体" w:hAnsi="宋体" w:eastAsia="宋体" w:cs="宋体"/>
          <w:b/>
          <w:bCs w:val="0"/>
          <w:color w:val="000000"/>
          <w:kern w:val="0"/>
          <w:sz w:val="28"/>
          <w:szCs w:val="28"/>
          <w:highlight w:val="none"/>
          <w:u w:color="000000"/>
          <w:lang w:val="en-US" w:eastAsia="zh-CN" w:bidi="ar"/>
        </w:rPr>
      </w:pPr>
    </w:p>
    <w:p>
      <w:pPr>
        <w:rPr>
          <w:rFonts w:hint="eastAsia" w:ascii="宋体" w:hAnsi="宋体" w:eastAsia="宋体" w:cs="宋体"/>
          <w:b/>
          <w:bCs w:val="0"/>
          <w:color w:val="000000"/>
          <w:kern w:val="0"/>
          <w:sz w:val="28"/>
          <w:szCs w:val="28"/>
          <w:highlight w:val="none"/>
          <w:u w:color="000000"/>
          <w:lang w:val="en-US" w:eastAsia="zh-CN" w:bidi="ar"/>
        </w:rPr>
      </w:pPr>
    </w:p>
    <w:p>
      <w:pP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pP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t>附</w:t>
      </w:r>
      <w:r>
        <w:rPr>
          <w:rFonts w:hint="eastAsia" w:ascii="宋体" w:hAnsi="宋体" w:eastAsia="宋体" w:cs="宋体"/>
          <w:b/>
          <w:bCs w:val="0"/>
          <w:color w:val="000000"/>
          <w:kern w:val="0"/>
          <w:sz w:val="28"/>
          <w:szCs w:val="28"/>
          <w:highlight w:val="none"/>
          <w:u w:color="000000"/>
          <w:lang w:val="en-US" w:eastAsia="zh-CN" w:bidi="ar"/>
        </w:rPr>
        <w:t>件</w:t>
      </w:r>
      <w:r>
        <w:rPr>
          <w:rFonts w:hint="eastAsia" w:ascii="Calibri" w:hAnsi="Calibri" w:eastAsia="宋体" w:cs="Calibri"/>
          <w:b/>
          <w:bCs w:val="0"/>
          <w:color w:val="000000"/>
          <w:kern w:val="0"/>
          <w:sz w:val="28"/>
          <w:szCs w:val="28"/>
          <w:highlight w:val="none"/>
          <w:u w:color="000000"/>
          <w:lang w:val="en-US" w:eastAsia="zh-CN" w:bidi="ar"/>
        </w:rPr>
        <w:t>1</w:t>
      </w:r>
      <w:r>
        <w:rPr>
          <w:rFonts w:hint="eastAsia" w:ascii="宋体" w:hAnsi="宋体" w:eastAsia="宋体" w:cs="宋体"/>
          <w:b/>
          <w:bCs w:val="0"/>
          <w:color w:val="000000"/>
          <w:kern w:val="0"/>
          <w:sz w:val="28"/>
          <w:szCs w:val="28"/>
          <w:highlight w:val="none"/>
          <w:u w:color="000000"/>
          <w:lang w:val="en-US" w:eastAsia="zh-CN" w:bidi="ar"/>
        </w:rPr>
        <w:t>：</w:t>
      </w:r>
    </w:p>
    <w:p>
      <w:pPr>
        <w:keepNext/>
        <w:keepLines/>
        <w:widowControl w:val="0"/>
        <w:suppressLineNumbers w:val="0"/>
        <w:autoSpaceDE w:val="0"/>
        <w:autoSpaceDN/>
        <w:spacing w:before="0" w:beforeAutospacing="0" w:after="0" w:afterAutospacing="0" w:line="300" w:lineRule="exact"/>
        <w:ind w:left="0" w:right="0"/>
        <w:jc w:val="center"/>
        <w:outlineLvl w:val="2"/>
        <w:rPr>
          <w:rFonts w:hint="eastAsia" w:ascii="Calibri" w:hAnsi="Calibri" w:eastAsia="宋体" w:cs="Times New Roman"/>
          <w:b/>
          <w:bCs/>
          <w:kern w:val="2"/>
          <w:sz w:val="28"/>
          <w:szCs w:val="28"/>
          <w:highlight w:val="none"/>
        </w:rPr>
      </w:pPr>
    </w:p>
    <w:p>
      <w:pPr>
        <w:keepNext/>
        <w:keepLines/>
        <w:widowControl w:val="0"/>
        <w:suppressLineNumbers w:val="0"/>
        <w:autoSpaceDE w:val="0"/>
        <w:autoSpaceDN/>
        <w:spacing w:before="0" w:beforeAutospacing="0" w:after="0" w:afterAutospacing="0" w:line="360" w:lineRule="auto"/>
        <w:ind w:left="0" w:right="0"/>
        <w:jc w:val="center"/>
        <w:outlineLvl w:val="2"/>
        <w:rPr>
          <w:rFonts w:hint="default" w:ascii="Calibri" w:hAnsi="Calibri" w:eastAsia="宋体" w:cs="Times New Roman"/>
          <w:b/>
          <w:bCs/>
          <w:kern w:val="2"/>
          <w:sz w:val="28"/>
          <w:szCs w:val="28"/>
          <w:highlight w:val="none"/>
        </w:rPr>
      </w:pPr>
      <w:r>
        <w:rPr>
          <w:rFonts w:hint="eastAsia" w:ascii="宋体" w:hAnsi="宋体" w:eastAsia="宋体" w:cs="宋体"/>
          <w:b/>
          <w:bCs/>
          <w:kern w:val="2"/>
          <w:sz w:val="28"/>
          <w:szCs w:val="28"/>
          <w:highlight w:val="none"/>
          <w:lang w:val="en-US" w:eastAsia="zh-CN" w:bidi="ar"/>
        </w:rPr>
        <w:t>服务承诺书</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Times New Roman"/>
          <w:b/>
          <w:bCs w:val="0"/>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致：</w:t>
      </w:r>
      <w:r>
        <w:rPr>
          <w:rFonts w:hint="eastAsia" w:ascii="宋体" w:hAnsi="宋体" w:eastAsia="宋体" w:cs="Times New Roman"/>
          <w:color w:val="000000"/>
          <w:kern w:val="2"/>
          <w:sz w:val="24"/>
          <w:szCs w:val="24"/>
          <w:highlight w:val="none"/>
          <w:u w:val="single"/>
          <w:lang w:val="en-US" w:eastAsia="zh-CN" w:bidi="ar"/>
        </w:rPr>
        <w:t xml:space="preserve">          </w:t>
      </w:r>
      <w:r>
        <w:rPr>
          <w:rFonts w:hint="eastAsia" w:ascii="宋体" w:hAnsi="宋体" w:eastAsia="宋体" w:cs="宋体"/>
          <w:color w:val="000000"/>
          <w:kern w:val="2"/>
          <w:sz w:val="24"/>
          <w:szCs w:val="24"/>
          <w:highlight w:val="none"/>
          <w:u w:val="single"/>
          <w:lang w:val="en-US" w:eastAsia="zh-CN" w:bidi="ar"/>
        </w:rPr>
        <w:t>（招标人）</w:t>
      </w:r>
      <w:r>
        <w:rPr>
          <w:rFonts w:hint="eastAsia" w:ascii="宋体" w:hAnsi="宋体" w:eastAsia="宋体" w:cs="Times New Roman"/>
          <w:color w:val="000000"/>
          <w:kern w:val="2"/>
          <w:sz w:val="24"/>
          <w:szCs w:val="24"/>
          <w:highlight w:val="none"/>
          <w:u w:val="single"/>
          <w:lang w:val="en-US" w:eastAsia="zh-CN" w:bidi="ar"/>
        </w:rPr>
        <w:t xml:space="preserve">     </w:t>
      </w:r>
      <w:r>
        <w:rPr>
          <w:rFonts w:hint="eastAsia" w:ascii="宋体" w:hAnsi="宋体" w:eastAsia="宋体" w:cs="宋体"/>
          <w:color w:val="000000"/>
          <w:kern w:val="2"/>
          <w:sz w:val="24"/>
          <w:szCs w:val="24"/>
          <w:highlight w:val="none"/>
          <w:u w:val="single"/>
          <w:lang w:val="en-US" w:eastAsia="zh-CN" w:bidi="ar"/>
        </w:rPr>
        <w:t>：</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Times New Roman"/>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本承诺声明：（投标人名称）对本招标文件所有要求完全响应，若有幸中标将严格按照以上承诺进行服务。若发现有偏离且不能按招标人要求调整的，招标人有权终止合同重新招标，我方承担因此产生的所有经济及工期责任。</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Times New Roman"/>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特此声明。</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000000"/>
          <w:kern w:val="2"/>
          <w:sz w:val="24"/>
          <w:szCs w:val="24"/>
          <w:highlight w:val="none"/>
        </w:rPr>
      </w:pPr>
      <w:r>
        <w:rPr>
          <w:rFonts w:hint="eastAsia" w:ascii="宋体" w:hAnsi="宋体" w:eastAsia="宋体" w:cs="Times New Roman"/>
          <w:color w:val="000000"/>
          <w:kern w:val="2"/>
          <w:sz w:val="24"/>
          <w:szCs w:val="24"/>
          <w:highlight w:val="none"/>
          <w:lang w:val="en-US" w:eastAsia="zh-CN" w:bidi="ar"/>
        </w:rPr>
        <w:t xml:space="preserve">                                    </w:t>
      </w:r>
      <w:r>
        <w:rPr>
          <w:rFonts w:hint="eastAsia" w:ascii="宋体" w:hAnsi="宋体" w:eastAsia="宋体" w:cs="宋体"/>
          <w:color w:val="000000"/>
          <w:kern w:val="2"/>
          <w:sz w:val="24"/>
          <w:szCs w:val="24"/>
          <w:highlight w:val="none"/>
          <w:lang w:val="en-US" w:eastAsia="zh-CN" w:bidi="ar"/>
        </w:rPr>
        <w:t>法定代表人：</w:t>
      </w:r>
      <w:r>
        <w:rPr>
          <w:rFonts w:hint="eastAsia" w:ascii="宋体" w:hAnsi="宋体" w:eastAsia="宋体" w:cs="Times New Roman"/>
          <w:color w:val="000000"/>
          <w:kern w:val="2"/>
          <w:sz w:val="24"/>
          <w:szCs w:val="24"/>
          <w:highlight w:val="none"/>
          <w:u w:val="single"/>
          <w:lang w:val="en-US" w:eastAsia="zh-CN" w:bidi="ar"/>
        </w:rPr>
        <w:t xml:space="preserve">          </w:t>
      </w:r>
      <w:r>
        <w:rPr>
          <w:rFonts w:hint="eastAsia" w:ascii="宋体" w:hAnsi="宋体" w:eastAsia="宋体" w:cs="宋体"/>
          <w:color w:val="000000"/>
          <w:kern w:val="2"/>
          <w:sz w:val="24"/>
          <w:szCs w:val="24"/>
          <w:highlight w:val="none"/>
          <w:u w:val="single"/>
          <w:lang w:val="en-US" w:eastAsia="zh-CN" w:bidi="ar"/>
        </w:rPr>
        <w:t>（签字或签章）</w:t>
      </w:r>
      <w:r>
        <w:rPr>
          <w:rFonts w:hint="eastAsia" w:ascii="宋体" w:hAnsi="宋体" w:eastAsia="宋体" w:cs="Times New Roman"/>
          <w:color w:val="000000"/>
          <w:kern w:val="2"/>
          <w:sz w:val="24"/>
          <w:szCs w:val="24"/>
          <w:highlight w:val="none"/>
          <w:u w:val="single"/>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000000"/>
          <w:kern w:val="2"/>
          <w:sz w:val="24"/>
          <w:szCs w:val="24"/>
          <w:highlight w:val="none"/>
          <w:u w:val="single"/>
        </w:rPr>
      </w:pPr>
      <w:r>
        <w:rPr>
          <w:rFonts w:hint="eastAsia" w:ascii="宋体" w:hAnsi="宋体" w:eastAsia="宋体" w:cs="宋体"/>
          <w:color w:val="000000"/>
          <w:kern w:val="2"/>
          <w:sz w:val="24"/>
          <w:szCs w:val="24"/>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000000"/>
          <w:kern w:val="2"/>
          <w:sz w:val="24"/>
          <w:szCs w:val="24"/>
          <w:highlight w:val="none"/>
          <w:u w:val="single"/>
        </w:rPr>
      </w:pPr>
      <w:r>
        <w:rPr>
          <w:rFonts w:hint="eastAsia" w:ascii="宋体" w:hAnsi="宋体" w:eastAsia="宋体" w:cs="Times New Roman"/>
          <w:color w:val="000000"/>
          <w:kern w:val="2"/>
          <w:sz w:val="24"/>
          <w:szCs w:val="24"/>
          <w:highlight w:val="none"/>
          <w:lang w:val="en-US" w:eastAsia="zh-CN" w:bidi="ar"/>
        </w:rPr>
        <w:t xml:space="preserve">                                    </w:t>
      </w:r>
      <w:r>
        <w:rPr>
          <w:rFonts w:hint="eastAsia" w:ascii="宋体" w:hAnsi="宋体" w:eastAsia="宋体" w:cs="宋体"/>
          <w:color w:val="000000"/>
          <w:kern w:val="2"/>
          <w:sz w:val="24"/>
          <w:szCs w:val="24"/>
          <w:highlight w:val="none"/>
          <w:lang w:val="en-US" w:eastAsia="zh-CN" w:bidi="ar"/>
        </w:rPr>
        <w:t>投标单位名称：</w:t>
      </w:r>
      <w:r>
        <w:rPr>
          <w:rFonts w:hint="eastAsia" w:ascii="宋体" w:hAnsi="宋体" w:eastAsia="宋体" w:cs="Times New Roman"/>
          <w:color w:val="000000"/>
          <w:kern w:val="2"/>
          <w:sz w:val="24"/>
          <w:szCs w:val="24"/>
          <w:highlight w:val="none"/>
          <w:u w:val="single"/>
          <w:lang w:val="en-US" w:eastAsia="zh-CN" w:bidi="ar"/>
        </w:rPr>
        <w:t xml:space="preserve">        </w:t>
      </w:r>
      <w:r>
        <w:rPr>
          <w:rFonts w:hint="eastAsia" w:ascii="宋体" w:hAnsi="宋体" w:eastAsia="宋体" w:cs="宋体"/>
          <w:color w:val="000000"/>
          <w:kern w:val="2"/>
          <w:sz w:val="24"/>
          <w:szCs w:val="24"/>
          <w:highlight w:val="none"/>
          <w:u w:val="single"/>
          <w:lang w:val="en-US" w:eastAsia="zh-CN" w:bidi="ar"/>
        </w:rPr>
        <w:t>（盖章）</w:t>
      </w:r>
      <w:r>
        <w:rPr>
          <w:rFonts w:hint="eastAsia" w:ascii="宋体" w:hAnsi="宋体" w:eastAsia="宋体" w:cs="Times New Roman"/>
          <w:color w:val="000000"/>
          <w:kern w:val="2"/>
          <w:sz w:val="24"/>
          <w:szCs w:val="24"/>
          <w:highlight w:val="none"/>
          <w:u w:val="single"/>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320" w:firstLineChars="1800"/>
        <w:jc w:val="left"/>
        <w:rPr>
          <w:rFonts w:hint="eastAsia" w:ascii="宋体" w:hAnsi="宋体" w:eastAsia="宋体" w:cs="Times New Roman"/>
          <w:color w:val="000000"/>
          <w:kern w:val="2"/>
          <w:sz w:val="24"/>
          <w:szCs w:val="24"/>
          <w:highlight w:val="none"/>
        </w:rPr>
      </w:pPr>
      <w:r>
        <w:rPr>
          <w:rFonts w:hint="eastAsia" w:ascii="宋体" w:hAnsi="宋体" w:eastAsia="宋体" w:cs="Times New Roman"/>
          <w:color w:val="000000"/>
          <w:kern w:val="2"/>
          <w:sz w:val="24"/>
          <w:szCs w:val="24"/>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320" w:firstLineChars="1800"/>
        <w:jc w:val="left"/>
        <w:rPr>
          <w:rFonts w:hint="eastAsia" w:ascii="宋体" w:hAnsi="宋体" w:eastAsia="宋体" w:cs="Times New Roman"/>
          <w:color w:val="000000"/>
          <w:kern w:val="2"/>
          <w:sz w:val="24"/>
          <w:szCs w:val="24"/>
          <w:highlight w:val="none"/>
          <w:u w:val="single"/>
        </w:rPr>
      </w:pPr>
      <w:r>
        <w:rPr>
          <w:rFonts w:hint="eastAsia" w:ascii="宋体" w:hAnsi="宋体" w:eastAsia="宋体" w:cs="宋体"/>
          <w:color w:val="000000"/>
          <w:kern w:val="2"/>
          <w:sz w:val="24"/>
          <w:szCs w:val="24"/>
          <w:highlight w:val="none"/>
          <w:lang w:val="en-US" w:eastAsia="zh-CN" w:bidi="ar"/>
        </w:rPr>
        <w:t>日</w:t>
      </w:r>
      <w:r>
        <w:rPr>
          <w:rFonts w:hint="eastAsia" w:ascii="宋体" w:hAnsi="宋体" w:eastAsia="宋体" w:cs="Times New Roman"/>
          <w:color w:val="000000"/>
          <w:kern w:val="2"/>
          <w:sz w:val="24"/>
          <w:szCs w:val="24"/>
          <w:highlight w:val="none"/>
          <w:lang w:val="en-US" w:eastAsia="zh-CN" w:bidi="ar"/>
        </w:rPr>
        <w:t xml:space="preserve">    </w:t>
      </w:r>
      <w:r>
        <w:rPr>
          <w:rFonts w:hint="eastAsia" w:ascii="宋体" w:hAnsi="宋体" w:eastAsia="宋体" w:cs="宋体"/>
          <w:color w:val="000000"/>
          <w:kern w:val="2"/>
          <w:sz w:val="24"/>
          <w:szCs w:val="24"/>
          <w:highlight w:val="none"/>
          <w:lang w:val="en-US" w:eastAsia="zh-CN" w:bidi="ar"/>
        </w:rPr>
        <w:t>期：</w:t>
      </w:r>
      <w:r>
        <w:rPr>
          <w:rFonts w:hint="eastAsia" w:ascii="宋体" w:hAnsi="宋体" w:eastAsia="宋体" w:cs="Times New Roman"/>
          <w:color w:val="000000"/>
          <w:kern w:val="2"/>
          <w:sz w:val="24"/>
          <w:szCs w:val="24"/>
          <w:highlight w:val="none"/>
          <w:u w:val="single"/>
          <w:lang w:val="en-US" w:eastAsia="zh-CN" w:bidi="ar"/>
        </w:rPr>
        <w:t xml:space="preserve">                      </w:t>
      </w:r>
    </w:p>
    <w:p>
      <w:pPr>
        <w:keepNext w:val="0"/>
        <w:keepLines w:val="0"/>
        <w:widowControl w:val="0"/>
        <w:suppressLineNumbers w:val="0"/>
        <w:spacing w:before="0" w:beforeAutospacing="0" w:after="0" w:afterAutospacing="0" w:line="400" w:lineRule="exact"/>
        <w:ind w:left="0" w:right="0" w:firstLine="482" w:firstLineChars="200"/>
        <w:jc w:val="both"/>
        <w:rPr>
          <w:rFonts w:hint="eastAsia" w:ascii="宋体" w:hAnsi="宋体" w:eastAsia="宋体" w:cs="Times New Roman"/>
          <w:b/>
          <w:bCs w:val="0"/>
          <w:color w:val="000000"/>
          <w:kern w:val="2"/>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color w:val="auto"/>
          <w:sz w:val="28"/>
          <w:szCs w:val="28"/>
          <w:highlight w:val="none"/>
        </w:rPr>
      </w:pPr>
    </w:p>
    <w:p>
      <w:pPr>
        <w:rPr>
          <w:rFonts w:hint="eastAsia" w:ascii="宋体" w:hAnsi="宋体" w:eastAsia="宋体" w:cs="宋体"/>
          <w:b/>
          <w:bCs w:val="0"/>
          <w:color w:val="000000"/>
          <w:kern w:val="0"/>
          <w:sz w:val="44"/>
          <w:szCs w:val="44"/>
          <w:highlight w:val="none"/>
          <w:u w:color="000000"/>
          <w:lang w:val="en-US" w:eastAsia="zh-CN" w:bidi="ar"/>
        </w:rPr>
      </w:pPr>
      <w:r>
        <w:rPr>
          <w:rFonts w:hint="eastAsia" w:ascii="宋体" w:hAnsi="宋体" w:eastAsia="宋体" w:cs="宋体"/>
          <w:b/>
          <w:bCs w:val="0"/>
          <w:color w:val="000000"/>
          <w:kern w:val="0"/>
          <w:sz w:val="44"/>
          <w:szCs w:val="44"/>
          <w:highlight w:val="none"/>
          <w:u w:color="000000"/>
          <w:lang w:val="en-US" w:eastAsia="zh-CN" w:bidi="ar"/>
        </w:rPr>
        <w:br w:type="page"/>
      </w:r>
    </w:p>
    <w:p>
      <w:pPr>
        <w:pStyle w:val="29"/>
        <w:rPr>
          <w:rFonts w:hint="eastAsia"/>
          <w:highlight w:val="none"/>
          <w:lang w:val="en-US" w:eastAsia="zh-CN"/>
        </w:rPr>
      </w:pPr>
    </w:p>
    <w:p>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商务标</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6"/>
          <w:szCs w:val="36"/>
          <w:highlight w:val="none"/>
          <w:lang w:val="en-US"/>
        </w:rPr>
      </w:pPr>
      <w:bookmarkStart w:id="69" w:name="_Toc27638_WPSOffice_Level2"/>
      <w:bookmarkEnd w:id="69"/>
      <w:r>
        <w:rPr>
          <w:rFonts w:hint="eastAsia" w:ascii="宋体" w:hAnsi="宋体" w:eastAsia="宋体" w:cs="宋体"/>
          <w:color w:val="000000"/>
          <w:kern w:val="0"/>
          <w:sz w:val="44"/>
          <w:szCs w:val="44"/>
          <w:highlight w:val="none"/>
          <w:u w:color="000000"/>
          <w:lang w:val="en-US" w:eastAsia="zh-CN" w:bidi="ar"/>
        </w:rPr>
        <w:t>（</w:t>
      </w:r>
      <w:r>
        <w:rPr>
          <w:rFonts w:hint="eastAsia" w:ascii="宋体" w:hAnsi="宋体" w:eastAsia="宋体" w:cs="宋体"/>
          <w:color w:val="000000"/>
          <w:kern w:val="0"/>
          <w:sz w:val="36"/>
          <w:szCs w:val="36"/>
          <w:highlight w:val="none"/>
          <w:u w:color="000000"/>
          <w:lang w:val="en-US" w:eastAsia="zh-CN" w:bidi="ar"/>
        </w:rPr>
        <w:t>投标文件三）</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6"/>
          <w:szCs w:val="36"/>
          <w:highlight w:val="none"/>
          <w:lang w:val="en-US"/>
        </w:rPr>
      </w:pPr>
      <w:r>
        <w:rPr>
          <w:rFonts w:hint="eastAsia" w:ascii="宋体" w:hAnsi="宋体" w:eastAsia="宋体" w:cs="宋体"/>
          <w:color w:val="000000"/>
          <w:kern w:val="0"/>
          <w:sz w:val="36"/>
          <w:szCs w:val="36"/>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pPr>
        <w:pStyle w:val="18"/>
        <w:widowControl/>
        <w:jc w:val="center"/>
        <w:rPr>
          <w:rFonts w:hint="eastAsia" w:ascii="宋体" w:hAnsi="宋体" w:eastAsia="宋体" w:cs="宋体"/>
          <w:sz w:val="44"/>
          <w:szCs w:val="44"/>
          <w:highlight w:val="none"/>
          <w:lang w:val="en-US"/>
        </w:rPr>
      </w:pPr>
      <w:r>
        <w:rPr>
          <w:rFonts w:hint="eastAsia" w:ascii="宋体" w:hAnsi="宋体" w:eastAsia="宋体" w:cs="宋体"/>
          <w:color w:val="000000"/>
          <w:kern w:val="0"/>
          <w:sz w:val="44"/>
          <w:szCs w:val="44"/>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32"/>
          <w:szCs w:val="32"/>
          <w:highlight w:val="none"/>
          <w:u w:val="single"/>
          <w:lang w:val="en-US"/>
        </w:rPr>
      </w:pP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pPr>
        <w:rPr>
          <w:highlight w:val="none"/>
          <w:lang w:val="en-US"/>
        </w:rPr>
      </w:pPr>
      <w:r>
        <w:rPr>
          <w:highlight w:val="none"/>
          <w:lang w:val="en-US"/>
        </w:rPr>
        <w:br w:type="page"/>
      </w:r>
    </w:p>
    <w:p>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sz w:val="36"/>
          <w:szCs w:val="36"/>
          <w:highlight w:val="none"/>
          <w:lang w:val="en-US"/>
        </w:rPr>
      </w:pPr>
      <w:r>
        <w:rPr>
          <w:highlight w:val="none"/>
          <w:lang w:val="en-US"/>
        </w:rPr>
        <w:t xml:space="preserve"> </w:t>
      </w:r>
      <w:r>
        <w:rPr>
          <w:rFonts w:hint="eastAsia" w:ascii="宋体" w:hAnsi="宋体" w:eastAsia="宋体" w:cs="宋体"/>
          <w:b/>
          <w:bCs w:val="0"/>
          <w:color w:val="000000"/>
          <w:kern w:val="0"/>
          <w:sz w:val="44"/>
          <w:szCs w:val="44"/>
          <w:highlight w:val="none"/>
          <w:u w:color="000000"/>
          <w:lang w:val="en-US" w:eastAsia="zh-CN" w:bidi="ar"/>
        </w:rPr>
        <w:t>目</w:t>
      </w:r>
      <w:r>
        <w:rPr>
          <w:rFonts w:hint="default" w:ascii="Calibri" w:hAnsi="Calibri" w:eastAsia="宋体" w:cs="Times New Roman"/>
          <w:b/>
          <w:bCs w:val="0"/>
          <w:color w:val="000000"/>
          <w:kern w:val="0"/>
          <w:sz w:val="44"/>
          <w:szCs w:val="44"/>
          <w:highlight w:val="none"/>
          <w:u w:color="000000"/>
          <w:lang w:val="en-US" w:eastAsia="zh-CN" w:bidi="ar"/>
        </w:rPr>
        <w:t xml:space="preserve">   </w:t>
      </w:r>
      <w:r>
        <w:rPr>
          <w:rFonts w:hint="eastAsia" w:ascii="Calibri" w:hAnsi="Calibri" w:eastAsia="宋体" w:cs="宋体"/>
          <w:b/>
          <w:bCs w:val="0"/>
          <w:color w:val="000000"/>
          <w:kern w:val="0"/>
          <w:sz w:val="44"/>
          <w:szCs w:val="44"/>
          <w:highlight w:val="none"/>
          <w:u w:color="000000"/>
          <w:lang w:val="en-US" w:eastAsia="zh-CN" w:bidi="ar"/>
        </w:rPr>
        <w:t>录</w:t>
      </w:r>
    </w:p>
    <w:p>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w:t>
      </w:r>
      <w:r>
        <w:rPr>
          <w:rFonts w:hint="eastAsia" w:ascii="宋体" w:hAnsi="Calibri" w:eastAsia="宋体" w:cs="宋体"/>
          <w:color w:val="000000"/>
          <w:kern w:val="0"/>
          <w:sz w:val="21"/>
          <w:szCs w:val="21"/>
          <w:highlight w:val="none"/>
          <w:u w:color="000000"/>
          <w:lang w:val="en-US" w:eastAsia="zh-CN" w:bidi="ar"/>
        </w:rPr>
        <w:t>1）开标一览表（格式见附件）；</w:t>
      </w:r>
    </w:p>
    <w:p>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w:t>
      </w:r>
      <w:r>
        <w:rPr>
          <w:rFonts w:hint="eastAsia" w:ascii="宋体" w:hAnsi="Calibri" w:eastAsia="宋体" w:cs="宋体"/>
          <w:color w:val="000000"/>
          <w:kern w:val="0"/>
          <w:sz w:val="21"/>
          <w:szCs w:val="21"/>
          <w:highlight w:val="none"/>
          <w:u w:color="000000"/>
          <w:lang w:val="en-US" w:eastAsia="zh-CN" w:bidi="ar"/>
        </w:rPr>
        <w:t>2）投标函（格式见附件）；</w:t>
      </w:r>
    </w:p>
    <w:p>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default" w:ascii="宋体" w:hAnsi="Calibri"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w:t>
      </w:r>
      <w:r>
        <w:rPr>
          <w:rFonts w:hint="eastAsia" w:ascii="宋体" w:hAnsi="Calibri" w:eastAsia="宋体" w:cs="宋体"/>
          <w:color w:val="000000"/>
          <w:kern w:val="0"/>
          <w:sz w:val="21"/>
          <w:szCs w:val="21"/>
          <w:highlight w:val="none"/>
          <w:u w:color="000000"/>
          <w:lang w:val="en-US" w:eastAsia="zh-CN" w:bidi="ar"/>
        </w:rPr>
        <w:t>3）</w:t>
      </w:r>
      <w:r>
        <w:rPr>
          <w:rFonts w:hint="eastAsia" w:ascii="宋体" w:hAnsi="Times New Roman" w:eastAsia="宋体" w:cs="Times New Roman"/>
          <w:color w:val="auto"/>
          <w:szCs w:val="21"/>
          <w:highlight w:val="none"/>
          <w:lang w:val="en-US" w:eastAsia="zh-CN"/>
        </w:rPr>
        <w:t>投标报价清单（</w:t>
      </w:r>
      <w:r>
        <w:rPr>
          <w:rFonts w:hint="eastAsia" w:ascii="宋体" w:hAnsi="Calibri" w:eastAsia="宋体" w:cs="宋体"/>
          <w:color w:val="000000"/>
          <w:kern w:val="0"/>
          <w:sz w:val="21"/>
          <w:szCs w:val="21"/>
          <w:highlight w:val="none"/>
          <w:u w:color="000000"/>
          <w:lang w:val="en-US" w:eastAsia="zh-CN" w:bidi="ar"/>
        </w:rPr>
        <w:t>格式见附件</w:t>
      </w:r>
      <w:r>
        <w:rPr>
          <w:rFonts w:hint="eastAsia" w:ascii="宋体" w:hAnsi="Times New Roman" w:eastAsia="宋体" w:cs="Times New Roman"/>
          <w:color w:val="auto"/>
          <w:szCs w:val="21"/>
          <w:highlight w:val="none"/>
          <w:lang w:val="en-US" w:eastAsia="zh-CN"/>
        </w:rPr>
        <w:t>）</w:t>
      </w:r>
      <w:r>
        <w:rPr>
          <w:rFonts w:hint="eastAsia" w:ascii="宋体" w:hAnsi="Calibri" w:eastAsia="宋体" w:cs="宋体"/>
          <w:color w:val="000000"/>
          <w:kern w:val="0"/>
          <w:sz w:val="21"/>
          <w:szCs w:val="21"/>
          <w:highlight w:val="none"/>
          <w:u w:color="000000"/>
          <w:lang w:val="en-US" w:eastAsia="zh-CN" w:bidi="ar"/>
        </w:rPr>
        <w:t>；</w:t>
      </w:r>
    </w:p>
    <w:p>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（4）投标人认为需要提供的其他材料（如有）。</w:t>
      </w:r>
    </w:p>
    <w:p>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color w:val="000000"/>
          <w:kern w:val="0"/>
          <w:sz w:val="32"/>
          <w:szCs w:val="32"/>
          <w:highlight w:val="none"/>
          <w:u w:color="000000"/>
          <w:lang w:val="en-US" w:eastAsia="zh-CN" w:bidi="ar"/>
        </w:rPr>
      </w:pPr>
      <w:r>
        <w:rPr>
          <w:rFonts w:hint="eastAsia" w:ascii="宋体" w:hAnsi="宋体" w:eastAsia="宋体" w:cs="宋体"/>
          <w:b/>
          <w:bCs w:val="0"/>
          <w:color w:val="000000"/>
          <w:kern w:val="0"/>
          <w:sz w:val="32"/>
          <w:szCs w:val="32"/>
          <w:highlight w:val="none"/>
          <w:u w:color="000000"/>
          <w:lang w:val="en-US" w:eastAsia="zh-CN" w:bidi="ar"/>
        </w:rPr>
        <w:t xml:space="preserve"> </w:t>
      </w:r>
    </w:p>
    <w:p>
      <w:pPr>
        <w:rPr>
          <w:rFonts w:hint="eastAsia" w:ascii="宋体" w:hAnsi="宋体" w:eastAsia="宋体" w:cs="宋体"/>
          <w:b/>
          <w:bCs w:val="0"/>
          <w:color w:val="000000"/>
          <w:kern w:val="0"/>
          <w:sz w:val="32"/>
          <w:szCs w:val="32"/>
          <w:highlight w:val="none"/>
          <w:u w:color="000000"/>
          <w:lang w:val="en-US" w:eastAsia="zh-CN" w:bidi="ar"/>
        </w:rPr>
      </w:pPr>
      <w:r>
        <w:rPr>
          <w:rFonts w:hint="eastAsia" w:ascii="宋体" w:hAnsi="宋体" w:eastAsia="宋体" w:cs="宋体"/>
          <w:b/>
          <w:bCs w:val="0"/>
          <w:color w:val="000000"/>
          <w:kern w:val="0"/>
          <w:sz w:val="32"/>
          <w:szCs w:val="32"/>
          <w:highlight w:val="none"/>
          <w:u w:color="000000"/>
          <w:lang w:val="en-US" w:eastAsia="zh-CN" w:bidi="ar"/>
        </w:rPr>
        <w:br w:type="page"/>
      </w:r>
    </w:p>
    <w:p>
      <w:pPr>
        <w:jc w:val="left"/>
        <w:rPr>
          <w:rFonts w:hint="default"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附件1</w:t>
      </w:r>
    </w:p>
    <w:p>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开标一览表</w:t>
      </w:r>
    </w:p>
    <w:p>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pPr>
              <w:pStyle w:val="14"/>
              <w:widowControl/>
              <w:spacing w:line="460" w:lineRule="exact"/>
              <w:ind w:left="86" w:leftChars="41"/>
              <w:rPr>
                <w:rFonts w:hint="eastAsia" w:ascii="宋体" w:hAnsi="Arial" w:eastAsia="宋体" w:cs="宋体"/>
                <w:sz w:val="24"/>
                <w:szCs w:val="24"/>
                <w:highlight w:val="none"/>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总投标价\服务期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总投标价（大写）：</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pPr>
              <w:keepNext w:val="0"/>
              <w:keepLines w:val="0"/>
              <w:widowControl/>
              <w:suppressLineNumbers w:val="0"/>
              <w:spacing w:before="0" w:beforeAutospacing="0" w:after="0" w:afterAutospacing="0" w:line="360" w:lineRule="auto"/>
              <w:ind w:left="0" w:right="0" w:firstLine="960" w:firstLineChars="40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(小写) ：</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highlight w:val="none"/>
                <w:u w:color="000000"/>
                <w:lang w:val="en-US" w:eastAsia="zh-CN" w:bidi="ar"/>
              </w:rPr>
            </w:pPr>
          </w:p>
          <w:p>
            <w:pPr>
              <w:keepNext w:val="0"/>
              <w:keepLines w:val="0"/>
              <w:widowControl/>
              <w:suppressLineNumbers w:val="0"/>
              <w:spacing w:before="0" w:beforeAutospacing="0" w:after="0" w:afterAutospacing="0" w:line="360" w:lineRule="auto"/>
              <w:ind w:left="0" w:right="0"/>
              <w:jc w:val="both"/>
              <w:rPr>
                <w:rFonts w:hint="default"/>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服务期：</w:t>
            </w:r>
            <w:r>
              <w:rPr>
                <w:rFonts w:hint="eastAsia" w:ascii="宋体" w:hAnsi="宋体" w:eastAsia="宋体" w:cs="宋体"/>
                <w:color w:val="000000"/>
                <w:kern w:val="2"/>
                <w:sz w:val="24"/>
                <w:szCs w:val="24"/>
                <w:highlight w:val="none"/>
                <w:u w:val="single" w:color="000000"/>
                <w:lang w:val="en-US" w:eastAsia="zh-CN" w:bidi="ar"/>
              </w:rPr>
              <w:t xml:space="preserve">  自合同签订后30个日历天内完成软件开发，调试运行依据现场情况推进，直至运行正常   </w:t>
            </w:r>
          </w:p>
        </w:tc>
      </w:tr>
    </w:tbl>
    <w:p>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pPr>
        <w:spacing w:line="360" w:lineRule="auto"/>
        <w:rPr>
          <w:rFonts w:hint="eastAsia" w:ascii="宋体" w:hAnsi="宋体" w:eastAsia="宋体" w:cs="宋体"/>
          <w:b/>
          <w:bCs w:val="0"/>
          <w:color w:val="000000"/>
          <w:kern w:val="0"/>
          <w:sz w:val="30"/>
          <w:szCs w:val="30"/>
          <w:highlight w:val="none"/>
          <w:lang w:val="en-US" w:eastAsia="zh-CN" w:bidi="ar"/>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附件2</w:t>
      </w:r>
    </w:p>
    <w:p>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(招标人)       </w:t>
      </w:r>
      <w:r>
        <w:rPr>
          <w:rFonts w:hint="eastAsia" w:ascii="宋体" w:hAnsi="宋体" w:eastAsia="宋体" w:cs="宋体"/>
          <w:color w:val="000000"/>
          <w:kern w:val="0"/>
          <w:sz w:val="24"/>
          <w:szCs w:val="24"/>
          <w:highlight w:val="none"/>
          <w:u w:color="000000"/>
          <w:lang w:val="en-US" w:eastAsia="zh-CN" w:bidi="ar"/>
        </w:rPr>
        <w:t xml:space="preserve"> </w:t>
      </w:r>
    </w:p>
    <w:p>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2.我方愿意按照招标文件规定的各项要求，向招标人提供本项目的货物与服务，总投标价为人民币（大写）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w:t>
      </w:r>
      <w:r>
        <w:rPr>
          <w:rFonts w:hint="eastAsia" w:ascii="宋体" w:hAnsi="宋体" w:eastAsia="宋体" w:cs="宋体"/>
          <w:color w:val="000000"/>
          <w:kern w:val="2"/>
          <w:sz w:val="24"/>
          <w:szCs w:val="24"/>
          <w:highlight w:val="none"/>
          <w:u w:color="000000"/>
          <w:lang w:val="en-US" w:eastAsia="zh-CN" w:bidi="ar"/>
        </w:rPr>
        <w:t>服务期</w:t>
      </w:r>
      <w:r>
        <w:rPr>
          <w:rFonts w:hint="eastAsia" w:ascii="宋体" w:hAnsi="宋体" w:eastAsia="宋体" w:cs="宋体"/>
          <w:color w:val="000000"/>
          <w:kern w:val="0"/>
          <w:sz w:val="24"/>
          <w:szCs w:val="24"/>
          <w:highlight w:val="none"/>
          <w:u w:color="000000"/>
          <w:lang w:val="en-US" w:eastAsia="zh-CN" w:bidi="ar"/>
        </w:rPr>
        <w:t>：</w:t>
      </w:r>
      <w:r>
        <w:rPr>
          <w:rFonts w:hint="eastAsia" w:ascii="宋体" w:hAnsi="宋体" w:eastAsia="宋体" w:cs="宋体"/>
          <w:color w:val="000000"/>
          <w:kern w:val="0"/>
          <w:sz w:val="24"/>
          <w:szCs w:val="24"/>
          <w:highlight w:val="none"/>
          <w:u w:val="single" w:color="000000"/>
          <w:lang w:val="en-US" w:eastAsia="zh-CN" w:bidi="ar"/>
        </w:rPr>
        <w:t xml:space="preserve">  自合同签订后30个日历天内完成软件开发，调试运行依据现场情况推进，直至运行正常 </w:t>
      </w:r>
      <w:r>
        <w:rPr>
          <w:rFonts w:hint="eastAsia" w:ascii="宋体" w:hAnsi="宋体" w:eastAsia="宋体" w:cs="宋体"/>
          <w:color w:val="000000"/>
          <w:kern w:val="0"/>
          <w:sz w:val="24"/>
          <w:szCs w:val="24"/>
          <w:highlight w:val="none"/>
          <w:u w:color="000000"/>
          <w:lang w:val="en-US" w:eastAsia="zh-CN" w:bidi="ar"/>
        </w:rPr>
        <w:t>。</w:t>
      </w:r>
    </w:p>
    <w:p>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pPr>
        <w:keepNext w:val="0"/>
        <w:keepLines w:val="0"/>
        <w:widowControl/>
        <w:suppressLineNumbers w:val="0"/>
        <w:spacing w:before="0" w:beforeAutospacing="0" w:after="0" w:afterAutospacing="0" w:line="440" w:lineRule="exact"/>
        <w:ind w:left="0" w:right="0" w:firstLine="480" w:firstLineChars="20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90 </w:t>
      </w:r>
      <w:r>
        <w:rPr>
          <w:rFonts w:hint="eastAsia" w:ascii="宋体" w:hAnsi="宋体" w:eastAsia="宋体" w:cs="宋体"/>
          <w:color w:val="000000"/>
          <w:kern w:val="0"/>
          <w:sz w:val="24"/>
          <w:szCs w:val="24"/>
          <w:highlight w:val="none"/>
          <w:u w:color="000000"/>
          <w:lang w:val="en-US" w:eastAsia="zh-CN" w:bidi="ar"/>
        </w:rPr>
        <w:t>日历天（从投标截止之日算起）。</w:t>
      </w:r>
    </w:p>
    <w:p>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5.我方愿意提供可能另外要求的、与投标有关的文件资料，并保证我方已提供和将要提供的文件是真实的、准确的。</w:t>
      </w:r>
    </w:p>
    <w:p>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6.我单位提供如下通讯地址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color="000000"/>
          <w:lang w:val="en-US" w:eastAsia="zh-CN" w:bidi="ar"/>
        </w:rPr>
        <w:t xml:space="preserve"> </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pPr>
        <w:keepNext w:val="0"/>
        <w:keepLines w:val="0"/>
        <w:widowControl/>
        <w:suppressLineNumbers w:val="0"/>
        <w:spacing w:before="0" w:beforeAutospacing="0" w:after="0" w:afterAutospacing="0" w:line="357" w:lineRule="atLeast"/>
        <w:ind w:left="0" w:right="-178" w:rightChars="-85" w:firstLine="2520" w:firstLineChars="1050"/>
        <w:jc w:val="both"/>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p>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pPr>
        <w:rPr>
          <w:rFonts w:hint="eastAsia" w:ascii="宋体" w:hAnsi="宋体" w:eastAsia="宋体" w:cs="宋体"/>
          <w:b/>
          <w:bCs w:val="0"/>
          <w:color w:val="000000"/>
          <w:kern w:val="0"/>
          <w:sz w:val="30"/>
          <w:szCs w:val="30"/>
          <w:highlight w:val="none"/>
          <w:u w:color="000000"/>
          <w:lang w:val="en-US" w:eastAsia="zh-CN" w:bidi="ar"/>
        </w:rPr>
      </w:pPr>
      <w:r>
        <w:rPr>
          <w:rFonts w:hint="eastAsia" w:ascii="宋体" w:hAnsi="宋体" w:eastAsia="宋体" w:cs="宋体"/>
          <w:b/>
          <w:bCs w:val="0"/>
          <w:color w:val="000000"/>
          <w:kern w:val="0"/>
          <w:sz w:val="30"/>
          <w:szCs w:val="30"/>
          <w:highlight w:val="none"/>
          <w:u w:color="000000"/>
          <w:lang w:val="en-US" w:eastAsia="zh-CN" w:bidi="ar"/>
        </w:rPr>
        <w:br w:type="page"/>
      </w:r>
    </w:p>
    <w:p>
      <w:pPr>
        <w:keepNext w:val="0"/>
        <w:keepLines w:val="0"/>
        <w:widowControl/>
        <w:suppressLineNumbers w:val="0"/>
        <w:spacing w:before="0" w:beforeAutospacing="0" w:after="0" w:afterAutospacing="0" w:line="360" w:lineRule="auto"/>
        <w:ind w:right="0"/>
        <w:jc w:val="both"/>
        <w:rPr>
          <w:rFonts w:hint="eastAsia" w:ascii="宋体" w:hAnsi="宋体" w:eastAsia="宋体" w:cs="宋体"/>
          <w:b/>
          <w:bCs w:val="0"/>
          <w:color w:val="000000"/>
          <w:kern w:val="0"/>
          <w:sz w:val="30"/>
          <w:szCs w:val="30"/>
          <w:highlight w:val="none"/>
          <w:u w:color="000000"/>
          <w:lang w:val="en-US" w:eastAsia="zh-CN" w:bidi="ar"/>
        </w:rPr>
      </w:pPr>
      <w:r>
        <w:rPr>
          <w:rFonts w:hint="eastAsia" w:ascii="宋体" w:hAnsi="宋体" w:eastAsia="宋体" w:cs="宋体"/>
          <w:b/>
          <w:bCs w:val="0"/>
          <w:color w:val="000000"/>
          <w:kern w:val="0"/>
          <w:sz w:val="30"/>
          <w:szCs w:val="30"/>
          <w:highlight w:val="none"/>
          <w:u w:color="000000"/>
          <w:lang w:val="en-US" w:eastAsia="zh-CN" w:bidi="ar"/>
        </w:rPr>
        <w:t>附件3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000000"/>
          <w:sz w:val="36"/>
          <w:szCs w:val="36"/>
          <w:highlight w:val="none"/>
        </w:rPr>
      </w:pPr>
      <w:r>
        <w:rPr>
          <w:rFonts w:hint="eastAsia"/>
          <w:b/>
          <w:color w:val="000000"/>
          <w:sz w:val="28"/>
          <w:szCs w:val="28"/>
          <w:highlight w:val="none"/>
        </w:rPr>
        <w:t>分项报价清单</w:t>
      </w:r>
    </w:p>
    <w:p>
      <w:pPr>
        <w:keepNext w:val="0"/>
        <w:keepLines w:val="0"/>
        <w:widowControl/>
        <w:suppressLineNumbers w:val="0"/>
        <w:spacing w:before="0" w:beforeLines="0" w:beforeAutospacing="0" w:after="0" w:afterLines="0" w:afterAutospacing="0" w:line="360" w:lineRule="auto"/>
        <w:ind w:left="0" w:right="0" w:firstLine="435"/>
        <w:jc w:val="center"/>
        <w:textAlignment w:val="baseline"/>
        <w:rPr>
          <w:rFonts w:hint="eastAsia" w:ascii="宋体" w:hAnsi="宋体" w:eastAsia="宋体" w:cs="宋体"/>
          <w:b/>
          <w:bCs w:val="0"/>
          <w:color w:val="000000"/>
          <w:kern w:val="2"/>
          <w:sz w:val="24"/>
          <w:szCs w:val="24"/>
          <w:highlight w:val="none"/>
          <w:vertAlign w:val="baseline"/>
        </w:rPr>
      </w:pPr>
      <w:r>
        <w:rPr>
          <w:rFonts w:hint="eastAsia" w:ascii="宋体" w:hAnsi="宋体" w:eastAsia="宋体" w:cs="宋体"/>
          <w:i/>
          <w:iCs w:val="0"/>
          <w:color w:val="000000"/>
          <w:kern w:val="0"/>
          <w:sz w:val="24"/>
          <w:szCs w:val="24"/>
          <w:highlight w:val="none"/>
          <w:vertAlign w:val="baseline"/>
          <w:lang w:val="en-US" w:eastAsia="zh-CN" w:bidi="ar"/>
        </w:rPr>
        <w:t>（仅供参考，投标人可自行制作格式）</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0"/>
        <w:gridCol w:w="3109"/>
        <w:gridCol w:w="1357"/>
        <w:gridCol w:w="1698"/>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b/>
                <w:bCs w:val="0"/>
                <w:color w:val="000000"/>
                <w:kern w:val="2"/>
                <w:sz w:val="24"/>
                <w:szCs w:val="24"/>
                <w:highlight w:val="none"/>
                <w:vertAlign w:val="baseline"/>
              </w:rPr>
            </w:pPr>
            <w:r>
              <w:rPr>
                <w:rFonts w:hint="eastAsia" w:ascii="宋体" w:hAnsi="宋体" w:eastAsia="宋体" w:cs="宋体"/>
                <w:b/>
                <w:bCs w:val="0"/>
                <w:color w:val="000000"/>
                <w:kern w:val="0"/>
                <w:sz w:val="24"/>
                <w:szCs w:val="24"/>
                <w:vertAlign w:val="baseline"/>
                <w:lang w:val="en-US" w:eastAsia="zh-CN" w:bidi="ar"/>
              </w:rPr>
              <w:t>序号</w:t>
            </w:r>
          </w:p>
        </w:tc>
        <w:tc>
          <w:tcPr>
            <w:tcW w:w="31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b/>
                <w:bCs w:val="0"/>
                <w:color w:val="000000"/>
                <w:kern w:val="2"/>
                <w:sz w:val="24"/>
                <w:szCs w:val="24"/>
                <w:highlight w:val="none"/>
                <w:vertAlign w:val="baseline"/>
              </w:rPr>
            </w:pPr>
            <w:r>
              <w:rPr>
                <w:rFonts w:hint="eastAsia" w:ascii="宋体" w:hAnsi="宋体" w:eastAsia="宋体" w:cs="宋体"/>
                <w:b/>
                <w:bCs w:val="0"/>
                <w:color w:val="000000"/>
                <w:kern w:val="0"/>
                <w:sz w:val="24"/>
                <w:szCs w:val="24"/>
                <w:vertAlign w:val="baseline"/>
                <w:lang w:val="en-US" w:eastAsia="zh-CN" w:bidi="ar"/>
              </w:rPr>
              <w:t>服务内容</w:t>
            </w:r>
          </w:p>
        </w:tc>
        <w:tc>
          <w:tcPr>
            <w:tcW w:w="13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b/>
                <w:bCs w:val="0"/>
                <w:color w:val="000000"/>
                <w:kern w:val="2"/>
                <w:sz w:val="24"/>
                <w:szCs w:val="24"/>
                <w:highlight w:val="none"/>
                <w:vertAlign w:val="baseline"/>
              </w:rPr>
            </w:pPr>
            <w:r>
              <w:rPr>
                <w:rFonts w:hint="eastAsia" w:ascii="宋体" w:hAnsi="宋体" w:eastAsia="宋体" w:cs="宋体"/>
                <w:b/>
                <w:bCs w:val="0"/>
                <w:color w:val="000000"/>
                <w:kern w:val="0"/>
                <w:sz w:val="24"/>
                <w:szCs w:val="24"/>
                <w:vertAlign w:val="baseline"/>
                <w:lang w:val="en-US" w:eastAsia="zh-CN" w:bidi="ar"/>
              </w:rPr>
              <w:t>项</w:t>
            </w:r>
          </w:p>
        </w:tc>
        <w:tc>
          <w:tcPr>
            <w:tcW w:w="1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b/>
                <w:bCs w:val="0"/>
                <w:color w:val="000000"/>
                <w:kern w:val="2"/>
                <w:sz w:val="24"/>
                <w:szCs w:val="24"/>
                <w:highlight w:val="none"/>
                <w:vertAlign w:val="baseline"/>
              </w:rPr>
            </w:pPr>
            <w:r>
              <w:rPr>
                <w:rFonts w:hint="eastAsia" w:ascii="宋体" w:hAnsi="宋体" w:eastAsia="宋体" w:cs="宋体"/>
                <w:b/>
                <w:bCs w:val="0"/>
                <w:color w:val="000000"/>
                <w:kern w:val="0"/>
                <w:sz w:val="24"/>
                <w:szCs w:val="24"/>
                <w:vertAlign w:val="baseline"/>
                <w:lang w:val="en-US" w:eastAsia="zh-CN" w:bidi="ar"/>
              </w:rPr>
              <w:t>单价</w:t>
            </w:r>
          </w:p>
        </w:tc>
        <w:tc>
          <w:tcPr>
            <w:tcW w:w="15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b/>
                <w:bCs w:val="0"/>
                <w:color w:val="000000"/>
                <w:kern w:val="2"/>
                <w:sz w:val="24"/>
                <w:szCs w:val="24"/>
                <w:highlight w:val="none"/>
                <w:vertAlign w:val="baseline"/>
              </w:rPr>
            </w:pPr>
            <w:r>
              <w:rPr>
                <w:rFonts w:hint="eastAsia" w:ascii="宋体" w:hAnsi="宋体" w:eastAsia="宋体" w:cs="宋体"/>
                <w:b/>
                <w:bCs w:val="0"/>
                <w:color w:val="000000"/>
                <w:kern w:val="0"/>
                <w:sz w:val="24"/>
                <w:szCs w:val="24"/>
                <w:vertAlign w:val="baseline"/>
                <w:lang w:val="en-US" w:eastAsia="zh-CN" w:bidi="ar"/>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0"/>
                <w:sz w:val="24"/>
                <w:szCs w:val="24"/>
                <w:vertAlign w:val="baseline"/>
                <w:lang w:val="en-US" w:eastAsia="zh-CN" w:bidi="ar"/>
              </w:rPr>
              <w:t>1</w:t>
            </w:r>
          </w:p>
        </w:tc>
        <w:tc>
          <w:tcPr>
            <w:tcW w:w="31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2"/>
                <w:sz w:val="24"/>
                <w:szCs w:val="24"/>
                <w:vertAlign w:val="baseline"/>
                <w:lang w:val="en-US" w:eastAsia="zh-CN"/>
              </w:rPr>
              <w:t>车辆定位签到</w:t>
            </w:r>
          </w:p>
        </w:tc>
        <w:tc>
          <w:tcPr>
            <w:tcW w:w="13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2"/>
                <w:sz w:val="24"/>
                <w:szCs w:val="24"/>
                <w:vertAlign w:val="baseline"/>
                <w:lang w:val="en-US" w:eastAsia="zh-CN"/>
              </w:rPr>
              <w:t>1</w:t>
            </w:r>
          </w:p>
        </w:tc>
        <w:tc>
          <w:tcPr>
            <w:tcW w:w="1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p>
        </w:tc>
        <w:tc>
          <w:tcPr>
            <w:tcW w:w="15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0"/>
                <w:sz w:val="24"/>
                <w:szCs w:val="24"/>
                <w:vertAlign w:val="baseline"/>
                <w:lang w:val="en-US" w:eastAsia="zh-CN" w:bidi="ar"/>
              </w:rPr>
              <w:t>2</w:t>
            </w:r>
          </w:p>
        </w:tc>
        <w:tc>
          <w:tcPr>
            <w:tcW w:w="31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2"/>
                <w:sz w:val="24"/>
                <w:szCs w:val="24"/>
                <w:vertAlign w:val="baseline"/>
              </w:rPr>
              <w:t>人脸识别边缘计算服务</w:t>
            </w:r>
          </w:p>
        </w:tc>
        <w:tc>
          <w:tcPr>
            <w:tcW w:w="13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2"/>
                <w:sz w:val="24"/>
                <w:szCs w:val="24"/>
                <w:vertAlign w:val="baseline"/>
                <w:lang w:val="en-US" w:eastAsia="zh-CN"/>
              </w:rPr>
              <w:t>1</w:t>
            </w:r>
          </w:p>
        </w:tc>
        <w:tc>
          <w:tcPr>
            <w:tcW w:w="1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p>
        </w:tc>
        <w:tc>
          <w:tcPr>
            <w:tcW w:w="15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0"/>
                <w:sz w:val="24"/>
                <w:szCs w:val="24"/>
                <w:vertAlign w:val="baseline"/>
                <w:lang w:val="en-US" w:eastAsia="zh-CN" w:bidi="ar"/>
              </w:rPr>
              <w:t>3</w:t>
            </w:r>
          </w:p>
        </w:tc>
        <w:tc>
          <w:tcPr>
            <w:tcW w:w="31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2"/>
                <w:sz w:val="24"/>
                <w:szCs w:val="24"/>
                <w:vertAlign w:val="baseline"/>
                <w:lang w:val="en-US" w:eastAsia="zh-CN"/>
              </w:rPr>
              <w:t>车辆排队叫号</w:t>
            </w:r>
          </w:p>
        </w:tc>
        <w:tc>
          <w:tcPr>
            <w:tcW w:w="13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2"/>
                <w:sz w:val="24"/>
                <w:szCs w:val="24"/>
                <w:vertAlign w:val="baseline"/>
                <w:lang w:val="en-US" w:eastAsia="zh-CN"/>
              </w:rPr>
              <w:t>1</w:t>
            </w:r>
          </w:p>
        </w:tc>
        <w:tc>
          <w:tcPr>
            <w:tcW w:w="1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p>
        </w:tc>
        <w:tc>
          <w:tcPr>
            <w:tcW w:w="15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0"/>
                <w:sz w:val="24"/>
                <w:szCs w:val="24"/>
                <w:vertAlign w:val="baseline"/>
                <w:lang w:val="en-US" w:eastAsia="zh-CN" w:bidi="ar"/>
              </w:rPr>
              <w:t>4</w:t>
            </w:r>
          </w:p>
        </w:tc>
        <w:tc>
          <w:tcPr>
            <w:tcW w:w="31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2"/>
                <w:sz w:val="24"/>
                <w:szCs w:val="24"/>
                <w:vertAlign w:val="baseline"/>
                <w:lang w:val="en-US" w:eastAsia="zh-CN"/>
              </w:rPr>
              <w:t>车辆排队管理</w:t>
            </w:r>
          </w:p>
        </w:tc>
        <w:tc>
          <w:tcPr>
            <w:tcW w:w="13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2"/>
                <w:sz w:val="24"/>
                <w:szCs w:val="24"/>
                <w:vertAlign w:val="baseline"/>
                <w:lang w:val="en-US" w:eastAsia="zh-CN"/>
              </w:rPr>
              <w:t>1</w:t>
            </w:r>
          </w:p>
        </w:tc>
        <w:tc>
          <w:tcPr>
            <w:tcW w:w="1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p>
        </w:tc>
        <w:tc>
          <w:tcPr>
            <w:tcW w:w="15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2"/>
                <w:sz w:val="24"/>
                <w:szCs w:val="24"/>
                <w:vertAlign w:val="baseline"/>
                <w:lang w:val="en-US" w:eastAsia="zh-CN"/>
              </w:rPr>
              <w:t>5</w:t>
            </w:r>
          </w:p>
        </w:tc>
        <w:tc>
          <w:tcPr>
            <w:tcW w:w="31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2"/>
                <w:sz w:val="24"/>
                <w:szCs w:val="24"/>
                <w:vertAlign w:val="baseline"/>
                <w:lang w:val="en-US" w:eastAsia="zh-CN"/>
              </w:rPr>
              <w:t>发运系统、客商管理系统端口接入</w:t>
            </w:r>
          </w:p>
        </w:tc>
        <w:tc>
          <w:tcPr>
            <w:tcW w:w="13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2"/>
                <w:sz w:val="24"/>
                <w:szCs w:val="24"/>
                <w:vertAlign w:val="baseline"/>
                <w:lang w:val="en-US" w:eastAsia="zh-CN"/>
              </w:rPr>
              <w:t>1</w:t>
            </w:r>
          </w:p>
        </w:tc>
        <w:tc>
          <w:tcPr>
            <w:tcW w:w="1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p>
        </w:tc>
        <w:tc>
          <w:tcPr>
            <w:tcW w:w="15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2"/>
                <w:sz w:val="24"/>
                <w:szCs w:val="24"/>
                <w:vertAlign w:val="baseline"/>
                <w:lang w:val="en-US" w:eastAsia="zh-CN"/>
              </w:rPr>
              <w:t>6</w:t>
            </w:r>
          </w:p>
        </w:tc>
        <w:tc>
          <w:tcPr>
            <w:tcW w:w="31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2"/>
                <w:sz w:val="24"/>
                <w:szCs w:val="24"/>
                <w:vertAlign w:val="baseline"/>
                <w:lang w:val="en-US" w:eastAsia="zh-CN"/>
              </w:rPr>
              <w:t>安装调试</w:t>
            </w:r>
          </w:p>
        </w:tc>
        <w:tc>
          <w:tcPr>
            <w:tcW w:w="13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2"/>
                <w:sz w:val="24"/>
                <w:szCs w:val="24"/>
                <w:vertAlign w:val="baseline"/>
                <w:lang w:val="en-US" w:eastAsia="zh-CN"/>
              </w:rPr>
              <w:t>1</w:t>
            </w:r>
          </w:p>
        </w:tc>
        <w:tc>
          <w:tcPr>
            <w:tcW w:w="1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p>
        </w:tc>
        <w:tc>
          <w:tcPr>
            <w:tcW w:w="15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2"/>
                <w:sz w:val="24"/>
                <w:szCs w:val="24"/>
                <w:vertAlign w:val="baseline"/>
                <w:lang w:val="en-US" w:eastAsia="zh-CN"/>
              </w:rPr>
              <w:t>7</w:t>
            </w:r>
          </w:p>
        </w:tc>
        <w:tc>
          <w:tcPr>
            <w:tcW w:w="3109" w:type="dxa"/>
            <w:tcBorders>
              <w:top w:val="single" w:color="auto" w:sz="4" w:space="0"/>
              <w:left w:val="nil"/>
              <w:bottom w:val="single" w:color="auto" w:sz="4" w:space="0"/>
              <w:right w:val="single" w:color="auto" w:sz="4" w:space="0"/>
            </w:tcBorders>
            <w:shd w:val="clear" w:color="auto" w:fill="auto"/>
            <w:vAlign w:val="center"/>
          </w:tcPr>
          <w:p>
            <w:pPr>
              <w:pStyle w:val="21"/>
              <w:keepNext w:val="0"/>
              <w:keepLines w:val="0"/>
              <w:widowControl/>
              <w:suppressLineNumbers w:val="0"/>
              <w:spacing w:before="0" w:beforeLines="0" w:beforeAutospacing="0" w:after="0" w:afterLines="0" w:afterAutospacing="0" w:line="357" w:lineRule="atLeast"/>
              <w:ind w:left="-108" w:leftChars="0" w:right="0" w:rightChars="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0"/>
                <w:sz w:val="24"/>
                <w:szCs w:val="24"/>
                <w:highlight w:val="none"/>
                <w:u w:color="auto"/>
                <w:vertAlign w:val="baseline"/>
                <w:lang w:val="en-US" w:eastAsia="zh-CN" w:bidi="ar"/>
              </w:rPr>
              <w:t>其他费用</w:t>
            </w:r>
          </w:p>
        </w:tc>
        <w:tc>
          <w:tcPr>
            <w:tcW w:w="13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lang w:val="en-US" w:eastAsia="zh-CN"/>
              </w:rPr>
            </w:pPr>
          </w:p>
        </w:tc>
        <w:tc>
          <w:tcPr>
            <w:tcW w:w="1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default" w:ascii="宋体" w:hAnsi="宋体" w:eastAsia="宋体" w:cs="宋体"/>
                <w:color w:val="000000"/>
                <w:kern w:val="2"/>
                <w:sz w:val="24"/>
                <w:szCs w:val="24"/>
                <w:highlight w:val="none"/>
                <w:vertAlign w:val="baseline"/>
                <w:lang w:val="en-US" w:eastAsia="zh-CN"/>
              </w:rPr>
            </w:pPr>
          </w:p>
        </w:tc>
        <w:tc>
          <w:tcPr>
            <w:tcW w:w="15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leftChars="0" w:right="0" w:rightChars="0"/>
              <w:jc w:val="center"/>
              <w:textAlignment w:val="baseline"/>
              <w:rPr>
                <w:rFonts w:hint="eastAsia" w:ascii="宋体" w:hAnsi="宋体" w:eastAsia="宋体" w:cs="宋体"/>
                <w:color w:val="000000"/>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right="0"/>
              <w:jc w:val="center"/>
              <w:textAlignment w:val="baseline"/>
              <w:rPr>
                <w:rFonts w:hint="eastAsia" w:ascii="宋体" w:hAnsi="宋体" w:eastAsia="宋体" w:cs="宋体"/>
                <w:color w:val="000000"/>
                <w:kern w:val="2"/>
                <w:sz w:val="24"/>
                <w:szCs w:val="24"/>
                <w:highlight w:val="none"/>
                <w:vertAlign w:val="baseline"/>
                <w:lang w:val="en-US" w:eastAsia="zh-CN"/>
              </w:rPr>
            </w:pPr>
            <w:r>
              <w:rPr>
                <w:rFonts w:hint="eastAsia" w:ascii="宋体" w:hAnsi="宋体" w:eastAsia="宋体" w:cs="宋体"/>
                <w:color w:val="000000"/>
                <w:kern w:val="2"/>
                <w:sz w:val="24"/>
                <w:szCs w:val="24"/>
                <w:highlight w:val="none"/>
                <w:vertAlign w:val="baseline"/>
                <w:lang w:val="en-US" w:eastAsia="zh-CN"/>
              </w:rPr>
              <w:t>8</w:t>
            </w:r>
          </w:p>
        </w:tc>
        <w:tc>
          <w:tcPr>
            <w:tcW w:w="3109" w:type="dxa"/>
            <w:tcBorders>
              <w:top w:val="single" w:color="auto" w:sz="4" w:space="0"/>
              <w:left w:val="nil"/>
              <w:bottom w:val="single" w:color="auto" w:sz="4" w:space="0"/>
              <w:right w:val="single" w:color="auto" w:sz="4" w:space="0"/>
            </w:tcBorders>
            <w:shd w:val="clear" w:color="auto" w:fill="auto"/>
            <w:vAlign w:val="center"/>
          </w:tcPr>
          <w:p>
            <w:pPr>
              <w:pStyle w:val="21"/>
              <w:keepNext w:val="0"/>
              <w:keepLines w:val="0"/>
              <w:widowControl/>
              <w:suppressLineNumbers w:val="0"/>
              <w:spacing w:before="0" w:beforeLines="0" w:beforeAutospacing="0" w:after="0" w:afterLines="0" w:afterAutospacing="0" w:line="357" w:lineRule="atLeast"/>
              <w:ind w:left="-108" w:right="0"/>
              <w:jc w:val="center"/>
              <w:textAlignment w:val="baseline"/>
              <w:rPr>
                <w:rFonts w:hint="eastAsia" w:ascii="宋体" w:hAnsi="宋体" w:eastAsia="宋体" w:cs="宋体"/>
                <w:color w:val="000000"/>
                <w:kern w:val="0"/>
                <w:sz w:val="24"/>
                <w:szCs w:val="24"/>
                <w:highlight w:val="none"/>
                <w:vertAlign w:val="baseline"/>
              </w:rPr>
            </w:pPr>
            <w:r>
              <w:rPr>
                <w:rFonts w:hint="eastAsia" w:ascii="宋体" w:hAnsi="宋体" w:eastAsia="宋体" w:cs="宋体"/>
                <w:color w:val="000000"/>
                <w:kern w:val="0"/>
                <w:sz w:val="24"/>
                <w:szCs w:val="24"/>
                <w:highlight w:val="none"/>
                <w:vertAlign w:val="baseline"/>
                <w:lang w:val="en-US" w:eastAsia="zh-CN" w:bidi="ar"/>
              </w:rPr>
              <w:t>……</w:t>
            </w:r>
          </w:p>
        </w:tc>
        <w:tc>
          <w:tcPr>
            <w:tcW w:w="13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right="0"/>
              <w:jc w:val="center"/>
              <w:textAlignment w:val="baseline"/>
              <w:rPr>
                <w:rFonts w:hint="eastAsia" w:ascii="宋体" w:hAnsi="宋体" w:eastAsia="宋体" w:cs="宋体"/>
                <w:color w:val="000000"/>
                <w:kern w:val="2"/>
                <w:sz w:val="24"/>
                <w:szCs w:val="24"/>
                <w:highlight w:val="none"/>
                <w:vertAlign w:val="baseline"/>
              </w:rPr>
            </w:pPr>
          </w:p>
        </w:tc>
        <w:tc>
          <w:tcPr>
            <w:tcW w:w="1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right="0"/>
              <w:jc w:val="center"/>
              <w:textAlignment w:val="baseline"/>
              <w:rPr>
                <w:rFonts w:hint="eastAsia" w:ascii="宋体" w:hAnsi="宋体" w:eastAsia="宋体" w:cs="宋体"/>
                <w:color w:val="000000"/>
                <w:kern w:val="2"/>
                <w:sz w:val="24"/>
                <w:szCs w:val="24"/>
                <w:highlight w:val="none"/>
                <w:vertAlign w:val="baseline"/>
              </w:rPr>
            </w:pPr>
          </w:p>
        </w:tc>
        <w:tc>
          <w:tcPr>
            <w:tcW w:w="15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right="0"/>
              <w:jc w:val="center"/>
              <w:textAlignment w:val="baseline"/>
              <w:rPr>
                <w:rFonts w:hint="eastAsia" w:ascii="宋体" w:hAnsi="宋体" w:eastAsia="宋体" w:cs="宋体"/>
                <w:color w:val="000000"/>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right="0"/>
              <w:jc w:val="center"/>
              <w:textAlignment w:val="baseline"/>
              <w:rPr>
                <w:rFonts w:hint="eastAsia" w:ascii="宋体" w:hAnsi="宋体" w:eastAsia="宋体" w:cs="宋体"/>
                <w:color w:val="000000"/>
                <w:kern w:val="2"/>
                <w:sz w:val="24"/>
                <w:szCs w:val="24"/>
                <w:highlight w:val="none"/>
                <w:vertAlign w:val="baseline"/>
              </w:rPr>
            </w:pPr>
          </w:p>
        </w:tc>
        <w:tc>
          <w:tcPr>
            <w:tcW w:w="31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right="0"/>
              <w:jc w:val="center"/>
              <w:textAlignment w:val="baseline"/>
              <w:rPr>
                <w:rFonts w:hint="eastAsia" w:ascii="宋体" w:hAnsi="宋体" w:eastAsia="宋体" w:cs="宋体"/>
                <w:color w:val="000000"/>
                <w:kern w:val="2"/>
                <w:sz w:val="24"/>
                <w:szCs w:val="24"/>
                <w:highlight w:val="none"/>
                <w:vertAlign w:val="baseline"/>
              </w:rPr>
            </w:pPr>
            <w:r>
              <w:rPr>
                <w:rFonts w:hint="eastAsia" w:cs="宋体"/>
                <w:color w:val="000000"/>
                <w:kern w:val="0"/>
                <w:sz w:val="24"/>
                <w:szCs w:val="24"/>
                <w:u w:color="auto"/>
                <w:vertAlign w:val="baseline"/>
                <w:lang w:val="en-US" w:eastAsia="zh-CN" w:bidi="ar"/>
              </w:rPr>
              <w:t>税费</w:t>
            </w:r>
          </w:p>
        </w:tc>
        <w:tc>
          <w:tcPr>
            <w:tcW w:w="13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right="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2"/>
                <w:sz w:val="24"/>
                <w:szCs w:val="24"/>
                <w:highlight w:val="none"/>
                <w:vertAlign w:val="baseline"/>
                <w:lang w:val="en-US" w:eastAsia="zh-CN"/>
              </w:rPr>
              <w:t>1</w:t>
            </w:r>
          </w:p>
        </w:tc>
        <w:tc>
          <w:tcPr>
            <w:tcW w:w="1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right="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color w:val="000000"/>
                <w:kern w:val="2"/>
                <w:sz w:val="24"/>
                <w:szCs w:val="24"/>
                <w:highlight w:val="none"/>
                <w:vertAlign w:val="baseline"/>
                <w:lang w:val="en-US" w:eastAsia="zh-CN"/>
              </w:rPr>
              <w:t>6%</w:t>
            </w:r>
          </w:p>
        </w:tc>
        <w:tc>
          <w:tcPr>
            <w:tcW w:w="15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right="0"/>
              <w:jc w:val="center"/>
              <w:textAlignment w:val="baseline"/>
              <w:rPr>
                <w:rFonts w:hint="eastAsia" w:ascii="宋体" w:hAnsi="宋体" w:eastAsia="宋体" w:cs="宋体"/>
                <w:color w:val="000000"/>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right="0"/>
              <w:jc w:val="center"/>
              <w:textAlignment w:val="baseline"/>
              <w:rPr>
                <w:rFonts w:hint="eastAsia" w:ascii="宋体" w:hAnsi="宋体" w:eastAsia="宋体" w:cs="宋体"/>
                <w:color w:val="000000"/>
                <w:kern w:val="2"/>
                <w:sz w:val="24"/>
                <w:szCs w:val="24"/>
                <w:highlight w:val="none"/>
                <w:vertAlign w:val="baseline"/>
              </w:rPr>
            </w:pPr>
            <w:r>
              <w:rPr>
                <w:rFonts w:hint="eastAsia" w:ascii="宋体" w:hAnsi="宋体" w:eastAsia="宋体" w:cs="宋体"/>
                <w:b/>
                <w:bCs w:val="0"/>
                <w:color w:val="000000"/>
                <w:kern w:val="0"/>
                <w:sz w:val="24"/>
                <w:szCs w:val="24"/>
                <w:highlight w:val="none"/>
                <w:vertAlign w:val="baseline"/>
                <w:lang w:val="en-US" w:eastAsia="zh-CN" w:bidi="ar"/>
              </w:rPr>
              <w:t>合计金额（元）</w:t>
            </w:r>
          </w:p>
        </w:tc>
        <w:tc>
          <w:tcPr>
            <w:tcW w:w="15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line="357" w:lineRule="atLeast"/>
              <w:ind w:left="0" w:right="0"/>
              <w:jc w:val="center"/>
              <w:textAlignment w:val="baseline"/>
              <w:rPr>
                <w:rFonts w:hint="eastAsia" w:ascii="宋体" w:hAnsi="宋体" w:eastAsia="宋体" w:cs="宋体"/>
                <w:color w:val="000000"/>
                <w:kern w:val="2"/>
                <w:sz w:val="24"/>
                <w:szCs w:val="24"/>
                <w:highlight w:val="none"/>
                <w:vertAlign w:val="baseline"/>
              </w:rPr>
            </w:pPr>
          </w:p>
        </w:tc>
      </w:tr>
    </w:tbl>
    <w:p>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注：1、所有投标只能选择一种方案，单价和合价的报价只能是唯一，且须列出详细的分项报价。（如有缺项，否则视同包含在其他项目。）</w:t>
      </w:r>
    </w:p>
    <w:p>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2、报价包含但不限于完成采购内容及服务要求所需的全部费用、后期服务以及国家对成交单位征收的各种税费等所有一切费用，合同价今后将不作任何调整，招标人将不再支付任何费用。</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cs="宋体"/>
          <w:color w:val="000000"/>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000000"/>
          <w:sz w:val="24"/>
          <w:highlight w:val="none"/>
        </w:rPr>
      </w:pPr>
      <w:r>
        <w:rPr>
          <w:rFonts w:hint="eastAsia" w:ascii="宋体"/>
          <w:color w:val="000000"/>
          <w:sz w:val="24"/>
          <w:highlight w:val="none"/>
        </w:rPr>
        <w:t>投标人名称（盖单位章）：</w:t>
      </w:r>
      <w:r>
        <w:rPr>
          <w:rFonts w:hint="eastAsia" w:ascii="宋体"/>
          <w:color w:val="000000"/>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000000"/>
          <w:sz w:val="24"/>
          <w:highlight w:val="none"/>
        </w:rPr>
      </w:pPr>
      <w:r>
        <w:rPr>
          <w:rFonts w:hint="eastAsia" w:ascii="宋体"/>
          <w:color w:val="000000"/>
          <w:sz w:val="24"/>
          <w:highlight w:val="none"/>
        </w:rPr>
        <w:t>法定代表人 (</w:t>
      </w:r>
      <w:r>
        <w:rPr>
          <w:rFonts w:hint="eastAsia" w:ascii="宋体"/>
          <w:color w:val="000000"/>
          <w:sz w:val="24"/>
          <w:highlight w:val="none"/>
          <w:lang w:val="en-US" w:eastAsia="zh-CN"/>
        </w:rPr>
        <w:t>签字或盖章</w:t>
      </w:r>
      <w:r>
        <w:rPr>
          <w:rFonts w:hint="eastAsia" w:ascii="宋体"/>
          <w:color w:val="000000"/>
          <w:sz w:val="24"/>
          <w:highlight w:val="none"/>
        </w:rPr>
        <w:t>)：</w:t>
      </w:r>
      <w:r>
        <w:rPr>
          <w:rFonts w:hint="eastAsia" w:ascii="宋体"/>
          <w:color w:val="000000"/>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720"/>
        <w:jc w:val="center"/>
        <w:textAlignment w:val="auto"/>
        <w:rPr>
          <w:rFonts w:hint="eastAsia" w:ascii="宋体"/>
          <w:color w:val="000000"/>
          <w:sz w:val="24"/>
          <w:highlight w:val="none"/>
        </w:rPr>
      </w:pPr>
      <w:r>
        <w:rPr>
          <w:rFonts w:hint="eastAsia" w:ascii="宋体"/>
          <w:color w:val="000000"/>
          <w:sz w:val="24"/>
          <w:highlight w:val="none"/>
        </w:rPr>
        <w:t>日    期：</w:t>
      </w:r>
      <w:r>
        <w:rPr>
          <w:rFonts w:hint="eastAsia" w:ascii="宋体"/>
          <w:color w:val="000000"/>
          <w:sz w:val="24"/>
          <w:highlight w:val="none"/>
          <w:u w:val="single"/>
        </w:rPr>
        <w:t xml:space="preserve">        </w:t>
      </w:r>
      <w:r>
        <w:rPr>
          <w:rFonts w:hint="eastAsia" w:ascii="宋体"/>
          <w:color w:val="000000"/>
          <w:sz w:val="24"/>
          <w:highlight w:val="none"/>
        </w:rPr>
        <w:t>年</w:t>
      </w:r>
      <w:r>
        <w:rPr>
          <w:rFonts w:hint="eastAsia" w:ascii="宋体"/>
          <w:color w:val="000000"/>
          <w:sz w:val="24"/>
          <w:highlight w:val="none"/>
          <w:u w:val="single"/>
        </w:rPr>
        <w:t xml:space="preserve">      </w:t>
      </w:r>
      <w:r>
        <w:rPr>
          <w:rFonts w:hint="eastAsia" w:ascii="宋体"/>
          <w:color w:val="000000"/>
          <w:sz w:val="24"/>
          <w:highlight w:val="none"/>
        </w:rPr>
        <w:t>月</w:t>
      </w:r>
      <w:r>
        <w:rPr>
          <w:rFonts w:hint="eastAsia" w:ascii="宋体"/>
          <w:color w:val="000000"/>
          <w:sz w:val="24"/>
          <w:highlight w:val="none"/>
          <w:u w:val="single"/>
        </w:rPr>
        <w:t xml:space="preserve">      </w:t>
      </w:r>
      <w:r>
        <w:rPr>
          <w:rFonts w:hint="eastAsia" w:ascii="宋体"/>
          <w:color w:val="000000"/>
          <w:sz w:val="24"/>
          <w:highlight w:val="none"/>
        </w:rPr>
        <w:t>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b/>
          <w:bCs w:val="0"/>
          <w:color w:val="000000"/>
          <w:kern w:val="0"/>
          <w:sz w:val="36"/>
          <w:szCs w:val="36"/>
          <w:highlight w:val="none"/>
          <w:u w:color="000000"/>
          <w:lang w:val="en-US" w:eastAsia="zh-CN" w:bidi="ar"/>
        </w:rPr>
      </w:pPr>
      <w:r>
        <w:rPr>
          <w:rFonts w:hint="eastAsia" w:ascii="宋体" w:hAnsi="宋体" w:eastAsia="宋体" w:cs="宋体"/>
          <w:b/>
          <w:bCs w:val="0"/>
          <w:color w:val="000000"/>
          <w:kern w:val="0"/>
          <w:sz w:val="36"/>
          <w:szCs w:val="36"/>
          <w:highlight w:val="none"/>
          <w:u w:color="000000"/>
          <w:lang w:val="en-US" w:eastAsia="zh-CN" w:bidi="ar"/>
        </w:rPr>
        <w:br w:type="page"/>
      </w:r>
    </w:p>
    <w:p>
      <w:pPr>
        <w:pStyle w:val="21"/>
        <w:widowControl/>
        <w:spacing w:before="0" w:beforeAutospacing="0" w:after="0" w:afterAutospacing="0" w:line="375" w:lineRule="atLeast"/>
        <w:ind w:left="0" w:right="0"/>
        <w:jc w:val="center"/>
        <w:outlineLvl w:val="0"/>
        <w:rPr>
          <w:b/>
          <w:bCs w:val="0"/>
          <w:sz w:val="32"/>
          <w:szCs w:val="32"/>
          <w:highlight w:val="none"/>
          <w:lang w:val="en-US"/>
        </w:rPr>
      </w:pPr>
      <w:bookmarkStart w:id="70" w:name="_Toc6275_WPSOffice_Level1"/>
      <w:bookmarkEnd w:id="70"/>
      <w:bookmarkStart w:id="71" w:name="_Toc16405"/>
      <w:r>
        <w:rPr>
          <w:b/>
          <w:bCs w:val="0"/>
          <w:sz w:val="32"/>
          <w:szCs w:val="32"/>
          <w:highlight w:val="none"/>
          <w:lang w:eastAsia="zh-CN"/>
        </w:rPr>
        <w:t>第</w:t>
      </w:r>
      <w:r>
        <w:rPr>
          <w:rFonts w:hint="eastAsia"/>
          <w:b/>
          <w:bCs w:val="0"/>
          <w:sz w:val="32"/>
          <w:szCs w:val="32"/>
          <w:highlight w:val="none"/>
          <w:lang w:val="en-US" w:eastAsia="zh-CN"/>
        </w:rPr>
        <w:t>七</w:t>
      </w:r>
      <w:r>
        <w:rPr>
          <w:b/>
          <w:bCs w:val="0"/>
          <w:sz w:val="32"/>
          <w:szCs w:val="32"/>
          <w:highlight w:val="none"/>
          <w:lang w:eastAsia="zh-CN"/>
        </w:rPr>
        <w:t>章</w:t>
      </w:r>
      <w:r>
        <w:rPr>
          <w:b/>
          <w:bCs w:val="0"/>
          <w:sz w:val="32"/>
          <w:szCs w:val="32"/>
          <w:highlight w:val="none"/>
          <w:lang w:val="en-US"/>
        </w:rPr>
        <w:t xml:space="preserve">  </w:t>
      </w:r>
      <w:r>
        <w:rPr>
          <w:b/>
          <w:bCs w:val="0"/>
          <w:sz w:val="32"/>
          <w:szCs w:val="32"/>
          <w:highlight w:val="none"/>
          <w:lang w:eastAsia="zh-CN"/>
        </w:rPr>
        <w:t>招标人、招标代理机构对本招标文件的确认</w:t>
      </w:r>
      <w:bookmarkEnd w:id="71"/>
    </w:p>
    <w:tbl>
      <w:tblPr>
        <w:tblStyle w:val="24"/>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加工厂区智能排队管理系统采购项目</w:t>
            </w:r>
            <w:r>
              <w:rPr>
                <w:rFonts w:hint="eastAsia" w:ascii="宋体" w:hAnsi="宋体" w:eastAsia="宋体" w:cs="宋体"/>
                <w:color w:val="000000"/>
                <w:kern w:val="2"/>
                <w:sz w:val="28"/>
                <w:szCs w:val="28"/>
                <w:highlight w:val="none"/>
                <w:u w:color="000000"/>
                <w:lang w:val="en-US" w:eastAsia="zh-CN" w:bidi="ar"/>
              </w:rPr>
              <w:t>招标文件进行确认。</w:t>
            </w:r>
          </w:p>
          <w:p>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招标人：滁州市兴全矿业投资有限公司 </w:t>
            </w:r>
          </w:p>
          <w:p>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联系人：钱陆阳</w:t>
            </w:r>
          </w:p>
          <w:p>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联系电话：0550-5180230</w:t>
            </w:r>
          </w:p>
          <w:p>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2024年4月</w:t>
            </w:r>
          </w:p>
          <w:p>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招标代理机构：滁州市城投工程咨询管理有限公司</w:t>
            </w:r>
          </w:p>
          <w:p>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经办人：胡国庆</w:t>
            </w:r>
          </w:p>
          <w:p>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电话：0550-3519517、18005500950</w:t>
            </w:r>
          </w:p>
          <w:p>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pPr>
              <w:pStyle w:val="23"/>
              <w:widowControl/>
              <w:spacing w:before="0" w:beforeAutospacing="0" w:after="120" w:afterAutospacing="0"/>
              <w:ind w:leftChars="200" w:right="0" w:firstLine="560"/>
              <w:rPr>
                <w:kern w:val="2"/>
                <w:sz w:val="28"/>
                <w:szCs w:val="28"/>
                <w:highlight w:val="none"/>
                <w:lang w:val="en-US"/>
              </w:rPr>
            </w:pP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2024年4月</w:t>
            </w:r>
          </w:p>
        </w:tc>
      </w:tr>
    </w:tbl>
    <w:p>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00000" w:csb1="00000000"/>
  </w:font>
  <w:font w:name="宋体-18030">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3468D"/>
    <w:multiLevelType w:val="singleLevel"/>
    <w:tmpl w:val="F2A3468D"/>
    <w:lvl w:ilvl="0" w:tentative="0">
      <w:start w:val="19"/>
      <w:numFmt w:val="decimal"/>
      <w:suff w:val="space"/>
      <w:lvlText w:val="%1."/>
      <w:lvlJc w:val="left"/>
    </w:lvl>
  </w:abstractNum>
  <w:abstractNum w:abstractNumId="1">
    <w:nsid w:val="181D5CA9"/>
    <w:multiLevelType w:val="singleLevel"/>
    <w:tmpl w:val="181D5CA9"/>
    <w:lvl w:ilvl="0" w:tentative="0">
      <w:start w:val="35"/>
      <w:numFmt w:val="decimal"/>
      <w:lvlText w:val="%1."/>
      <w:lvlJc w:val="left"/>
      <w:pPr>
        <w:tabs>
          <w:tab w:val="left" w:pos="312"/>
        </w:tabs>
      </w:pPr>
    </w:lvl>
  </w:abstractNum>
  <w:abstractNum w:abstractNumId="2">
    <w:nsid w:val="2C0E891D"/>
    <w:multiLevelType w:val="multilevel"/>
    <w:tmpl w:val="2C0E891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02EDD58"/>
    <w:multiLevelType w:val="singleLevel"/>
    <w:tmpl w:val="602EDD58"/>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440F4D94"/>
    <w:rsid w:val="002B36ED"/>
    <w:rsid w:val="00473031"/>
    <w:rsid w:val="008A09EF"/>
    <w:rsid w:val="00F0299F"/>
    <w:rsid w:val="019D55FE"/>
    <w:rsid w:val="01D118B5"/>
    <w:rsid w:val="01E872A1"/>
    <w:rsid w:val="02FD35A2"/>
    <w:rsid w:val="032031D0"/>
    <w:rsid w:val="0332754E"/>
    <w:rsid w:val="046E3FA0"/>
    <w:rsid w:val="06055520"/>
    <w:rsid w:val="06905732"/>
    <w:rsid w:val="06C44F10"/>
    <w:rsid w:val="06D54ED0"/>
    <w:rsid w:val="076444C8"/>
    <w:rsid w:val="07C425FF"/>
    <w:rsid w:val="088376DE"/>
    <w:rsid w:val="08DB64EA"/>
    <w:rsid w:val="0AAE43D8"/>
    <w:rsid w:val="0AFF501E"/>
    <w:rsid w:val="0B81389B"/>
    <w:rsid w:val="0C915D60"/>
    <w:rsid w:val="0CEF01A1"/>
    <w:rsid w:val="0D4228C9"/>
    <w:rsid w:val="0E085577"/>
    <w:rsid w:val="0E5B4877"/>
    <w:rsid w:val="0EBB3464"/>
    <w:rsid w:val="0F5A3543"/>
    <w:rsid w:val="101C4945"/>
    <w:rsid w:val="11273F56"/>
    <w:rsid w:val="12431559"/>
    <w:rsid w:val="137C144C"/>
    <w:rsid w:val="14334ED5"/>
    <w:rsid w:val="14B051F1"/>
    <w:rsid w:val="162403C8"/>
    <w:rsid w:val="166E7112"/>
    <w:rsid w:val="172929A9"/>
    <w:rsid w:val="179D1EA6"/>
    <w:rsid w:val="19843555"/>
    <w:rsid w:val="19D92AF4"/>
    <w:rsid w:val="19F57DAA"/>
    <w:rsid w:val="1A2C0203"/>
    <w:rsid w:val="1B0B6A26"/>
    <w:rsid w:val="1B267FBB"/>
    <w:rsid w:val="1D4B52FD"/>
    <w:rsid w:val="1DD7722D"/>
    <w:rsid w:val="1E474369"/>
    <w:rsid w:val="1EB853CE"/>
    <w:rsid w:val="1FA67641"/>
    <w:rsid w:val="1FBE5586"/>
    <w:rsid w:val="1FC55C88"/>
    <w:rsid w:val="200308CB"/>
    <w:rsid w:val="2035457B"/>
    <w:rsid w:val="204506D8"/>
    <w:rsid w:val="205D447F"/>
    <w:rsid w:val="20607D86"/>
    <w:rsid w:val="20F63292"/>
    <w:rsid w:val="210B3EDB"/>
    <w:rsid w:val="21391D2B"/>
    <w:rsid w:val="21FC6157"/>
    <w:rsid w:val="222D5B93"/>
    <w:rsid w:val="22A4217C"/>
    <w:rsid w:val="234B7E6D"/>
    <w:rsid w:val="24727DCD"/>
    <w:rsid w:val="254C4AC2"/>
    <w:rsid w:val="256D30BB"/>
    <w:rsid w:val="25AE12D9"/>
    <w:rsid w:val="27427F5F"/>
    <w:rsid w:val="281318C7"/>
    <w:rsid w:val="287E4991"/>
    <w:rsid w:val="2B193983"/>
    <w:rsid w:val="2B886128"/>
    <w:rsid w:val="2C00227D"/>
    <w:rsid w:val="2C254BFC"/>
    <w:rsid w:val="2C6E531E"/>
    <w:rsid w:val="2C9912A6"/>
    <w:rsid w:val="2D077DA1"/>
    <w:rsid w:val="2D5B3AF4"/>
    <w:rsid w:val="2DC31699"/>
    <w:rsid w:val="2DDA6B1D"/>
    <w:rsid w:val="2EB3170E"/>
    <w:rsid w:val="2F6D7B0F"/>
    <w:rsid w:val="31EC7411"/>
    <w:rsid w:val="32013042"/>
    <w:rsid w:val="32690A61"/>
    <w:rsid w:val="32891103"/>
    <w:rsid w:val="328E3BC4"/>
    <w:rsid w:val="33052EC4"/>
    <w:rsid w:val="33581A56"/>
    <w:rsid w:val="33EC005D"/>
    <w:rsid w:val="348F22D5"/>
    <w:rsid w:val="382A2A41"/>
    <w:rsid w:val="38FF3ECD"/>
    <w:rsid w:val="39B60304"/>
    <w:rsid w:val="3ADE7B13"/>
    <w:rsid w:val="3C6271B7"/>
    <w:rsid w:val="3D5B1087"/>
    <w:rsid w:val="3D7F110E"/>
    <w:rsid w:val="3D8B68BD"/>
    <w:rsid w:val="3DE10046"/>
    <w:rsid w:val="3E374EBA"/>
    <w:rsid w:val="3F011C8B"/>
    <w:rsid w:val="3F1D075D"/>
    <w:rsid w:val="3FD55988"/>
    <w:rsid w:val="3FDC1609"/>
    <w:rsid w:val="404504C3"/>
    <w:rsid w:val="40585B1F"/>
    <w:rsid w:val="41C76417"/>
    <w:rsid w:val="421B164C"/>
    <w:rsid w:val="42AB7679"/>
    <w:rsid w:val="42DE4D44"/>
    <w:rsid w:val="42F933B2"/>
    <w:rsid w:val="43833D5F"/>
    <w:rsid w:val="440F4D94"/>
    <w:rsid w:val="44121234"/>
    <w:rsid w:val="442073EE"/>
    <w:rsid w:val="45132EF4"/>
    <w:rsid w:val="45602117"/>
    <w:rsid w:val="46456DE8"/>
    <w:rsid w:val="46501639"/>
    <w:rsid w:val="46A24EED"/>
    <w:rsid w:val="474318BA"/>
    <w:rsid w:val="47431AC0"/>
    <w:rsid w:val="47DC16A5"/>
    <w:rsid w:val="484916ED"/>
    <w:rsid w:val="491938C4"/>
    <w:rsid w:val="494F2B25"/>
    <w:rsid w:val="49560276"/>
    <w:rsid w:val="4A6873F9"/>
    <w:rsid w:val="4B8A2C90"/>
    <w:rsid w:val="4C2E66A9"/>
    <w:rsid w:val="4C3857CB"/>
    <w:rsid w:val="4D177F39"/>
    <w:rsid w:val="4D3334E8"/>
    <w:rsid w:val="4D6644FB"/>
    <w:rsid w:val="4E0F6509"/>
    <w:rsid w:val="4F0A10D5"/>
    <w:rsid w:val="4F10048D"/>
    <w:rsid w:val="4F4164C3"/>
    <w:rsid w:val="4F522371"/>
    <w:rsid w:val="4FA1515E"/>
    <w:rsid w:val="4FF260E2"/>
    <w:rsid w:val="510E11AC"/>
    <w:rsid w:val="51361FFF"/>
    <w:rsid w:val="547068C1"/>
    <w:rsid w:val="549A0AF6"/>
    <w:rsid w:val="54DA0EF3"/>
    <w:rsid w:val="55144C39"/>
    <w:rsid w:val="5523352E"/>
    <w:rsid w:val="55666241"/>
    <w:rsid w:val="55B87486"/>
    <w:rsid w:val="57C945D3"/>
    <w:rsid w:val="57D3727A"/>
    <w:rsid w:val="591F15CA"/>
    <w:rsid w:val="5AA004E9"/>
    <w:rsid w:val="5AB972A9"/>
    <w:rsid w:val="5AC41FE9"/>
    <w:rsid w:val="5B500161"/>
    <w:rsid w:val="5BBA2257"/>
    <w:rsid w:val="5C6A5252"/>
    <w:rsid w:val="5CA729BF"/>
    <w:rsid w:val="5CF1327E"/>
    <w:rsid w:val="5D2B5019"/>
    <w:rsid w:val="5D7002D3"/>
    <w:rsid w:val="5E59732C"/>
    <w:rsid w:val="5EB54EC1"/>
    <w:rsid w:val="5EC46E9C"/>
    <w:rsid w:val="5EDA66BF"/>
    <w:rsid w:val="5F950838"/>
    <w:rsid w:val="60234D43"/>
    <w:rsid w:val="604D11B9"/>
    <w:rsid w:val="60850EA0"/>
    <w:rsid w:val="609300C1"/>
    <w:rsid w:val="61772657"/>
    <w:rsid w:val="62C47C43"/>
    <w:rsid w:val="644C232B"/>
    <w:rsid w:val="6509245E"/>
    <w:rsid w:val="65A6554D"/>
    <w:rsid w:val="66201ED0"/>
    <w:rsid w:val="668A652A"/>
    <w:rsid w:val="674F751F"/>
    <w:rsid w:val="67B13D35"/>
    <w:rsid w:val="68513560"/>
    <w:rsid w:val="68804BBE"/>
    <w:rsid w:val="68C76BF4"/>
    <w:rsid w:val="6A042CBD"/>
    <w:rsid w:val="6B472CBA"/>
    <w:rsid w:val="6C592A82"/>
    <w:rsid w:val="6D013069"/>
    <w:rsid w:val="6DD93FE6"/>
    <w:rsid w:val="6E0E3D26"/>
    <w:rsid w:val="6E697118"/>
    <w:rsid w:val="6E803330"/>
    <w:rsid w:val="6EA934B6"/>
    <w:rsid w:val="706E041E"/>
    <w:rsid w:val="70FC4273"/>
    <w:rsid w:val="71E125AB"/>
    <w:rsid w:val="722F68CA"/>
    <w:rsid w:val="7254168E"/>
    <w:rsid w:val="727375BA"/>
    <w:rsid w:val="72A03324"/>
    <w:rsid w:val="73C82B32"/>
    <w:rsid w:val="74534AF2"/>
    <w:rsid w:val="746C0AE0"/>
    <w:rsid w:val="75843174"/>
    <w:rsid w:val="760F0C92"/>
    <w:rsid w:val="76B7003F"/>
    <w:rsid w:val="77025C02"/>
    <w:rsid w:val="78163A14"/>
    <w:rsid w:val="79757E4E"/>
    <w:rsid w:val="797A01B0"/>
    <w:rsid w:val="79AF5E4F"/>
    <w:rsid w:val="79C93160"/>
    <w:rsid w:val="7A2A6204"/>
    <w:rsid w:val="7AF5326F"/>
    <w:rsid w:val="7CCA791B"/>
    <w:rsid w:val="7CF20B1E"/>
    <w:rsid w:val="7D256A57"/>
    <w:rsid w:val="7E861620"/>
    <w:rsid w:val="7E8D57A7"/>
    <w:rsid w:val="7FE9206A"/>
    <w:rsid w:val="7FFE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1"/>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35"/>
    <w:autoRedefine/>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5">
    <w:name w:val="heading 3"/>
    <w:basedOn w:val="1"/>
    <w:next w:val="1"/>
    <w:autoRedefine/>
    <w:qFormat/>
    <w:uiPriority w:val="0"/>
    <w:pPr>
      <w:keepNext/>
      <w:keepLines/>
      <w:outlineLvl w:val="2"/>
    </w:pPr>
    <w:rPr>
      <w:kern w:val="0"/>
      <w:sz w:val="28"/>
      <w:szCs w:val="20"/>
    </w:rPr>
  </w:style>
  <w:style w:type="character" w:default="1" w:styleId="26">
    <w:name w:val="Default Paragraph Font"/>
    <w:autoRedefine/>
    <w:semiHidden/>
    <w:qFormat/>
    <w:uiPriority w:val="0"/>
  </w:style>
  <w:style w:type="table" w:default="1" w:styleId="24">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lock Text"/>
    <w:basedOn w:val="1"/>
    <w:next w:val="3"/>
    <w:autoRedefine/>
    <w:unhideWhenUsed/>
    <w:qFormat/>
    <w:uiPriority w:val="0"/>
    <w:pPr>
      <w:spacing w:after="120"/>
      <w:ind w:left="1440" w:leftChars="700" w:right="1440" w:rightChars="700"/>
    </w:pPr>
  </w:style>
  <w:style w:type="paragraph" w:styleId="3">
    <w:name w:val="Body Text"/>
    <w:basedOn w:val="1"/>
    <w:autoRedefine/>
    <w:qFormat/>
    <w:uiPriority w:val="0"/>
    <w:pPr>
      <w:widowControl w:val="0"/>
      <w:snapToGrid w:val="0"/>
      <w:spacing w:line="360" w:lineRule="auto"/>
    </w:pPr>
    <w:rPr>
      <w:rFonts w:ascii="Arial" w:hAnsi="Arial" w:eastAsia="仿宋_GB2312"/>
      <w:sz w:val="31"/>
    </w:rPr>
  </w:style>
  <w:style w:type="paragraph" w:styleId="6">
    <w:name w:val="toc 7"/>
    <w:basedOn w:val="1"/>
    <w:next w:val="1"/>
    <w:autoRedefine/>
    <w:qFormat/>
    <w:uiPriority w:val="39"/>
    <w:pPr>
      <w:ind w:left="1260"/>
      <w:jc w:val="left"/>
    </w:pPr>
    <w:rPr>
      <w:sz w:val="18"/>
      <w:szCs w:val="18"/>
    </w:rPr>
  </w:style>
  <w:style w:type="paragraph" w:styleId="7">
    <w:name w:val="Normal Indent"/>
    <w:basedOn w:val="1"/>
    <w:autoRedefine/>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8">
    <w:name w:val="annotation text"/>
    <w:basedOn w:val="1"/>
    <w:autoRedefine/>
    <w:qFormat/>
    <w:uiPriority w:val="0"/>
    <w:pPr>
      <w:jc w:val="left"/>
    </w:pPr>
  </w:style>
  <w:style w:type="paragraph" w:styleId="9">
    <w:name w:val="Body Text 3"/>
    <w:basedOn w:val="1"/>
    <w:autoRedefine/>
    <w:qFormat/>
    <w:uiPriority w:val="0"/>
    <w:rPr>
      <w:rFonts w:ascii="宋体" w:hAnsi="Calibri" w:eastAsia="宋体" w:cs="Times New Roman"/>
      <w:sz w:val="24"/>
      <w:szCs w:val="20"/>
    </w:rPr>
  </w:style>
  <w:style w:type="paragraph" w:styleId="10">
    <w:name w:val="Body Text Indent"/>
    <w:basedOn w:val="1"/>
    <w:next w:val="11"/>
    <w:link w:val="32"/>
    <w:autoRedefine/>
    <w:qFormat/>
    <w:uiPriority w:val="0"/>
    <w:pPr>
      <w:spacing w:after="120" w:afterLines="0" w:afterAutospacing="0"/>
      <w:ind w:left="420" w:leftChars="200"/>
    </w:pPr>
  </w:style>
  <w:style w:type="paragraph" w:styleId="11">
    <w:name w:val="envelope return"/>
    <w:basedOn w:val="1"/>
    <w:next w:val="6"/>
    <w:autoRedefine/>
    <w:qFormat/>
    <w:uiPriority w:val="0"/>
    <w:pPr>
      <w:snapToGrid w:val="0"/>
    </w:pPr>
    <w:rPr>
      <w:rFonts w:ascii="Arial" w:hAnsi="Arial"/>
    </w:rPr>
  </w:style>
  <w:style w:type="paragraph" w:styleId="12">
    <w:name w:val="toc 3"/>
    <w:basedOn w:val="1"/>
    <w:next w:val="1"/>
    <w:autoRedefine/>
    <w:qFormat/>
    <w:uiPriority w:val="39"/>
    <w:pPr>
      <w:jc w:val="left"/>
    </w:pPr>
    <w:rPr>
      <w:rFonts w:ascii="Calibri" w:hAnsi="Calibri"/>
      <w:smallCaps/>
      <w:sz w:val="22"/>
      <w:szCs w:val="22"/>
    </w:rPr>
  </w:style>
  <w:style w:type="paragraph" w:styleId="13">
    <w:name w:val="Plain Text"/>
    <w:basedOn w:val="1"/>
    <w:next w:val="1"/>
    <w:link w:val="37"/>
    <w:autoRedefine/>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4">
    <w:name w:val="Date"/>
    <w:basedOn w:val="1"/>
    <w:next w:val="1"/>
    <w:link w:val="34"/>
    <w:autoRedefine/>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5">
    <w:name w:val="footer"/>
    <w:basedOn w:val="1"/>
    <w:link w:val="38"/>
    <w:autoRedefine/>
    <w:qFormat/>
    <w:uiPriority w:val="0"/>
    <w:pPr>
      <w:tabs>
        <w:tab w:val="center" w:pos="4153"/>
        <w:tab w:val="right" w:pos="8306"/>
      </w:tabs>
      <w:snapToGrid w:val="0"/>
      <w:jc w:val="left"/>
    </w:pPr>
    <w:rPr>
      <w:sz w:val="18"/>
    </w:rPr>
  </w:style>
  <w:style w:type="paragraph" w:styleId="16">
    <w:name w:val="header"/>
    <w:basedOn w:val="1"/>
    <w:link w:val="3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39"/>
    <w:pPr>
      <w:spacing w:before="120" w:after="120"/>
      <w:jc w:val="left"/>
    </w:pPr>
    <w:rPr>
      <w:b/>
      <w:bCs/>
      <w:caps/>
      <w:sz w:val="20"/>
    </w:rPr>
  </w:style>
  <w:style w:type="paragraph" w:styleId="18">
    <w:name w:val="List"/>
    <w:basedOn w:val="1"/>
    <w:autoRedefine/>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19">
    <w:name w:val="footnote text"/>
    <w:basedOn w:val="1"/>
    <w:autoRedefine/>
    <w:semiHidden/>
    <w:unhideWhenUsed/>
    <w:qFormat/>
    <w:uiPriority w:val="99"/>
    <w:pPr>
      <w:snapToGrid w:val="0"/>
      <w:jc w:val="left"/>
    </w:pPr>
    <w:rPr>
      <w:sz w:val="18"/>
    </w:rPr>
  </w:style>
  <w:style w:type="paragraph" w:styleId="20">
    <w:name w:val="Body Text 2"/>
    <w:basedOn w:val="1"/>
    <w:autoRedefine/>
    <w:qFormat/>
    <w:uiPriority w:val="0"/>
    <w:rPr>
      <w:kern w:val="0"/>
      <w:sz w:val="24"/>
    </w:rPr>
  </w:style>
  <w:style w:type="paragraph" w:styleId="21">
    <w:name w:val="Normal (Web)"/>
    <w:basedOn w:val="1"/>
    <w:autoRedefine/>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2">
    <w:name w:val="Body Text First Indent"/>
    <w:basedOn w:val="3"/>
    <w:autoRedefine/>
    <w:qFormat/>
    <w:uiPriority w:val="0"/>
    <w:pPr>
      <w:adjustRightInd/>
      <w:spacing w:after="120" w:line="240" w:lineRule="auto"/>
      <w:ind w:firstLine="420" w:firstLineChars="100"/>
      <w:jc w:val="both"/>
    </w:pPr>
  </w:style>
  <w:style w:type="paragraph" w:styleId="23">
    <w:name w:val="Body Text First Indent 2"/>
    <w:basedOn w:val="10"/>
    <w:next w:val="1"/>
    <w:link w:val="33"/>
    <w:autoRedefine/>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autoRedefine/>
    <w:qFormat/>
    <w:uiPriority w:val="99"/>
    <w:rPr>
      <w:color w:val="0000FF"/>
      <w:u w:val="single"/>
    </w:rPr>
  </w:style>
  <w:style w:type="character" w:styleId="28">
    <w:name w:val="footnote reference"/>
    <w:basedOn w:val="26"/>
    <w:autoRedefine/>
    <w:semiHidden/>
    <w:unhideWhenUsed/>
    <w:qFormat/>
    <w:uiPriority w:val="99"/>
    <w:rPr>
      <w:vertAlign w:val="superscript"/>
    </w:rPr>
  </w:style>
  <w:style w:type="paragraph" w:customStyle="1" w:styleId="29">
    <w:name w:val="表格文字"/>
    <w:basedOn w:val="1"/>
    <w:autoRedefine/>
    <w:qFormat/>
    <w:uiPriority w:val="0"/>
    <w:pPr>
      <w:adjustRightInd w:val="0"/>
      <w:spacing w:line="420" w:lineRule="atLeast"/>
      <w:jc w:val="left"/>
      <w:textAlignment w:val="baseline"/>
    </w:pPr>
    <w:rPr>
      <w:kern w:val="0"/>
      <w:szCs w:val="20"/>
    </w:rPr>
  </w:style>
  <w:style w:type="paragraph" w:customStyle="1" w:styleId="30">
    <w:name w:val="Default"/>
    <w:autoRedefine/>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31">
    <w:name w:val="正文文字 8"/>
    <w:basedOn w:val="1"/>
    <w:next w:val="1"/>
    <w:autoRedefine/>
    <w:qFormat/>
    <w:uiPriority w:val="0"/>
    <w:pPr>
      <w:ind w:left="240"/>
    </w:pPr>
    <w:rPr>
      <w:sz w:val="16"/>
    </w:rPr>
  </w:style>
  <w:style w:type="character" w:customStyle="1" w:styleId="32">
    <w:name w:val="正文文本缩进 Char"/>
    <w:basedOn w:val="26"/>
    <w:link w:val="10"/>
    <w:autoRedefine/>
    <w:qFormat/>
    <w:uiPriority w:val="0"/>
    <w:rPr>
      <w:rFonts w:hint="default" w:ascii="Times New Roman" w:hAnsi="Times New Roman" w:eastAsia="宋体" w:cs="Times New Roman"/>
      <w:color w:val="000000"/>
      <w:kern w:val="0"/>
      <w:szCs w:val="21"/>
      <w:u w:color="000000"/>
    </w:rPr>
  </w:style>
  <w:style w:type="character" w:customStyle="1" w:styleId="33">
    <w:name w:val="正文首行缩进 2 Char"/>
    <w:basedOn w:val="32"/>
    <w:link w:val="23"/>
    <w:autoRedefine/>
    <w:qFormat/>
    <w:uiPriority w:val="0"/>
    <w:rPr>
      <w:rFonts w:hint="default" w:ascii="Times New Roman" w:hAnsi="Times New Roman" w:eastAsia="宋体" w:cs="Times New Roman"/>
      <w:color w:val="000000"/>
      <w:kern w:val="0"/>
      <w:szCs w:val="21"/>
      <w:u w:color="000000"/>
    </w:rPr>
  </w:style>
  <w:style w:type="character" w:customStyle="1" w:styleId="34">
    <w:name w:val="日期 Char"/>
    <w:basedOn w:val="26"/>
    <w:link w:val="14"/>
    <w:autoRedefine/>
    <w:qFormat/>
    <w:uiPriority w:val="0"/>
    <w:rPr>
      <w:rFonts w:ascii="Arial" w:hAnsi="Arial" w:eastAsia="仿宋_GB2312" w:cs="Arial"/>
      <w:color w:val="000000"/>
      <w:sz w:val="32"/>
      <w:szCs w:val="32"/>
      <w:u w:color="000000"/>
    </w:rPr>
  </w:style>
  <w:style w:type="character" w:customStyle="1" w:styleId="35">
    <w:name w:val="标题 2 Char"/>
    <w:basedOn w:val="26"/>
    <w:link w:val="4"/>
    <w:autoRedefine/>
    <w:qFormat/>
    <w:uiPriority w:val="0"/>
    <w:rPr>
      <w:rFonts w:hint="default" w:ascii="Times New Roman" w:hAnsi="Times New Roman" w:eastAsia="宋体" w:cs="Times New Roman"/>
      <w:kern w:val="0"/>
      <w:sz w:val="24"/>
      <w:szCs w:val="24"/>
    </w:rPr>
  </w:style>
  <w:style w:type="character" w:customStyle="1" w:styleId="36">
    <w:name w:val="页眉 Char"/>
    <w:basedOn w:val="26"/>
    <w:link w:val="16"/>
    <w:autoRedefine/>
    <w:qFormat/>
    <w:uiPriority w:val="0"/>
    <w:rPr>
      <w:rFonts w:hint="default" w:ascii="Times New Roman" w:hAnsi="Times New Roman" w:eastAsia="宋体" w:cs="Times New Roman"/>
      <w:color w:val="000000"/>
      <w:kern w:val="0"/>
      <w:sz w:val="18"/>
      <w:szCs w:val="18"/>
      <w:u w:color="000000"/>
    </w:rPr>
  </w:style>
  <w:style w:type="character" w:customStyle="1" w:styleId="37">
    <w:name w:val="纯文本 Char"/>
    <w:basedOn w:val="26"/>
    <w:link w:val="13"/>
    <w:autoRedefine/>
    <w:qFormat/>
    <w:uiPriority w:val="0"/>
    <w:rPr>
      <w:rFonts w:hint="eastAsia" w:ascii="宋体" w:hAnsi="宋体" w:eastAsia="宋体" w:cs="宋体"/>
      <w:szCs w:val="21"/>
    </w:rPr>
  </w:style>
  <w:style w:type="character" w:customStyle="1" w:styleId="38">
    <w:name w:val="页脚 Char"/>
    <w:basedOn w:val="26"/>
    <w:link w:val="15"/>
    <w:autoRedefine/>
    <w:qFormat/>
    <w:uiPriority w:val="0"/>
    <w:rPr>
      <w:rFonts w:hint="default" w:ascii="Times New Roman" w:hAnsi="Times New Roman" w:eastAsia="宋体" w:cs="Times New Roman"/>
      <w:color w:val="000000"/>
      <w:kern w:val="0"/>
      <w:sz w:val="18"/>
      <w:szCs w:val="18"/>
      <w:u w:color="000000"/>
    </w:rPr>
  </w:style>
  <w:style w:type="paragraph" w:customStyle="1" w:styleId="39">
    <w:name w:val="节标题"/>
    <w:basedOn w:val="1"/>
    <w:next w:val="1"/>
    <w:autoRedefine/>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40">
    <w:name w:val="List Paragraph"/>
    <w:basedOn w:val="1"/>
    <w:autoRedefine/>
    <w:qFormat/>
    <w:uiPriority w:val="0"/>
    <w:pPr>
      <w:widowControl w:val="0"/>
      <w:spacing w:line="240" w:lineRule="auto"/>
      <w:ind w:firstLine="200" w:firstLineChars="200"/>
      <w:textAlignment w:val="auto"/>
    </w:pPr>
    <w:rPr>
      <w:u w:val="none" w:color="000000"/>
    </w:rPr>
  </w:style>
  <w:style w:type="character" w:customStyle="1" w:styleId="41">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42">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43">
    <w:name w:val="font51"/>
    <w:basedOn w:val="26"/>
    <w:autoRedefine/>
    <w:qFormat/>
    <w:uiPriority w:val="0"/>
    <w:rPr>
      <w:rFonts w:hint="eastAsia" w:ascii="宋体" w:hAnsi="宋体" w:eastAsia="宋体" w:cs="宋体"/>
      <w:color w:val="000000"/>
      <w:sz w:val="22"/>
      <w:szCs w:val="22"/>
      <w:u w:val="none"/>
    </w:rPr>
  </w:style>
  <w:style w:type="character" w:customStyle="1" w:styleId="44">
    <w:name w:val="font31"/>
    <w:basedOn w:val="26"/>
    <w:autoRedefine/>
    <w:qFormat/>
    <w:uiPriority w:val="0"/>
    <w:rPr>
      <w:rFonts w:hint="default" w:ascii="Times New Roman" w:hAnsi="Times New Roman" w:cs="Times New Roman"/>
      <w:color w:val="000000"/>
      <w:sz w:val="22"/>
      <w:szCs w:val="22"/>
      <w:u w:val="none"/>
    </w:rPr>
  </w:style>
  <w:style w:type="character" w:customStyle="1" w:styleId="45">
    <w:name w:val="font61"/>
    <w:basedOn w:val="26"/>
    <w:autoRedefine/>
    <w:qFormat/>
    <w:uiPriority w:val="0"/>
    <w:rPr>
      <w:rFonts w:hint="default" w:ascii="Times New Roman" w:hAnsi="Times New Roman" w:cs="Times New Roman"/>
      <w:color w:val="000000"/>
      <w:sz w:val="21"/>
      <w:szCs w:val="21"/>
      <w:u w:val="none"/>
    </w:rPr>
  </w:style>
  <w:style w:type="character" w:customStyle="1" w:styleId="46">
    <w:name w:val="font71"/>
    <w:basedOn w:val="26"/>
    <w:autoRedefine/>
    <w:qFormat/>
    <w:uiPriority w:val="0"/>
    <w:rPr>
      <w:rFonts w:hint="eastAsia" w:ascii="宋体" w:hAnsi="宋体" w:eastAsia="宋体" w:cs="宋体"/>
      <w:color w:val="000000"/>
      <w:sz w:val="21"/>
      <w:szCs w:val="21"/>
      <w:u w:val="none"/>
    </w:rPr>
  </w:style>
  <w:style w:type="character" w:customStyle="1" w:styleId="47">
    <w:name w:val="font01"/>
    <w:basedOn w:val="26"/>
    <w:autoRedefine/>
    <w:qFormat/>
    <w:uiPriority w:val="0"/>
    <w:rPr>
      <w:rFonts w:hint="eastAsia" w:ascii="宋体" w:hAnsi="宋体" w:eastAsia="宋体" w:cs="宋体"/>
      <w:color w:val="000000"/>
      <w:sz w:val="22"/>
      <w:szCs w:val="22"/>
      <w:u w:val="none"/>
    </w:rPr>
  </w:style>
  <w:style w:type="character" w:customStyle="1" w:styleId="48">
    <w:name w:val="font11"/>
    <w:basedOn w:val="26"/>
    <w:autoRedefine/>
    <w:qFormat/>
    <w:uiPriority w:val="0"/>
    <w:rPr>
      <w:rFonts w:hint="eastAsia" w:ascii="宋体" w:hAnsi="宋体" w:eastAsia="宋体" w:cs="宋体"/>
      <w:color w:val="000000"/>
      <w:sz w:val="21"/>
      <w:szCs w:val="21"/>
      <w:u w:val="none"/>
    </w:rPr>
  </w:style>
  <w:style w:type="character" w:customStyle="1" w:styleId="49">
    <w:name w:val="font41"/>
    <w:basedOn w:val="26"/>
    <w:autoRedefine/>
    <w:qFormat/>
    <w:uiPriority w:val="0"/>
    <w:rPr>
      <w:rFonts w:hint="default" w:ascii="Times New Roman" w:hAnsi="Times New Roman" w:cs="Times New Roman"/>
      <w:color w:val="000000"/>
      <w:sz w:val="22"/>
      <w:szCs w:val="22"/>
      <w:u w:val="none"/>
    </w:rPr>
  </w:style>
  <w:style w:type="paragraph" w:customStyle="1" w:styleId="50">
    <w:name w:val="二级标题"/>
    <w:basedOn w:val="1"/>
    <w:next w:val="1"/>
    <w:autoRedefine/>
    <w:qFormat/>
    <w:uiPriority w:val="0"/>
    <w:rPr>
      <w:rFonts w:hint="eastAsia" w:eastAsia="楷体"/>
    </w:rPr>
  </w:style>
  <w:style w:type="paragraph" w:customStyle="1" w:styleId="51">
    <w:name w:val="首行缩进"/>
    <w:basedOn w:val="1"/>
    <w:autoRedefine/>
    <w:qFormat/>
    <w:uiPriority w:val="0"/>
    <w:pPr>
      <w:ind w:firstLine="480" w:firstLineChars="200"/>
    </w:pPr>
    <w:rPr>
      <w:rFonts w:eastAsia="楷体_GB231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26124</Words>
  <Characters>27966</Characters>
  <Lines>1</Lines>
  <Paragraphs>1</Paragraphs>
  <TotalTime>3</TotalTime>
  <ScaleCrop>false</ScaleCrop>
  <LinksUpToDate>false</LinksUpToDate>
  <CharactersWithSpaces>30767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这不科学</cp:lastModifiedBy>
  <cp:lastPrinted>2024-04-08T00:42:00Z</cp:lastPrinted>
  <dcterms:modified xsi:type="dcterms:W3CDTF">2024-04-16T02:27:13Z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BECA197D60F74619ACE590AED1EB57CC_13</vt:lpwstr>
  </property>
</Properties>
</file>