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kern w:val="0"/>
          <w:sz w:val="44"/>
          <w:szCs w:val="44"/>
        </w:rPr>
      </w:pPr>
      <w:bookmarkStart w:id="0" w:name="_Toc247085669"/>
      <w:bookmarkStart w:id="1" w:name="_Toc506107265"/>
      <w:bookmarkStart w:id="2" w:name="_Toc246996898"/>
      <w:bookmarkStart w:id="3" w:name="_Toc324404811"/>
      <w:bookmarkStart w:id="4" w:name="_Toc296602400"/>
      <w:bookmarkStart w:id="5" w:name="_Toc461631222"/>
      <w:bookmarkStart w:id="6" w:name="_Toc15058843"/>
      <w:bookmarkStart w:id="7" w:name="OLE_LINK1"/>
      <w:bookmarkStart w:id="8" w:name="OLE_LINK3"/>
      <w:bookmarkStart w:id="9" w:name="OLE_LINK5"/>
      <w:bookmarkStart w:id="10" w:name="OLE_LINK4"/>
      <w:bookmarkStart w:id="11" w:name="OLE_LINK2"/>
    </w:p>
    <w:p>
      <w:pPr>
        <w:pStyle w:val="2"/>
        <w:ind w:firstLine="420"/>
      </w:pPr>
    </w:p>
    <w:p>
      <w:pPr>
        <w:jc w:val="center"/>
        <w:rPr>
          <w:rFonts w:ascii="宋体" w:hAnsi="宋体"/>
          <w:sz w:val="180"/>
          <w:szCs w:val="180"/>
        </w:rPr>
      </w:pPr>
      <w:r>
        <w:rPr>
          <w:rFonts w:hint="eastAsia" w:hAnsi="宋体" w:cs="宋体"/>
          <w:b/>
          <w:kern w:val="0"/>
          <w:sz w:val="52"/>
          <w:szCs w:val="52"/>
        </w:rPr>
        <w:t>安徽省全椒县马塘湖整合矿区建筑石料用灰岩矿爆破服务项目</w:t>
      </w:r>
    </w:p>
    <w:p>
      <w:pPr>
        <w:pStyle w:val="2"/>
        <w:ind w:firstLine="420"/>
      </w:pPr>
    </w:p>
    <w:p>
      <w:pPr>
        <w:jc w:val="center"/>
        <w:rPr>
          <w:rFonts w:ascii="宋体" w:hAnsi="宋体"/>
          <w:b/>
          <w:bCs/>
          <w:sz w:val="96"/>
          <w:szCs w:val="96"/>
        </w:rPr>
      </w:pPr>
    </w:p>
    <w:p>
      <w:pPr>
        <w:jc w:val="center"/>
        <w:rPr>
          <w:sz w:val="28"/>
          <w:szCs w:val="28"/>
        </w:rPr>
      </w:pPr>
      <w:r>
        <w:rPr>
          <w:rFonts w:hint="eastAsia" w:ascii="宋体" w:hAnsi="宋体"/>
          <w:b/>
          <w:bCs/>
          <w:sz w:val="96"/>
          <w:szCs w:val="96"/>
        </w:rPr>
        <w:t xml:space="preserve">招 </w:t>
      </w:r>
      <w:r>
        <w:rPr>
          <w:rFonts w:hint="eastAsia" w:ascii="宋体"/>
          <w:b/>
          <w:bCs/>
          <w:sz w:val="96"/>
          <w:szCs w:val="96"/>
        </w:rPr>
        <w:t xml:space="preserve">标 </w:t>
      </w:r>
      <w:r>
        <w:rPr>
          <w:rFonts w:hint="eastAsia" w:ascii="宋体" w:hAnsi="宋体"/>
          <w:b/>
          <w:bCs/>
          <w:sz w:val="96"/>
          <w:szCs w:val="96"/>
        </w:rPr>
        <w:t>文 件</w:t>
      </w:r>
    </w:p>
    <w:p>
      <w:pPr>
        <w:spacing w:line="400" w:lineRule="exact"/>
        <w:jc w:val="center"/>
        <w:rPr>
          <w:rFonts w:ascii="宋体" w:hAnsi="宋体"/>
          <w:b/>
          <w:sz w:val="39"/>
        </w:rPr>
      </w:pPr>
    </w:p>
    <w:p>
      <w:pPr>
        <w:spacing w:line="400" w:lineRule="exact"/>
      </w:pPr>
    </w:p>
    <w:p>
      <w:pPr>
        <w:pStyle w:val="2"/>
        <w:ind w:firstLine="420"/>
      </w:pPr>
    </w:p>
    <w:p/>
    <w:p>
      <w:pPr>
        <w:pStyle w:val="2"/>
        <w:ind w:firstLine="420"/>
      </w:pPr>
    </w:p>
    <w:p/>
    <w:p>
      <w:pPr>
        <w:pStyle w:val="2"/>
        <w:ind w:firstLine="420"/>
      </w:pPr>
    </w:p>
    <w:p/>
    <w:p>
      <w:pPr>
        <w:pStyle w:val="2"/>
        <w:ind w:firstLine="420"/>
      </w:pPr>
    </w:p>
    <w:p/>
    <w:p>
      <w:pPr>
        <w:pStyle w:val="2"/>
        <w:ind w:firstLine="420"/>
      </w:pPr>
    </w:p>
    <w:p/>
    <w:p>
      <w:pPr>
        <w:spacing w:before="156" w:beforeLines="50" w:after="156" w:afterLines="50" w:line="700" w:lineRule="exact"/>
        <w:jc w:val="center"/>
        <w:outlineLvl w:val="0"/>
        <w:rPr>
          <w:rFonts w:ascii="宋体"/>
          <w:b/>
          <w:sz w:val="32"/>
          <w:szCs w:val="32"/>
        </w:rPr>
      </w:pPr>
      <w:bookmarkStart w:id="12" w:name="_Toc32059"/>
      <w:bookmarkStart w:id="13" w:name="_Toc25057"/>
      <w:r>
        <w:rPr>
          <w:rFonts w:hint="eastAsia" w:ascii="宋体"/>
          <w:b/>
          <w:sz w:val="32"/>
          <w:szCs w:val="32"/>
        </w:rPr>
        <w:t>招 标 人：</w:t>
      </w:r>
      <w:r>
        <w:rPr>
          <w:rFonts w:hint="eastAsia" w:ascii="宋体"/>
          <w:b/>
          <w:sz w:val="32"/>
          <w:szCs w:val="32"/>
          <w:u w:val="single"/>
        </w:rPr>
        <w:t>滁州市兴全矿业投资有限公司</w:t>
      </w:r>
      <w:r>
        <w:rPr>
          <w:rFonts w:hint="eastAsia" w:ascii="宋体"/>
          <w:b/>
          <w:sz w:val="32"/>
          <w:szCs w:val="32"/>
        </w:rPr>
        <w:t>（盖单位章）</w:t>
      </w:r>
      <w:bookmarkEnd w:id="12"/>
      <w:bookmarkEnd w:id="13"/>
    </w:p>
    <w:p>
      <w:pPr>
        <w:spacing w:before="156" w:beforeLines="50" w:after="156" w:afterLines="50" w:line="700" w:lineRule="exact"/>
        <w:rPr>
          <w:rFonts w:ascii="宋体"/>
          <w:b/>
          <w:sz w:val="32"/>
          <w:szCs w:val="32"/>
          <w:u w:val="single"/>
        </w:rPr>
      </w:pPr>
      <w:r>
        <w:rPr>
          <w:rFonts w:hint="eastAsia" w:ascii="宋体"/>
          <w:b/>
          <w:sz w:val="32"/>
          <w:szCs w:val="32"/>
        </w:rPr>
        <w:t>招标代理机构：</w:t>
      </w:r>
      <w:r>
        <w:rPr>
          <w:rFonts w:hint="eastAsia" w:ascii="宋体"/>
          <w:b/>
          <w:sz w:val="32"/>
          <w:szCs w:val="32"/>
          <w:u w:val="single"/>
        </w:rPr>
        <w:t>滁州市城投工程咨询管理有限公司</w:t>
      </w:r>
      <w:r>
        <w:rPr>
          <w:rFonts w:hint="eastAsia" w:ascii="宋体"/>
          <w:b/>
          <w:sz w:val="32"/>
          <w:szCs w:val="32"/>
        </w:rPr>
        <w:t>（盖单位章）</w:t>
      </w:r>
    </w:p>
    <w:p>
      <w:pPr>
        <w:spacing w:before="156" w:beforeLines="50" w:after="156" w:afterLines="50" w:line="700" w:lineRule="exact"/>
        <w:jc w:val="center"/>
        <w:rPr>
          <w:rFonts w:ascii="宋体"/>
          <w:b/>
          <w:sz w:val="32"/>
          <w:szCs w:val="32"/>
        </w:rPr>
      </w:pPr>
      <w:r>
        <w:rPr>
          <w:rFonts w:hint="eastAsia" w:ascii="宋体"/>
          <w:b/>
          <w:sz w:val="32"/>
          <w:szCs w:val="32"/>
          <w:u w:val="single"/>
        </w:rPr>
        <w:t>2024</w:t>
      </w:r>
      <w:r>
        <w:rPr>
          <w:rFonts w:hint="eastAsia" w:ascii="宋体"/>
          <w:b/>
          <w:sz w:val="32"/>
          <w:szCs w:val="32"/>
        </w:rPr>
        <w:t>年</w:t>
      </w:r>
      <w:r>
        <w:rPr>
          <w:rFonts w:hint="eastAsia" w:ascii="宋体"/>
          <w:b/>
          <w:sz w:val="32"/>
          <w:szCs w:val="32"/>
          <w:u w:val="single"/>
        </w:rPr>
        <w:t xml:space="preserve"> </w:t>
      </w:r>
      <w:r>
        <w:rPr>
          <w:rFonts w:hint="eastAsia" w:ascii="宋体"/>
          <w:b/>
          <w:sz w:val="32"/>
          <w:szCs w:val="32"/>
          <w:u w:val="single"/>
          <w:lang w:val="en-US" w:eastAsia="zh-CN"/>
        </w:rPr>
        <w:t>5</w:t>
      </w:r>
      <w:r>
        <w:rPr>
          <w:rFonts w:hint="eastAsia" w:ascii="宋体"/>
          <w:b/>
          <w:sz w:val="32"/>
          <w:szCs w:val="32"/>
          <w:u w:val="single"/>
        </w:rPr>
        <w:t xml:space="preserve"> </w:t>
      </w:r>
      <w:r>
        <w:rPr>
          <w:rFonts w:hint="eastAsia" w:ascii="宋体"/>
          <w:b/>
          <w:sz w:val="32"/>
          <w:szCs w:val="32"/>
        </w:rPr>
        <w:t>月</w:t>
      </w:r>
      <w:r>
        <w:rPr>
          <w:rFonts w:hint="eastAsia" w:ascii="宋体"/>
          <w:b/>
          <w:sz w:val="32"/>
          <w:szCs w:val="32"/>
          <w:u w:val="single"/>
        </w:rPr>
        <w:t xml:space="preserve"> </w:t>
      </w:r>
      <w:r>
        <w:rPr>
          <w:rFonts w:hint="eastAsia" w:ascii="宋体"/>
          <w:b/>
          <w:sz w:val="32"/>
          <w:szCs w:val="32"/>
          <w:u w:val="single"/>
          <w:lang w:val="en-US" w:eastAsia="zh-CN"/>
        </w:rPr>
        <w:t>24</w:t>
      </w:r>
      <w:r>
        <w:rPr>
          <w:rFonts w:hint="eastAsia" w:ascii="宋体"/>
          <w:b/>
          <w:sz w:val="32"/>
          <w:szCs w:val="32"/>
          <w:u w:val="single"/>
        </w:rPr>
        <w:t xml:space="preserve"> </w:t>
      </w:r>
      <w:r>
        <w:rPr>
          <w:rFonts w:hint="eastAsia" w:ascii="宋体"/>
          <w:b/>
          <w:sz w:val="32"/>
          <w:szCs w:val="32"/>
        </w:rPr>
        <w:t>日</w:t>
      </w:r>
    </w:p>
    <w:p>
      <w:pPr>
        <w:jc w:val="center"/>
        <w:rPr>
          <w:sz w:val="44"/>
          <w:szCs w:val="44"/>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pPr>
        <w:spacing w:line="700" w:lineRule="exact"/>
        <w:jc w:val="center"/>
        <w:rPr>
          <w:sz w:val="44"/>
          <w:szCs w:val="44"/>
        </w:rPr>
      </w:pPr>
    </w:p>
    <w:p>
      <w:pPr>
        <w:spacing w:line="700" w:lineRule="exact"/>
        <w:jc w:val="center"/>
        <w:rPr>
          <w:sz w:val="44"/>
          <w:szCs w:val="44"/>
        </w:rPr>
      </w:pPr>
      <w:r>
        <w:rPr>
          <w:rFonts w:hint="eastAsia"/>
          <w:sz w:val="44"/>
          <w:szCs w:val="44"/>
        </w:rPr>
        <w:t>目   录</w:t>
      </w:r>
      <w:bookmarkEnd w:id="0"/>
      <w:bookmarkEnd w:id="1"/>
      <w:bookmarkEnd w:id="2"/>
      <w:bookmarkEnd w:id="3"/>
      <w:bookmarkEnd w:id="4"/>
      <w:bookmarkEnd w:id="5"/>
      <w:bookmarkEnd w:id="6"/>
      <w:bookmarkStart w:id="14" w:name="_Toc152045511"/>
      <w:bookmarkStart w:id="15" w:name="_Toc179632527"/>
      <w:bookmarkStart w:id="16" w:name="_Toc144974479"/>
      <w:bookmarkStart w:id="17" w:name="_Toc152042287"/>
    </w:p>
    <w:p>
      <w:pPr>
        <w:pStyle w:val="32"/>
        <w:tabs>
          <w:tab w:val="right" w:leader="dot" w:pos="9062"/>
        </w:tabs>
        <w:spacing w:line="700" w:lineRule="exact"/>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招标公告信息..................................................1</w:t>
      </w:r>
    </w:p>
    <w:p>
      <w:pPr>
        <w:pStyle w:val="32"/>
        <w:tabs>
          <w:tab w:val="right" w:leader="dot" w:pos="9062"/>
        </w:tabs>
        <w:spacing w:line="700" w:lineRule="exact"/>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第一章 投标人须知.............................................5</w:t>
      </w:r>
    </w:p>
    <w:p>
      <w:pPr>
        <w:pStyle w:val="32"/>
        <w:tabs>
          <w:tab w:val="right" w:leader="dot" w:pos="9062"/>
        </w:tabs>
        <w:spacing w:line="700" w:lineRule="exact"/>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第二章 资格审查办法...........................................20</w:t>
      </w:r>
    </w:p>
    <w:p>
      <w:pPr>
        <w:pStyle w:val="32"/>
        <w:tabs>
          <w:tab w:val="right" w:leader="dot" w:pos="9062"/>
        </w:tabs>
        <w:spacing w:line="700" w:lineRule="exact"/>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第三章 评标办法...............................................21</w:t>
      </w:r>
    </w:p>
    <w:p>
      <w:pPr>
        <w:pStyle w:val="32"/>
        <w:tabs>
          <w:tab w:val="right" w:leader="dot" w:pos="9062"/>
        </w:tabs>
        <w:spacing w:line="700" w:lineRule="exact"/>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第四章 合同条款及格式.........................................27</w:t>
      </w:r>
    </w:p>
    <w:p>
      <w:pPr>
        <w:pStyle w:val="32"/>
        <w:tabs>
          <w:tab w:val="right" w:leader="dot" w:pos="9062"/>
        </w:tabs>
        <w:spacing w:line="700" w:lineRule="exact"/>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第五章 投标文件格式...........................................29</w:t>
      </w:r>
    </w:p>
    <w:p>
      <w:pPr>
        <w:pStyle w:val="32"/>
        <w:tabs>
          <w:tab w:val="right" w:leader="dot" w:pos="9062"/>
        </w:tabs>
        <w:spacing w:line="700" w:lineRule="exact"/>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第六章 招标单位、招标代理机构对本招标文件的确认...............39</w:t>
      </w:r>
    </w:p>
    <w:p>
      <w:pPr>
        <w:pStyle w:val="2"/>
        <w:spacing w:line="700" w:lineRule="exact"/>
        <w:ind w:left="0" w:leftChars="0" w:firstLine="480"/>
        <w:jc w:val="left"/>
        <w:rPr>
          <w:sz w:val="24"/>
          <w:szCs w:val="24"/>
        </w:rPr>
      </w:pPr>
    </w:p>
    <w:p>
      <w:pPr>
        <w:pStyle w:val="44"/>
        <w:spacing w:line="700" w:lineRule="exact"/>
        <w:jc w:val="left"/>
        <w:rPr>
          <w:sz w:val="24"/>
          <w:szCs w:val="24"/>
        </w:rPr>
        <w:sectPr>
          <w:footerReference r:id="rId5" w:type="default"/>
          <w:pgSz w:w="11906" w:h="16838"/>
          <w:pgMar w:top="1134" w:right="1417" w:bottom="1134" w:left="1417" w:header="851" w:footer="992" w:gutter="0"/>
          <w:pgNumType w:start="1"/>
          <w:cols w:space="720" w:num="1"/>
          <w:docGrid w:type="lines" w:linePitch="312" w:charSpace="0"/>
        </w:sectPr>
      </w:pPr>
    </w:p>
    <w:bookmarkEnd w:id="14"/>
    <w:bookmarkEnd w:id="15"/>
    <w:bookmarkEnd w:id="16"/>
    <w:bookmarkEnd w:id="17"/>
    <w:p>
      <w:pPr>
        <w:pStyle w:val="44"/>
        <w:spacing w:before="156" w:beforeLines="50" w:after="156" w:afterLines="50" w:line="400" w:lineRule="exact"/>
        <w:rPr>
          <w:bCs/>
          <w:color w:val="auto"/>
          <w:szCs w:val="32"/>
          <w:highlight w:val="none"/>
        </w:rPr>
      </w:pPr>
      <w:bookmarkStart w:id="18" w:name="_Toc78803320"/>
      <w:bookmarkStart w:id="19" w:name="_Toc152042303"/>
      <w:bookmarkStart w:id="20" w:name="_Toc246996916"/>
      <w:bookmarkStart w:id="21" w:name="_Toc152045527"/>
      <w:bookmarkStart w:id="22" w:name="_Toc506107267"/>
      <w:bookmarkStart w:id="23" w:name="_Toc35424883"/>
      <w:bookmarkStart w:id="24" w:name="_Toc246996173"/>
      <w:bookmarkStart w:id="25" w:name="_Toc35425050"/>
      <w:bookmarkStart w:id="26" w:name="_Toc179632544"/>
      <w:bookmarkStart w:id="27" w:name="_Toc144974495"/>
      <w:bookmarkStart w:id="28" w:name="_Toc324404813"/>
      <w:bookmarkStart w:id="29" w:name="_Toc247085687"/>
      <w:bookmarkStart w:id="30" w:name="_Toc15058844"/>
      <w:r>
        <w:rPr>
          <w:rFonts w:hint="eastAsia"/>
          <w:bCs/>
          <w:color w:val="auto"/>
          <w:szCs w:val="32"/>
          <w:highlight w:val="none"/>
        </w:rPr>
        <w:t>安徽省全椒县马塘湖整合矿区建筑石料用灰岩矿爆破服务项目</w:t>
      </w:r>
    </w:p>
    <w:p>
      <w:pPr>
        <w:pStyle w:val="44"/>
        <w:spacing w:before="156" w:beforeLines="50" w:after="156" w:afterLines="50" w:line="400" w:lineRule="exact"/>
        <w:rPr>
          <w:bCs/>
          <w:color w:val="auto"/>
          <w:szCs w:val="32"/>
          <w:highlight w:val="none"/>
        </w:rPr>
      </w:pPr>
      <w:r>
        <w:rPr>
          <w:rFonts w:hint="eastAsia"/>
          <w:bCs/>
          <w:color w:val="auto"/>
          <w:szCs w:val="32"/>
          <w:highlight w:val="none"/>
        </w:rPr>
        <w:t>招标公告信息</w:t>
      </w:r>
      <w:bookmarkEnd w:id="18"/>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pPr>
              <w:spacing w:line="400" w:lineRule="exact"/>
              <w:jc w:val="center"/>
              <w:rPr>
                <w:rFonts w:ascii="宋体" w:hAnsi="宋体" w:cs="宋体"/>
                <w:bCs/>
                <w:color w:val="auto"/>
                <w:kern w:val="1"/>
                <w:szCs w:val="21"/>
                <w:highlight w:val="none"/>
              </w:rPr>
            </w:pPr>
            <w:r>
              <w:rPr>
                <w:rFonts w:hint="eastAsia" w:ascii="宋体" w:hAnsi="宋体" w:cs="宋体"/>
                <w:b/>
                <w:bCs/>
                <w:color w:val="auto"/>
                <w:szCs w:val="21"/>
                <w:highlight w:val="none"/>
              </w:rPr>
              <w:t>招标条件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pPr>
              <w:spacing w:line="400" w:lineRule="exact"/>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7997" w:type="dxa"/>
          </w:tcPr>
          <w:p>
            <w:pPr>
              <w:spacing w:line="400" w:lineRule="exact"/>
              <w:jc w:val="left"/>
              <w:rPr>
                <w:rFonts w:ascii="宋体" w:hAnsi="宋体" w:cs="宋体"/>
                <w:bCs/>
                <w:color w:val="auto"/>
                <w:kern w:val="1"/>
                <w:szCs w:val="21"/>
                <w:highlight w:val="none"/>
              </w:rPr>
            </w:pPr>
            <w:r>
              <w:rPr>
                <w:rFonts w:hint="eastAsia" w:ascii="宋体" w:hAnsi="宋体" w:cs="宋体"/>
                <w:bCs/>
                <w:color w:val="auto"/>
                <w:kern w:val="1"/>
                <w:szCs w:val="21"/>
                <w:highlight w:val="none"/>
              </w:rPr>
              <w:t>安徽省全椒县马塘湖整合矿区建筑石料用灰岩矿爆破服务项目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7997" w:type="dxa"/>
            <w:vAlign w:val="center"/>
          </w:tcPr>
          <w:p>
            <w:pPr>
              <w:spacing w:line="400" w:lineRule="exact"/>
              <w:jc w:val="left"/>
              <w:rPr>
                <w:rFonts w:ascii="宋体" w:hAnsi="宋体" w:cs="宋体"/>
                <w:bCs/>
                <w:color w:val="auto"/>
                <w:kern w:val="1"/>
                <w:szCs w:val="21"/>
                <w:highlight w:val="none"/>
              </w:rPr>
            </w:pPr>
            <w:r>
              <w:rPr>
                <w:rFonts w:hint="eastAsia" w:ascii="宋体" w:hAnsi="宋体" w:cs="宋体"/>
                <w:bCs/>
                <w:color w:val="auto"/>
                <w:kern w:val="1"/>
                <w:szCs w:val="21"/>
                <w:highlight w:val="none"/>
              </w:rPr>
              <w:t>滁州市兴全矿业投资有限公司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7997" w:type="dxa"/>
            <w:vAlign w:val="center"/>
          </w:tcPr>
          <w:p>
            <w:pPr>
              <w:spacing w:line="400" w:lineRule="exact"/>
              <w:jc w:val="left"/>
              <w:rPr>
                <w:rFonts w:ascii="宋体" w:hAnsi="宋体" w:cs="宋体"/>
                <w:bCs/>
                <w:color w:val="auto"/>
                <w:kern w:val="1"/>
                <w:szCs w:val="21"/>
                <w:highlight w:val="none"/>
              </w:rPr>
            </w:pPr>
            <w:r>
              <w:rPr>
                <w:rFonts w:hint="eastAsia" w:ascii="宋体" w:hAnsi="宋体" w:cs="宋体"/>
                <w:bCs/>
                <w:color w:val="auto"/>
                <w:kern w:val="1"/>
                <w:szCs w:val="21"/>
                <w:highlight w:val="none"/>
              </w:rPr>
              <w:t>滁州市兴全矿业投资有限公司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kern w:val="0"/>
                <w:szCs w:val="21"/>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pPr>
              <w:widowControl/>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项目概况与招标范围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滁州市兴全矿业投资有限公司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7997" w:type="dxa"/>
            <w:vAlign w:val="center"/>
          </w:tcPr>
          <w:p>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7997" w:type="dxa"/>
            <w:vAlign w:val="center"/>
          </w:tcPr>
          <w:p>
            <w:pPr>
              <w:pStyle w:val="2"/>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7997" w:type="dxa"/>
            <w:vAlign w:val="center"/>
          </w:tcPr>
          <w:p>
            <w:pPr>
              <w:pStyle w:val="2"/>
              <w:wordWrap w:val="0"/>
              <w:spacing w:line="400" w:lineRule="exact"/>
              <w:ind w:left="0" w:leftChars="0" w:firstLine="0" w:firstLineChars="0"/>
              <w:jc w:val="left"/>
              <w:rPr>
                <w:rFonts w:hAnsi="宋体" w:cs="宋体"/>
                <w:color w:val="auto"/>
                <w:szCs w:val="21"/>
                <w:highlight w:val="none"/>
              </w:rPr>
            </w:pPr>
            <w:r>
              <w:rPr>
                <w:rFonts w:hint="eastAsia" w:hAnsi="宋体" w:cs="宋体"/>
                <w:color w:val="auto"/>
                <w:szCs w:val="21"/>
                <w:highlight w:val="none"/>
              </w:rPr>
              <w:t>单次爆破炸药使用量可能会超过10吨，依据爆破安全规程及爆破作业项目管理要求，结合矿山周边保护对象，爆破需实行提级管控，爆破药量超过10吨达到A级爆破要求</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本项目</w:t>
            </w:r>
            <w:r>
              <w:rPr>
                <w:rFonts w:hint="eastAsia" w:hAnsi="宋体" w:cs="宋体"/>
                <w:color w:val="auto"/>
                <w:szCs w:val="21"/>
                <w:highlight w:val="none"/>
              </w:rPr>
              <w:t>年产量</w:t>
            </w:r>
            <w:r>
              <w:rPr>
                <w:rFonts w:hint="eastAsia" w:hAnsi="宋体" w:cs="宋体"/>
                <w:color w:val="auto"/>
                <w:szCs w:val="21"/>
                <w:highlight w:val="none"/>
                <w:lang w:val="en-US" w:eastAsia="zh-CN"/>
              </w:rPr>
              <w:t>设计</w:t>
            </w:r>
            <w:r>
              <w:rPr>
                <w:rFonts w:hint="eastAsia" w:hAnsi="宋体" w:cs="宋体"/>
                <w:color w:val="auto"/>
                <w:szCs w:val="21"/>
                <w:highlight w:val="none"/>
              </w:rPr>
              <w:t>约900万吨</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实际产量约700万吨</w:t>
            </w:r>
            <w:r>
              <w:rPr>
                <w:rFonts w:hint="eastAsia"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本工程总投资约</w:t>
            </w:r>
            <w:r>
              <w:rPr>
                <w:rFonts w:hint="eastAsia" w:ascii="宋体" w:hAnsi="宋体" w:cs="宋体"/>
                <w:color w:val="auto"/>
                <w:szCs w:val="21"/>
                <w:highlight w:val="none"/>
                <w:lang w:val="en-US" w:eastAsia="zh-CN"/>
              </w:rPr>
              <w:t>3200</w:t>
            </w:r>
            <w:r>
              <w:rPr>
                <w:rFonts w:hint="eastAsia" w:ascii="宋体" w:hAnsi="宋体" w:cs="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计划合同工期</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暂定</w:t>
            </w:r>
            <w:r>
              <w:rPr>
                <w:rFonts w:hint="eastAsia" w:ascii="宋体" w:hAnsi="宋体" w:cs="宋体"/>
                <w:color w:val="auto"/>
                <w:szCs w:val="21"/>
                <w:highlight w:val="none"/>
              </w:rPr>
              <w:t>一年。从合同签订之日起计算。</w:t>
            </w:r>
            <w:r>
              <w:rPr>
                <w:rFonts w:hint="eastAsia" w:hAnsi="宋体" w:cs="Arial"/>
                <w:color w:val="auto"/>
                <w:kern w:val="0"/>
                <w:szCs w:val="21"/>
                <w:highlight w:val="none"/>
                <w:shd w:val="clear" w:color="auto" w:fill="FFFFFF"/>
              </w:rPr>
              <w:t>合同期满后，乙方经甲方考核合格</w:t>
            </w:r>
            <w:r>
              <w:rPr>
                <w:rFonts w:hint="eastAsia" w:hAnsi="宋体" w:cs="Arial"/>
                <w:color w:val="auto"/>
                <w:kern w:val="0"/>
                <w:szCs w:val="21"/>
                <w:highlight w:val="none"/>
                <w:shd w:val="clear" w:color="auto" w:fill="FFFFFF"/>
                <w:lang w:val="en-US" w:eastAsia="zh-CN"/>
              </w:rPr>
              <w:t>后</w:t>
            </w:r>
            <w:r>
              <w:rPr>
                <w:rFonts w:hint="eastAsia" w:hAnsi="宋体" w:cs="Arial"/>
                <w:color w:val="auto"/>
                <w:kern w:val="0"/>
                <w:szCs w:val="21"/>
                <w:highlight w:val="none"/>
                <w:shd w:val="clear" w:color="auto" w:fill="FFFFFF"/>
              </w:rPr>
              <w:t>，</w:t>
            </w:r>
            <w:r>
              <w:rPr>
                <w:rFonts w:hint="eastAsia" w:hAnsi="宋体" w:cs="Arial"/>
                <w:color w:val="auto"/>
                <w:kern w:val="0"/>
                <w:szCs w:val="21"/>
                <w:highlight w:val="none"/>
                <w:shd w:val="clear" w:color="auto" w:fill="FFFFFF"/>
                <w:lang w:val="en-US" w:eastAsia="zh-CN"/>
              </w:rPr>
              <w:t>双方协商一致可续</w:t>
            </w:r>
            <w:r>
              <w:rPr>
                <w:rFonts w:hint="eastAsia" w:hAnsi="宋体" w:cs="Arial"/>
                <w:color w:val="auto"/>
                <w:kern w:val="0"/>
                <w:szCs w:val="21"/>
                <w:highlight w:val="none"/>
                <w:shd w:val="clear" w:color="auto" w:fill="FFFFFF"/>
              </w:rPr>
              <w:t>签合同</w:t>
            </w:r>
            <w:r>
              <w:rPr>
                <w:rFonts w:hint="eastAsia" w:hAnsi="宋体" w:cs="Arial"/>
                <w:color w:val="auto"/>
                <w:kern w:val="0"/>
                <w:szCs w:val="21"/>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7997" w:type="dxa"/>
            <w:vAlign w:val="center"/>
          </w:tcPr>
          <w:p>
            <w:pPr>
              <w:pStyle w:val="2"/>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包括但不限于爆破设计方案编制、爆破施工方案编制、爆破手续报批、钻孔 、装药、堵塞、安全警戒、爆破、机械二次破碎</w:t>
            </w:r>
            <w:r>
              <w:rPr>
                <w:rFonts w:hint="eastAsia" w:hAnsi="宋体" w:cs="宋体"/>
                <w:color w:val="auto"/>
                <w:szCs w:val="21"/>
                <w:highlight w:val="none"/>
                <w:lang w:eastAsia="zh-CN"/>
              </w:rPr>
              <w:t>（</w:t>
            </w:r>
            <w:r>
              <w:rPr>
                <w:rFonts w:hint="eastAsia" w:hAnsi="宋体" w:cs="宋体"/>
                <w:color w:val="auto"/>
                <w:szCs w:val="21"/>
                <w:highlight w:val="none"/>
                <w:lang w:val="en-US" w:eastAsia="zh-CN"/>
              </w:rPr>
              <w:t>中标单位需配备两台炮头机驻场满足本项目需求</w:t>
            </w:r>
            <w:r>
              <w:rPr>
                <w:rFonts w:hint="eastAsia" w:hAnsi="宋体" w:cs="宋体"/>
                <w:color w:val="auto"/>
                <w:szCs w:val="21"/>
                <w:highlight w:val="none"/>
                <w:lang w:eastAsia="zh-CN"/>
              </w:rPr>
              <w:t>）</w:t>
            </w:r>
            <w:r>
              <w:rPr>
                <w:rFonts w:hint="eastAsia" w:hAnsi="宋体" w:cs="宋体"/>
                <w:color w:val="auto"/>
                <w:szCs w:val="21"/>
                <w:highlight w:val="none"/>
              </w:rPr>
              <w:t>以及矿山道路及平台修整服务（中标单位需配备铲车、压路机等机械设备驻场满足本项目使用需求）等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0" w:type="dxa"/>
            <w:gridSpan w:val="2"/>
            <w:vAlign w:val="center"/>
          </w:tcPr>
          <w:p>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投标人资质要求</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须为独立法人资格且具有公安部门颁发的一级营业性爆破作业单位许可证(从业范围：设计施工、安全评估、安全监理）。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项目经理资格要求</w:t>
            </w:r>
          </w:p>
        </w:tc>
        <w:tc>
          <w:tcPr>
            <w:tcW w:w="7997" w:type="dxa"/>
            <w:vAlign w:val="center"/>
          </w:tcPr>
          <w:p>
            <w:pPr>
              <w:spacing w:line="400" w:lineRule="exact"/>
              <w:rPr>
                <w:rFonts w:ascii="宋体" w:hAnsi="宋体" w:cs="宋体"/>
                <w:color w:val="auto"/>
                <w:szCs w:val="21"/>
                <w:highlight w:val="none"/>
              </w:rPr>
            </w:pPr>
            <w:r>
              <w:rPr>
                <w:rFonts w:hint="eastAsia" w:ascii="宋体" w:hAnsi="宋体"/>
                <w:color w:val="auto"/>
                <w:szCs w:val="21"/>
                <w:highlight w:val="none"/>
              </w:rPr>
              <w:t>持有爆破作业人员许可证（作业类别：爆破工程技术人员高级/B或以上）。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w:t>
            </w:r>
          </w:p>
        </w:tc>
        <w:tc>
          <w:tcPr>
            <w:tcW w:w="7997" w:type="dxa"/>
            <w:vAlign w:val="center"/>
          </w:tcPr>
          <w:p>
            <w:pPr>
              <w:widowControl/>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
                <w:bCs/>
                <w:color w:val="auto"/>
                <w:kern w:val="0"/>
                <w:szCs w:val="21"/>
                <w:highlight w:val="none"/>
              </w:rPr>
            </w:pPr>
            <w:r>
              <w:rPr>
                <w:rFonts w:hint="eastAsia" w:ascii="宋体" w:hAnsi="宋体" w:cs="宋体"/>
                <w:color w:val="auto"/>
                <w:kern w:val="0"/>
                <w:szCs w:val="21"/>
                <w:highlight w:val="none"/>
              </w:rPr>
              <w:t>其他要求</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1、投标人存在以下情形之一的，不得被确定为中标人：</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①投标人被人民法院列入失信被执行人的；</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②投标人或其法定代表人或拟派项目经理前三年有行贿犯罪行为的；</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③投标人被市场监督管理部门列入经营异常名录或者严重违法企业名单，且未被移除的；</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④投标人被税务部门列入重大税收违法案件当事人的；</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⑤在“信用中国”网站上披露仍在公示期的严重失信行为的；</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⑥被滁州市县两级各行业主管部门及公管部门取消在一定期限内的投标资格且在取消期限内的；</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⑦被滁州市县两级公管部门记入不良行为记录或者信用信息记录，且在披露期内的。</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⑧被人力资源社会保障主管部门列入拖欠农民工工资‘黑名单’或因拖欠农民工工资被县级及以上有关行政主管部门限制投标资格且在限制期限内的。</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⑨被列入省级、市级农民工工资支付异常名录的施工企业，限制其参加全市范围内房建和市政工程建设项目投标；列入县级异常名录的施工企业，限制其参加本行政区域内房建和市政建设项目投标。</w:t>
            </w:r>
          </w:p>
          <w:p>
            <w:pPr>
              <w:widowControl/>
              <w:spacing w:line="400" w:lineRule="exact"/>
              <w:jc w:val="left"/>
              <w:rPr>
                <w:color w:val="auto"/>
                <w:highlight w:val="none"/>
              </w:rPr>
            </w:pPr>
            <w:r>
              <w:rPr>
                <w:rFonts w:hint="eastAsia" w:ascii="宋体" w:hAnsi="宋体" w:cs="宋体"/>
                <w:color w:val="auto"/>
                <w:szCs w:val="21"/>
                <w:highlight w:val="none"/>
              </w:rPr>
              <w:t>2、投标人所属分公司、办事处等分支机构存在第1条信誉要求①-⑨项情形之一的，接受其被确定为中标人。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获取时间</w:t>
            </w:r>
          </w:p>
        </w:tc>
        <w:tc>
          <w:tcPr>
            <w:tcW w:w="7997" w:type="dxa"/>
            <w:vAlign w:val="center"/>
          </w:tcPr>
          <w:p>
            <w:pPr>
              <w:widowControl/>
              <w:spacing w:line="400" w:lineRule="exact"/>
              <w:jc w:val="left"/>
              <w:rPr>
                <w:rFonts w:ascii="宋体" w:hAnsi="宋体" w:cs="宋体"/>
                <w:b/>
                <w:bCs/>
                <w:color w:val="auto"/>
                <w:szCs w:val="21"/>
                <w:highlight w:val="none"/>
              </w:rPr>
            </w:pPr>
            <w:r>
              <w:rPr>
                <w:rFonts w:hint="eastAsia" w:ascii="宋体" w:hAnsi="宋体" w:cs="宋体"/>
                <w:b/>
                <w:bCs/>
                <w:snapToGrid w:val="0"/>
                <w:color w:val="auto"/>
                <w:kern w:val="0"/>
                <w:szCs w:val="21"/>
                <w:highlight w:val="none"/>
                <w:u w:val="single"/>
              </w:rPr>
              <w:t xml:space="preserve"> 2024 </w:t>
            </w:r>
            <w:r>
              <w:rPr>
                <w:rFonts w:hint="eastAsia" w:ascii="宋体" w:hAnsi="宋体" w:cs="宋体"/>
                <w:b/>
                <w:bCs/>
                <w:snapToGrid w:val="0"/>
                <w:color w:val="auto"/>
                <w:kern w:val="0"/>
                <w:szCs w:val="21"/>
                <w:highlight w:val="none"/>
              </w:rPr>
              <w:t>年</w:t>
            </w:r>
            <w:r>
              <w:rPr>
                <w:rFonts w:hint="eastAsia" w:ascii="宋体" w:hAnsi="宋体" w:cs="宋体"/>
                <w:b/>
                <w:bCs/>
                <w:snapToGrid w:val="0"/>
                <w:color w:val="auto"/>
                <w:kern w:val="0"/>
                <w:szCs w:val="21"/>
                <w:highlight w:val="none"/>
                <w:u w:val="single"/>
                <w:lang w:val="en-US" w:eastAsia="zh-CN"/>
              </w:rPr>
              <w:t>5</w:t>
            </w:r>
            <w:r>
              <w:rPr>
                <w:rFonts w:hint="eastAsia" w:ascii="宋体" w:hAnsi="宋体" w:cs="宋体"/>
                <w:b/>
                <w:bCs/>
                <w:snapToGrid w:val="0"/>
                <w:color w:val="auto"/>
                <w:kern w:val="0"/>
                <w:szCs w:val="21"/>
                <w:highlight w:val="none"/>
              </w:rPr>
              <w:t>月</w:t>
            </w:r>
            <w:r>
              <w:rPr>
                <w:rFonts w:hint="eastAsia" w:ascii="宋体" w:hAnsi="宋体" w:cs="宋体"/>
                <w:b/>
                <w:bCs/>
                <w:snapToGrid w:val="0"/>
                <w:color w:val="auto"/>
                <w:kern w:val="0"/>
                <w:szCs w:val="21"/>
                <w:highlight w:val="none"/>
                <w:u w:val="single"/>
                <w:lang w:val="en-US" w:eastAsia="zh-CN"/>
              </w:rPr>
              <w:t>24</w:t>
            </w:r>
            <w:r>
              <w:rPr>
                <w:rFonts w:hint="eastAsia" w:ascii="宋体" w:hAnsi="宋体" w:cs="宋体"/>
                <w:b/>
                <w:bCs/>
                <w:snapToGrid w:val="0"/>
                <w:color w:val="auto"/>
                <w:kern w:val="0"/>
                <w:szCs w:val="21"/>
                <w:highlight w:val="none"/>
              </w:rPr>
              <w:t>日</w:t>
            </w:r>
            <w:r>
              <w:rPr>
                <w:rFonts w:hint="eastAsia" w:ascii="宋体" w:hAnsi="宋体" w:cs="宋体"/>
                <w:b/>
                <w:bCs/>
                <w:snapToGrid w:val="0"/>
                <w:color w:val="auto"/>
                <w:kern w:val="0"/>
                <w:szCs w:val="21"/>
                <w:highlight w:val="none"/>
                <w:u w:val="single"/>
              </w:rPr>
              <w:t xml:space="preserve"> 17 </w:t>
            </w:r>
            <w:r>
              <w:rPr>
                <w:rFonts w:hint="eastAsia" w:ascii="宋体" w:hAnsi="宋体" w:cs="宋体"/>
                <w:b/>
                <w:bCs/>
                <w:snapToGrid w:val="0"/>
                <w:color w:val="auto"/>
                <w:kern w:val="0"/>
                <w:szCs w:val="21"/>
                <w:highlight w:val="none"/>
              </w:rPr>
              <w:t>时</w:t>
            </w:r>
            <w:r>
              <w:rPr>
                <w:rFonts w:hint="eastAsia" w:ascii="宋体" w:hAnsi="宋体" w:cs="宋体"/>
                <w:b/>
                <w:bCs/>
                <w:snapToGrid w:val="0"/>
                <w:color w:val="auto"/>
                <w:kern w:val="0"/>
                <w:szCs w:val="21"/>
                <w:highlight w:val="none"/>
                <w:u w:val="single"/>
              </w:rPr>
              <w:t xml:space="preserve"> 00 </w:t>
            </w:r>
            <w:r>
              <w:rPr>
                <w:rFonts w:hint="eastAsia" w:ascii="宋体" w:hAnsi="宋体" w:cs="宋体"/>
                <w:b/>
                <w:bCs/>
                <w:snapToGrid w:val="0"/>
                <w:color w:val="auto"/>
                <w:kern w:val="0"/>
                <w:szCs w:val="21"/>
                <w:highlight w:val="none"/>
              </w:rPr>
              <w:t>分至</w:t>
            </w:r>
            <w:r>
              <w:rPr>
                <w:rFonts w:hint="eastAsia" w:ascii="宋体" w:hAnsi="宋体" w:cs="宋体"/>
                <w:b/>
                <w:bCs/>
                <w:snapToGrid w:val="0"/>
                <w:color w:val="auto"/>
                <w:kern w:val="0"/>
                <w:szCs w:val="21"/>
                <w:highlight w:val="none"/>
                <w:u w:val="single"/>
              </w:rPr>
              <w:t xml:space="preserve"> 2024</w:t>
            </w:r>
            <w:r>
              <w:rPr>
                <w:rFonts w:hint="eastAsia" w:ascii="宋体" w:hAnsi="宋体" w:cs="宋体"/>
                <w:b/>
                <w:bCs/>
                <w:snapToGrid w:val="0"/>
                <w:color w:val="auto"/>
                <w:kern w:val="0"/>
                <w:szCs w:val="21"/>
                <w:highlight w:val="none"/>
              </w:rPr>
              <w:t>年</w:t>
            </w:r>
            <w:r>
              <w:rPr>
                <w:rFonts w:hint="eastAsia" w:ascii="宋体" w:hAnsi="宋体" w:cs="宋体"/>
                <w:b/>
                <w:bCs/>
                <w:snapToGrid w:val="0"/>
                <w:color w:val="auto"/>
                <w:kern w:val="0"/>
                <w:szCs w:val="21"/>
                <w:highlight w:val="none"/>
                <w:u w:val="single"/>
                <w:lang w:val="en-US" w:eastAsia="zh-CN"/>
              </w:rPr>
              <w:t>5</w:t>
            </w:r>
            <w:r>
              <w:rPr>
                <w:rFonts w:hint="eastAsia" w:ascii="宋体" w:hAnsi="宋体" w:cs="宋体"/>
                <w:b/>
                <w:bCs/>
                <w:snapToGrid w:val="0"/>
                <w:color w:val="auto"/>
                <w:kern w:val="0"/>
                <w:szCs w:val="21"/>
                <w:highlight w:val="none"/>
              </w:rPr>
              <w:t>月</w:t>
            </w:r>
            <w:r>
              <w:rPr>
                <w:rFonts w:hint="eastAsia" w:ascii="宋体" w:hAnsi="宋体" w:cs="宋体"/>
                <w:b/>
                <w:bCs/>
                <w:snapToGrid w:val="0"/>
                <w:color w:val="auto"/>
                <w:kern w:val="0"/>
                <w:szCs w:val="21"/>
                <w:highlight w:val="none"/>
                <w:u w:val="single"/>
                <w:lang w:val="en-US" w:eastAsia="zh-CN"/>
              </w:rPr>
              <w:t>30</w:t>
            </w:r>
            <w:r>
              <w:rPr>
                <w:rFonts w:hint="eastAsia" w:ascii="宋体" w:hAnsi="宋体" w:cs="宋体"/>
                <w:b/>
                <w:bCs/>
                <w:snapToGrid w:val="0"/>
                <w:color w:val="auto"/>
                <w:kern w:val="0"/>
                <w:szCs w:val="21"/>
                <w:highlight w:val="none"/>
              </w:rPr>
              <w:t>日</w:t>
            </w:r>
            <w:r>
              <w:rPr>
                <w:rFonts w:hint="eastAsia" w:ascii="宋体" w:hAnsi="宋体" w:cs="宋体"/>
                <w:b/>
                <w:bCs/>
                <w:snapToGrid w:val="0"/>
                <w:color w:val="auto"/>
                <w:kern w:val="0"/>
                <w:szCs w:val="21"/>
                <w:highlight w:val="none"/>
                <w:u w:val="single"/>
                <w:lang w:val="en-US" w:eastAsia="zh-CN"/>
              </w:rPr>
              <w:t>15</w:t>
            </w:r>
            <w:r>
              <w:rPr>
                <w:rFonts w:hint="eastAsia" w:ascii="宋体" w:hAnsi="宋体" w:cs="宋体"/>
                <w:b/>
                <w:bCs/>
                <w:snapToGrid w:val="0"/>
                <w:color w:val="auto"/>
                <w:kern w:val="0"/>
                <w:szCs w:val="21"/>
                <w:highlight w:val="none"/>
              </w:rPr>
              <w:t>时</w:t>
            </w:r>
            <w:r>
              <w:rPr>
                <w:rFonts w:hint="eastAsia" w:ascii="宋体" w:hAnsi="宋体" w:cs="宋体"/>
                <w:b/>
                <w:bCs/>
                <w:snapToGrid w:val="0"/>
                <w:color w:val="auto"/>
                <w:kern w:val="0"/>
                <w:szCs w:val="21"/>
                <w:highlight w:val="none"/>
                <w:u w:val="single"/>
              </w:rPr>
              <w:t xml:space="preserve"> 00 </w:t>
            </w:r>
            <w:r>
              <w:rPr>
                <w:rFonts w:hint="eastAsia" w:ascii="宋体" w:hAnsi="宋体" w:cs="宋体"/>
                <w:b/>
                <w:bCs/>
                <w:snapToGrid w:val="0"/>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7997" w:type="dxa"/>
            <w:vAlign w:val="center"/>
          </w:tcPr>
          <w:p>
            <w:pPr>
              <w:spacing w:line="400" w:lineRule="exact"/>
              <w:jc w:val="left"/>
              <w:textAlignment w:val="baseline"/>
              <w:rPr>
                <w:rFonts w:ascii="宋体" w:hAnsi="宋体" w:cs="宋体"/>
                <w:color w:val="auto"/>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color w:val="auto"/>
                <w:szCs w:val="21"/>
                <w:highlight w:val="none"/>
              </w:rPr>
              <w:t>“</w:t>
            </w:r>
            <w:r>
              <w:rPr>
                <w:rFonts w:hint="eastAsia" w:ascii="宋体" w:hAnsi="宋体" w:cs="宋体"/>
                <w:color w:val="auto"/>
                <w:szCs w:val="21"/>
                <w:highlight w:val="none"/>
                <w:lang w:bidi="ar"/>
              </w:rPr>
              <w:t>滁州市兴滁矿业投资集团有限公司</w:t>
            </w:r>
            <w:r>
              <w:rPr>
                <w:rFonts w:hint="eastAsia" w:ascii="宋体" w:hAnsi="宋体" w:cs="宋体"/>
                <w:color w:val="auto"/>
                <w:szCs w:val="21"/>
                <w:highlight w:val="none"/>
              </w:rPr>
              <w:t>”</w:t>
            </w:r>
            <w:r>
              <w:rPr>
                <w:rFonts w:hint="eastAsia" w:ascii="宋体" w:hAnsi="宋体" w:cs="宋体"/>
                <w:color w:val="auto"/>
                <w:szCs w:val="21"/>
                <w:highlight w:val="none"/>
                <w:lang w:bidi="ar"/>
              </w:rPr>
              <w:t>（http://www.xckytz.com/）</w:t>
            </w:r>
            <w:r>
              <w:rPr>
                <w:rFonts w:hint="eastAsia" w:ascii="宋体" w:hAnsi="宋体" w:cs="宋体"/>
                <w:bCs/>
                <w:snapToGrid w:val="0"/>
                <w:color w:val="auto"/>
                <w:kern w:val="0"/>
                <w:szCs w:val="21"/>
                <w:highlight w:val="none"/>
              </w:rPr>
              <w:t>查阅并下载招标文件</w:t>
            </w:r>
            <w:r>
              <w:rPr>
                <w:rFonts w:hint="eastAsia" w:ascii="宋体" w:hAnsi="宋体" w:cs="宋体"/>
                <w:color w:val="auto"/>
                <w:szCs w:val="21"/>
                <w:highlight w:val="none"/>
              </w:rPr>
              <w:t>及相关资料</w:t>
            </w:r>
            <w:r>
              <w:rPr>
                <w:rFonts w:hint="eastAsia" w:ascii="宋体" w:hAnsi="宋体" w:cs="宋体"/>
                <w:bCs/>
                <w:snapToGrid w:val="0"/>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招标公告发布时间</w:t>
            </w:r>
          </w:p>
        </w:tc>
        <w:tc>
          <w:tcPr>
            <w:tcW w:w="7997" w:type="dxa"/>
            <w:vAlign w:val="center"/>
          </w:tcPr>
          <w:p>
            <w:pPr>
              <w:widowControl/>
              <w:spacing w:line="400" w:lineRule="exact"/>
              <w:jc w:val="left"/>
              <w:rPr>
                <w:rFonts w:ascii="宋体" w:hAnsi="宋体" w:cs="宋体"/>
                <w:b/>
                <w:bCs/>
                <w:color w:val="auto"/>
                <w:kern w:val="0"/>
                <w:szCs w:val="21"/>
                <w:highlight w:val="none"/>
              </w:rPr>
            </w:pPr>
            <w:r>
              <w:rPr>
                <w:rFonts w:hint="eastAsia" w:ascii="宋体" w:hAnsi="宋体" w:cs="宋体"/>
                <w:b/>
                <w:bCs/>
                <w:color w:val="auto"/>
                <w:szCs w:val="21"/>
                <w:highlight w:val="none"/>
              </w:rPr>
              <w:t>2024年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szCs w:val="21"/>
                <w:highlight w:val="none"/>
              </w:rPr>
              <w:t>投标文件递交的截止时间</w:t>
            </w:r>
          </w:p>
        </w:tc>
        <w:tc>
          <w:tcPr>
            <w:tcW w:w="7997" w:type="dxa"/>
            <w:vAlign w:val="center"/>
          </w:tcPr>
          <w:p>
            <w:pPr>
              <w:widowControl/>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2024年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7997" w:type="dxa"/>
            <w:vAlign w:val="center"/>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网上递交，发送至电子邮箱：czsctgczx@163.com（滁州市城投工程咨询管理有限公司邮箱）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vAlign w:val="center"/>
          </w:tcPr>
          <w:p>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szCs w:val="21"/>
                <w:highlight w:val="none"/>
              </w:rPr>
              <w:t>开标时间</w:t>
            </w:r>
          </w:p>
        </w:tc>
        <w:tc>
          <w:tcPr>
            <w:tcW w:w="7997" w:type="dxa"/>
            <w:vAlign w:val="center"/>
          </w:tcPr>
          <w:p>
            <w:pPr>
              <w:widowControl/>
              <w:spacing w:line="400" w:lineRule="exact"/>
              <w:jc w:val="left"/>
              <w:rPr>
                <w:rFonts w:ascii="宋体" w:hAnsi="宋体" w:cs="宋体"/>
                <w:b/>
                <w:bCs/>
                <w:color w:val="auto"/>
                <w:kern w:val="0"/>
                <w:szCs w:val="21"/>
                <w:highlight w:val="none"/>
              </w:rPr>
            </w:pPr>
            <w:r>
              <w:rPr>
                <w:rFonts w:hint="eastAsia" w:ascii="宋体" w:hAnsi="宋体" w:cs="宋体"/>
                <w:b/>
                <w:bCs/>
                <w:color w:val="auto"/>
                <w:szCs w:val="21"/>
                <w:highlight w:val="none"/>
              </w:rPr>
              <w:t>2024年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滁州市城投工程咨询管理有限公司(滁州市龙蟠大道109号房产大厦六楼622会议室)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招标文件价格</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7997" w:type="dxa"/>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“滁州市兴滁矿业投资集团有限公司</w:t>
            </w:r>
            <w:r>
              <w:rPr>
                <w:rFonts w:hint="eastAsia" w:ascii="宋体" w:hAnsi="宋体" w:cs="宋体"/>
                <w:color w:val="auto"/>
                <w:szCs w:val="21"/>
                <w:highlight w:val="none"/>
              </w:rPr>
              <w:t>”</w:t>
            </w:r>
            <w:r>
              <w:rPr>
                <w:rFonts w:hint="eastAsia" w:ascii="宋体" w:hAnsi="宋体" w:cs="宋体"/>
                <w:color w:val="auto"/>
                <w:szCs w:val="21"/>
                <w:highlight w:val="none"/>
                <w:lang w:bidi="ar"/>
              </w:rPr>
              <w:t>（http://www.xckytz.com/）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pPr>
              <w:widowControl/>
              <w:spacing w:line="400" w:lineRule="exact"/>
              <w:jc w:val="center"/>
              <w:rPr>
                <w:rFonts w:ascii="宋体" w:hAnsi="宋体" w:cs="宋体"/>
                <w:b/>
                <w:color w:val="auto"/>
                <w:kern w:val="0"/>
                <w:szCs w:val="21"/>
                <w:highlight w:val="none"/>
              </w:rPr>
            </w:pPr>
            <w:r>
              <w:rPr>
                <w:rFonts w:hint="eastAsia" w:ascii="宋体" w:hAnsi="宋体" w:cs="宋体"/>
                <w:b/>
                <w:color w:val="auto"/>
                <w:szCs w:val="21"/>
                <w:highlight w:val="none"/>
              </w:rPr>
              <w:t>投标保证金收取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保证金收取</w:t>
            </w:r>
          </w:p>
        </w:tc>
        <w:tc>
          <w:tcPr>
            <w:tcW w:w="7997" w:type="dxa"/>
            <w:vAlign w:val="center"/>
          </w:tcPr>
          <w:p>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投标保证金缴纳要求：</w:t>
            </w:r>
          </w:p>
          <w:p>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1、投标保证金的金额：50万元；投标保证金的形式：银行转账。 </w:t>
            </w:r>
          </w:p>
          <w:p>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2、接收投标保证金的账户信息：</w:t>
            </w:r>
          </w:p>
          <w:p>
            <w:pPr>
              <w:pStyle w:val="42"/>
              <w:spacing w:beforeAutospacing="0" w:afterAutospacing="0" w:line="320" w:lineRule="exact"/>
              <w:rPr>
                <w:color w:val="auto"/>
                <w:sz w:val="21"/>
                <w:szCs w:val="21"/>
                <w:highlight w:val="none"/>
              </w:rPr>
            </w:pPr>
            <w:r>
              <w:rPr>
                <w:rFonts w:hint="eastAsia"/>
                <w:color w:val="auto"/>
                <w:sz w:val="21"/>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户  名：滁州市兴全矿业投资有限公司</w:t>
            </w:r>
          </w:p>
          <w:p>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开户行：中国银行股份有限公司全椒支行 </w:t>
            </w:r>
          </w:p>
          <w:p>
            <w:pPr>
              <w:pStyle w:val="42"/>
              <w:spacing w:beforeAutospacing="0" w:afterAutospacing="0" w:line="320" w:lineRule="exact"/>
              <w:rPr>
                <w:color w:val="auto"/>
                <w:sz w:val="21"/>
                <w:szCs w:val="21"/>
                <w:highlight w:val="none"/>
              </w:rPr>
            </w:pPr>
            <w:r>
              <w:rPr>
                <w:rFonts w:hint="eastAsia"/>
                <w:color w:val="auto"/>
                <w:sz w:val="21"/>
                <w:szCs w:val="21"/>
                <w:highlight w:val="none"/>
              </w:rPr>
              <w:t>账  号： 187242929688</w:t>
            </w:r>
          </w:p>
          <w:p>
            <w:pPr>
              <w:pStyle w:val="42"/>
              <w:spacing w:beforeAutospacing="0" w:afterAutospacing="0" w:line="320" w:lineRule="exact"/>
              <w:ind w:firstLine="420" w:firstLineChars="200"/>
              <w:rPr>
                <w:color w:val="auto"/>
                <w:sz w:val="21"/>
                <w:szCs w:val="21"/>
                <w:highlight w:val="none"/>
              </w:rPr>
            </w:pPr>
            <w:r>
              <w:rPr>
                <w:rFonts w:hint="eastAsia"/>
                <w:color w:val="auto"/>
                <w:sz w:val="21"/>
                <w:szCs w:val="21"/>
                <w:highlight w:val="none"/>
              </w:rPr>
              <w:t xml:space="preserve">保证金到账截止时间同投标文件递交截止时间，交纳保证金时须在交易附言中注明：“安徽省全椒县马塘湖整合矿区建筑石料用灰岩矿爆破服务项目（可简写）”投标保证金。 </w:t>
            </w:r>
          </w:p>
          <w:p>
            <w:pPr>
              <w:spacing w:line="400" w:lineRule="exact"/>
              <w:jc w:val="left"/>
              <w:rPr>
                <w:rFonts w:ascii="宋体" w:hAnsi="宋体" w:cs="宋体"/>
                <w:color w:val="auto"/>
                <w:szCs w:val="21"/>
                <w:highlight w:val="none"/>
              </w:rPr>
            </w:pPr>
            <w:r>
              <w:rPr>
                <w:rFonts w:hint="eastAsia"/>
                <w:color w:val="auto"/>
                <w:szCs w:val="21"/>
                <w:highlight w:val="none"/>
              </w:rPr>
              <w:t>注：各投标人请严格按照招标公告和招标文件载明的银行、账户汇入投标保证金，否则在开标时将无法查询保证金是否到账，导致评标委员会否决其投标！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招标人名称</w:t>
            </w:r>
          </w:p>
        </w:tc>
        <w:tc>
          <w:tcPr>
            <w:tcW w:w="7997" w:type="dxa"/>
            <w:vAlign w:val="center"/>
          </w:tcPr>
          <w:p>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 xml:space="preserve">滁州市兴全矿业投资有限公司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招标人地址</w:t>
            </w:r>
          </w:p>
        </w:tc>
        <w:tc>
          <w:tcPr>
            <w:tcW w:w="7997" w:type="dxa"/>
            <w:vAlign w:val="center"/>
          </w:tcPr>
          <w:p>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全椒县六镇镇孙家村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招标人联系人</w:t>
            </w:r>
          </w:p>
        </w:tc>
        <w:tc>
          <w:tcPr>
            <w:tcW w:w="7997" w:type="dxa"/>
            <w:vAlign w:val="center"/>
          </w:tcPr>
          <w:p>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李云鹏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招标人电话</w:t>
            </w:r>
          </w:p>
        </w:tc>
        <w:tc>
          <w:tcPr>
            <w:tcW w:w="7997" w:type="dxa"/>
            <w:vAlign w:val="center"/>
          </w:tcPr>
          <w:p>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17733384043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招标代理机构名称</w:t>
            </w:r>
          </w:p>
        </w:tc>
        <w:tc>
          <w:tcPr>
            <w:tcW w:w="7997" w:type="dxa"/>
            <w:vAlign w:val="center"/>
          </w:tcPr>
          <w:p>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招标代理机构地址</w:t>
            </w:r>
          </w:p>
        </w:tc>
        <w:tc>
          <w:tcPr>
            <w:tcW w:w="7997" w:type="dxa"/>
            <w:vAlign w:val="center"/>
          </w:tcPr>
          <w:p>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滁州市龙蟠大道109号房产大厦6楼605室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    联系人</w:t>
            </w:r>
          </w:p>
        </w:tc>
        <w:tc>
          <w:tcPr>
            <w:tcW w:w="7997" w:type="dxa"/>
            <w:vAlign w:val="center"/>
          </w:tcPr>
          <w:p>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田甜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widowControl/>
              <w:spacing w:line="40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代理机构电话</w:t>
            </w:r>
          </w:p>
        </w:tc>
        <w:tc>
          <w:tcPr>
            <w:tcW w:w="7997" w:type="dxa"/>
            <w:vAlign w:val="center"/>
          </w:tcPr>
          <w:p>
            <w:pPr>
              <w:widowControl/>
              <w:wordWrap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0550-3519519、15955005370</w:t>
            </w:r>
          </w:p>
        </w:tc>
      </w:tr>
    </w:tbl>
    <w:p>
      <w:pPr>
        <w:pStyle w:val="44"/>
        <w:spacing w:before="156" w:beforeLines="50" w:after="156" w:afterLines="50" w:line="440" w:lineRule="exact"/>
        <w:rPr>
          <w:bCs/>
          <w:szCs w:val="32"/>
        </w:rPr>
      </w:pPr>
      <w:bookmarkStart w:id="31" w:name="_Toc78803321"/>
      <w:r>
        <w:rPr>
          <w:rFonts w:hint="eastAsia"/>
          <w:bCs/>
          <w:color w:val="auto"/>
          <w:szCs w:val="32"/>
          <w:highlight w:val="none"/>
        </w:rPr>
        <w:br w:type="page"/>
      </w:r>
      <w:r>
        <w:rPr>
          <w:rFonts w:hint="eastAsia"/>
          <w:bCs/>
          <w:szCs w:val="32"/>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pPr>
        <w:spacing w:before="156" w:beforeLines="50" w:after="156" w:afterLines="50" w:line="440" w:lineRule="exact"/>
        <w:jc w:val="center"/>
        <w:rPr>
          <w:b/>
          <w:bCs/>
          <w:sz w:val="28"/>
          <w:szCs w:val="28"/>
        </w:rPr>
      </w:pPr>
      <w:bookmarkStart w:id="32" w:name="_Toc246996174"/>
      <w:bookmarkStart w:id="33" w:name="_Toc324404814"/>
      <w:bookmarkStart w:id="34" w:name="_Toc144974496"/>
      <w:bookmarkStart w:id="35" w:name="_Toc35424884"/>
      <w:bookmarkStart w:id="36" w:name="_Toc179632545"/>
      <w:bookmarkStart w:id="37" w:name="_Toc152045528"/>
      <w:bookmarkStart w:id="38" w:name="_Toc246996917"/>
      <w:bookmarkStart w:id="39" w:name="_Toc506107268"/>
      <w:bookmarkStart w:id="40" w:name="_Toc35425051"/>
      <w:bookmarkStart w:id="41" w:name="_Toc15058845"/>
      <w:bookmarkStart w:id="42" w:name="_Toc247085688"/>
      <w:bookmarkStart w:id="43" w:name="_Toc152042304"/>
      <w:r>
        <w:rPr>
          <w:rFonts w:hint="eastAsia"/>
          <w:b/>
          <w:bCs/>
          <w:sz w:val="28"/>
          <w:szCs w:val="28"/>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b/>
                <w:szCs w:val="21"/>
              </w:rPr>
            </w:pPr>
            <w:bookmarkStart w:id="44" w:name="_Toc152042305"/>
            <w:bookmarkStart w:id="45" w:name="_Toc246996175"/>
            <w:bookmarkStart w:id="46" w:name="_Toc152045529"/>
            <w:bookmarkStart w:id="47" w:name="_Toc144974497"/>
            <w:bookmarkStart w:id="48" w:name="_Toc247085689"/>
            <w:bookmarkStart w:id="49" w:name="_Toc324404815"/>
            <w:bookmarkStart w:id="50" w:name="_Toc506107269"/>
            <w:bookmarkStart w:id="51" w:name="_Toc179632546"/>
            <w:bookmarkStart w:id="52" w:name="_Toc246996918"/>
            <w:r>
              <w:rPr>
                <w:rFonts w:hint="eastAsia" w:ascii="宋体" w:hAnsi="宋体" w:cs="宋体"/>
                <w:b/>
                <w:szCs w:val="21"/>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b/>
                <w:szCs w:val="21"/>
              </w:rPr>
            </w:pPr>
            <w:r>
              <w:rPr>
                <w:rFonts w:hint="eastAsia" w:ascii="宋体" w:hAnsi="宋体" w:cs="宋体"/>
                <w:b/>
                <w:szCs w:val="21"/>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szCs w:val="21"/>
              </w:rPr>
            </w:pPr>
            <w:r>
              <w:rPr>
                <w:rFonts w:hint="eastAsia" w:ascii="宋体" w:hAnsi="宋体" w:cs="宋体"/>
                <w:kern w:val="0"/>
                <w:szCs w:val="21"/>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szCs w:val="21"/>
              </w:rPr>
            </w:pPr>
            <w:r>
              <w:rPr>
                <w:rFonts w:hint="eastAsia" w:ascii="宋体" w:hAnsi="宋体" w:cs="宋体"/>
                <w:kern w:val="0"/>
                <w:szCs w:val="21"/>
              </w:rPr>
              <w:t>详见招标公告</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szCs w:val="21"/>
              </w:rPr>
            </w:pPr>
            <w:r>
              <w:rPr>
                <w:rFonts w:hint="eastAsia" w:ascii="宋体" w:hAnsi="宋体" w:cs="宋体"/>
                <w:kern w:val="0"/>
                <w:szCs w:val="21"/>
              </w:rPr>
              <w:t>详见招标公告</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szCs w:val="21"/>
              </w:rPr>
            </w:pPr>
            <w:r>
              <w:rPr>
                <w:rFonts w:hint="eastAsia" w:ascii="宋体" w:hAnsi="宋体" w:cs="宋体"/>
                <w:kern w:val="0"/>
                <w:szCs w:val="21"/>
              </w:rPr>
              <w:t>详见招标公告</w:t>
            </w:r>
          </w:p>
        </w:tc>
      </w:tr>
      <w:tr>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jc w:val="center"/>
              <w:textAlignment w:val="auto"/>
              <w:rPr>
                <w:rFonts w:ascii="宋体" w:hAnsi="宋体" w:cs="宋体"/>
                <w:szCs w:val="21"/>
              </w:rPr>
            </w:pPr>
            <w:r>
              <w:rPr>
                <w:rFonts w:hint="eastAsia" w:ascii="宋体" w:hAnsi="宋体" w:cs="宋体"/>
                <w:szCs w:val="21"/>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已落实</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szCs w:val="21"/>
              </w:rPr>
              <w:t>详见招标公告</w:t>
            </w:r>
          </w:p>
        </w:tc>
      </w:tr>
      <w:tr>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94"/>
              <w:keepNext w:val="0"/>
              <w:keepLines w:val="0"/>
              <w:pageBreakBefore w:val="0"/>
              <w:kinsoku/>
              <w:wordWrap/>
              <w:overflowPunct/>
              <w:topLinePunct w:val="0"/>
              <w:autoSpaceDN/>
              <w:bidi w:val="0"/>
              <w:spacing w:line="400" w:lineRule="exact"/>
              <w:textAlignment w:val="auto"/>
              <w:rPr>
                <w:rFonts w:ascii="宋体" w:hAnsi="宋体" w:cs="宋体"/>
              </w:rPr>
            </w:pPr>
            <w:r>
              <w:rPr>
                <w:rFonts w:hint="eastAsia" w:ascii="宋体" w:hAnsi="宋体" w:cs="宋体"/>
              </w:rPr>
              <w:t>综合评估法</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暂定</w:t>
            </w:r>
            <w:r>
              <w:rPr>
                <w:rFonts w:hint="eastAsia" w:ascii="宋体" w:hAnsi="宋体" w:cs="宋体"/>
                <w:color w:val="auto"/>
                <w:szCs w:val="21"/>
                <w:highlight w:val="none"/>
              </w:rPr>
              <w:t>一年。从合同签订之日起计算。</w:t>
            </w:r>
            <w:r>
              <w:rPr>
                <w:rFonts w:hint="eastAsia" w:hAnsi="宋体" w:cs="Arial"/>
                <w:color w:val="auto"/>
                <w:kern w:val="0"/>
                <w:szCs w:val="21"/>
                <w:highlight w:val="none"/>
                <w:shd w:val="clear" w:color="auto" w:fill="FFFFFF"/>
              </w:rPr>
              <w:t>合同期满后，乙方经甲方考核合格</w:t>
            </w:r>
            <w:r>
              <w:rPr>
                <w:rFonts w:hint="eastAsia" w:hAnsi="宋体" w:cs="Arial"/>
                <w:color w:val="auto"/>
                <w:kern w:val="0"/>
                <w:szCs w:val="21"/>
                <w:highlight w:val="none"/>
                <w:shd w:val="clear" w:color="auto" w:fill="FFFFFF"/>
                <w:lang w:val="en-US" w:eastAsia="zh-CN"/>
              </w:rPr>
              <w:t>后</w:t>
            </w:r>
            <w:r>
              <w:rPr>
                <w:rFonts w:hint="eastAsia" w:hAnsi="宋体" w:cs="Arial"/>
                <w:color w:val="auto"/>
                <w:kern w:val="0"/>
                <w:szCs w:val="21"/>
                <w:highlight w:val="none"/>
                <w:shd w:val="clear" w:color="auto" w:fill="FFFFFF"/>
              </w:rPr>
              <w:t>，</w:t>
            </w:r>
            <w:r>
              <w:rPr>
                <w:rFonts w:hint="eastAsia" w:hAnsi="宋体" w:cs="Arial"/>
                <w:color w:val="auto"/>
                <w:kern w:val="0"/>
                <w:szCs w:val="21"/>
                <w:highlight w:val="none"/>
                <w:shd w:val="clear" w:color="auto" w:fill="FFFFFF"/>
                <w:lang w:val="en-US" w:eastAsia="zh-CN"/>
              </w:rPr>
              <w:t>双方协商一致可续</w:t>
            </w:r>
            <w:r>
              <w:rPr>
                <w:rFonts w:hint="eastAsia" w:hAnsi="宋体" w:cs="Arial"/>
                <w:color w:val="auto"/>
                <w:kern w:val="0"/>
                <w:szCs w:val="21"/>
                <w:highlight w:val="none"/>
                <w:shd w:val="clear" w:color="auto" w:fill="FFFFFF"/>
              </w:rPr>
              <w:t>签合同</w:t>
            </w:r>
            <w:r>
              <w:rPr>
                <w:rFonts w:hint="eastAsia" w:hAnsi="宋体" w:cs="Arial"/>
                <w:color w:val="auto"/>
                <w:kern w:val="0"/>
                <w:szCs w:val="21"/>
                <w:highlight w:val="none"/>
                <w:shd w:val="clear" w:color="auto" w:fill="FFFFFF"/>
                <w:lang w:eastAsia="zh-CN"/>
              </w:rPr>
              <w:t>。</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color w:val="auto"/>
                <w:szCs w:val="21"/>
              </w:rPr>
            </w:pPr>
            <w:r>
              <w:rPr>
                <w:rFonts w:hint="eastAsia" w:ascii="宋体" w:hAnsi="宋体" w:cs="宋体"/>
                <w:color w:val="auto"/>
                <w:szCs w:val="21"/>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kinsoku/>
              <w:wordWrap/>
              <w:overflowPunct/>
              <w:topLinePunct w:val="0"/>
              <w:autoSpaceDN/>
              <w:bidi w:val="0"/>
              <w:spacing w:line="400" w:lineRule="exact"/>
              <w:ind w:left="0" w:leftChars="0" w:firstLine="0" w:firstLineChars="0"/>
              <w:textAlignment w:val="auto"/>
              <w:rPr>
                <w:rFonts w:hAnsi="宋体" w:cs="宋体"/>
                <w:color w:val="auto"/>
                <w:szCs w:val="21"/>
              </w:rPr>
            </w:pPr>
            <w:r>
              <w:rPr>
                <w:rFonts w:hAnsi="宋体" w:cs="宋体"/>
                <w:color w:val="auto"/>
                <w:szCs w:val="21"/>
              </w:rPr>
              <w:t>材料要符合国家相应标准，爆破符合《爆破安全规程》（GB6722-2014）相应要求。</w:t>
            </w:r>
          </w:p>
        </w:tc>
      </w:tr>
      <w:tr>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kern w:val="0"/>
                <w:szCs w:val="21"/>
              </w:rPr>
            </w:pPr>
            <w:r>
              <w:rPr>
                <w:rFonts w:hint="eastAsia" w:ascii="宋体" w:hAnsi="宋体" w:cs="宋体"/>
                <w:kern w:val="0"/>
                <w:szCs w:val="21"/>
              </w:rPr>
              <w:t>详见招标公告</w:t>
            </w:r>
          </w:p>
        </w:tc>
      </w:tr>
      <w:tr>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kern w:val="0"/>
                <w:szCs w:val="21"/>
              </w:rPr>
            </w:pPr>
            <w:r>
              <w:rPr>
                <w:rFonts w:hint="eastAsia" w:ascii="宋体" w:hAnsi="宋体" w:cs="宋体"/>
                <w:kern w:val="0"/>
                <w:szCs w:val="21"/>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pacing w:val="-4"/>
                <w:kern w:val="0"/>
                <w:szCs w:val="21"/>
              </w:rPr>
            </w:pPr>
            <w:r>
              <w:rPr>
                <w:rFonts w:hint="eastAsia" w:ascii="宋体" w:hAnsi="宋体" w:cs="宋体"/>
                <w:spacing w:val="-4"/>
                <w:kern w:val="0"/>
                <w:szCs w:val="21"/>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val="0"/>
              <w:autoSpaceDN/>
              <w:bidi w:val="0"/>
              <w:spacing w:line="400" w:lineRule="exact"/>
              <w:textAlignment w:val="auto"/>
              <w:rPr>
                <w:rFonts w:hAnsi="宋体" w:cs="宋体"/>
                <w:spacing w:val="-4"/>
                <w:kern w:val="0"/>
                <w:sz w:val="21"/>
                <w:szCs w:val="21"/>
              </w:rPr>
            </w:pPr>
            <w:r>
              <w:rPr>
                <w:rFonts w:hint="eastAsia" w:hAnsi="宋体" w:cs="宋体"/>
                <w:sz w:val="21"/>
                <w:szCs w:val="21"/>
              </w:rPr>
              <w:t>☑</w:t>
            </w:r>
            <w:r>
              <w:rPr>
                <w:rFonts w:hint="eastAsia" w:hAnsi="宋体" w:cs="宋体"/>
                <w:spacing w:val="-4"/>
                <w:kern w:val="0"/>
                <w:sz w:val="21"/>
                <w:szCs w:val="21"/>
              </w:rPr>
              <w:t>不组织，投标人自行组织踏勘现场</w:t>
            </w:r>
            <w:r>
              <w:rPr>
                <w:rFonts w:hint="eastAsia" w:hAnsi="宋体" w:cs="宋体"/>
                <w:sz w:val="21"/>
                <w:szCs w:val="21"/>
              </w:rPr>
              <w:t>；□组织</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pacing w:val="-4"/>
                <w:kern w:val="0"/>
                <w:szCs w:val="21"/>
              </w:rPr>
            </w:pPr>
            <w:r>
              <w:rPr>
                <w:rFonts w:hint="eastAsia" w:ascii="宋体" w:hAnsi="宋体" w:cs="宋体"/>
                <w:spacing w:val="-4"/>
                <w:kern w:val="0"/>
                <w:szCs w:val="21"/>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val="0"/>
              <w:autoSpaceDN/>
              <w:bidi w:val="0"/>
              <w:spacing w:line="400" w:lineRule="exact"/>
              <w:textAlignment w:val="auto"/>
              <w:rPr>
                <w:rFonts w:hAnsi="宋体" w:cs="宋体"/>
                <w:spacing w:val="-4"/>
                <w:kern w:val="0"/>
                <w:sz w:val="21"/>
                <w:szCs w:val="21"/>
              </w:rPr>
            </w:pPr>
            <w:r>
              <w:rPr>
                <w:rFonts w:hint="eastAsia" w:hAnsi="宋体" w:cs="宋体"/>
                <w:sz w:val="21"/>
                <w:szCs w:val="21"/>
              </w:rPr>
              <w:t>☑</w:t>
            </w:r>
            <w:r>
              <w:rPr>
                <w:rFonts w:hint="eastAsia" w:hAnsi="宋体" w:cs="宋体"/>
                <w:spacing w:val="-4"/>
                <w:kern w:val="0"/>
                <w:sz w:val="21"/>
                <w:szCs w:val="21"/>
              </w:rPr>
              <w:t>不召开</w:t>
            </w:r>
            <w:r>
              <w:rPr>
                <w:rFonts w:hint="eastAsia" w:hAnsi="宋体" w:cs="宋体"/>
                <w:sz w:val="21"/>
                <w:szCs w:val="21"/>
              </w:rPr>
              <w:t>；□召开</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25"/>
              <w:keepNext w:val="0"/>
              <w:keepLines w:val="0"/>
              <w:pageBreakBefore w:val="0"/>
              <w:kinsoku/>
              <w:wordWrap/>
              <w:overflowPunct/>
              <w:topLinePunct w:val="0"/>
              <w:autoSpaceDN/>
              <w:bidi w:val="0"/>
              <w:spacing w:line="400" w:lineRule="exact"/>
              <w:textAlignment w:val="auto"/>
              <w:rPr>
                <w:rFonts w:hAnsi="宋体" w:cs="宋体"/>
                <w:szCs w:val="21"/>
              </w:rPr>
            </w:pPr>
            <w:r>
              <w:rPr>
                <w:rFonts w:hint="eastAsia" w:ascii="宋体" w:hAnsi="宋体" w:cs="宋体"/>
                <w:kern w:val="0"/>
                <w:szCs w:val="21"/>
              </w:rPr>
              <w:t>如投标人对招标文件有疑问，</w:t>
            </w:r>
            <w:r>
              <w:rPr>
                <w:rFonts w:hint="eastAsia" w:ascii="宋体" w:hAnsi="宋体" w:cs="宋体"/>
                <w:b/>
                <w:bCs/>
                <w:kern w:val="0"/>
                <w:szCs w:val="21"/>
              </w:rPr>
              <w:t>请于</w:t>
            </w:r>
            <w:r>
              <w:rPr>
                <w:rFonts w:hint="eastAsia" w:ascii="宋体" w:hAnsi="宋体" w:cs="宋体"/>
                <w:b/>
                <w:bCs/>
                <w:szCs w:val="21"/>
              </w:rPr>
              <w:t>2024年</w:t>
            </w:r>
            <w:r>
              <w:rPr>
                <w:rFonts w:hint="eastAsia" w:ascii="宋体" w:hAnsi="宋体" w:cs="宋体"/>
                <w:b/>
                <w:bCs/>
                <w:szCs w:val="21"/>
                <w:lang w:val="en-US" w:eastAsia="zh-CN"/>
              </w:rPr>
              <w:t>5</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日17时</w:t>
            </w:r>
            <w:r>
              <w:rPr>
                <w:rFonts w:hint="eastAsia" w:ascii="宋体" w:hAnsi="宋体" w:cs="宋体"/>
                <w:b/>
                <w:bCs/>
                <w:kern w:val="0"/>
                <w:szCs w:val="21"/>
              </w:rPr>
              <w:t>前</w:t>
            </w:r>
            <w:r>
              <w:rPr>
                <w:rFonts w:hint="eastAsia" w:ascii="宋体" w:hAnsi="宋体" w:cs="宋体"/>
                <w:kern w:val="0"/>
                <w:szCs w:val="21"/>
              </w:rPr>
              <w:t>将疑问内容以电子邮件形式发送至czsctgczx@163.com（滁州市城投工程咨询管理有限公司邮箱）</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szCs w:val="21"/>
              </w:rPr>
            </w:pPr>
            <w:r>
              <w:fldChar w:fldCharType="begin"/>
            </w:r>
            <w:r>
              <w:instrText xml:space="preserve"> HYPERLINK "mailto:日11时前将疑问内容以电子邮件形式发送至66267656@qq.com（安徽佳宝信项目管理有限公司邮箱），招标人将在2020年6月" </w:instrText>
            </w:r>
            <w:r>
              <w:fldChar w:fldCharType="separate"/>
            </w:r>
            <w:r>
              <w:rPr>
                <w:rFonts w:hint="eastAsia" w:ascii="宋体" w:hAnsi="宋体" w:cs="宋体"/>
                <w:b/>
                <w:bCs/>
                <w:szCs w:val="21"/>
              </w:rPr>
              <w:t>招标人将在2024年</w:t>
            </w:r>
            <w:r>
              <w:rPr>
                <w:rFonts w:hint="eastAsia" w:ascii="宋体" w:hAnsi="宋体" w:cs="宋体"/>
                <w:b/>
                <w:bCs/>
                <w:szCs w:val="21"/>
                <w:lang w:val="en-US" w:eastAsia="zh-CN"/>
              </w:rPr>
              <w:t>5</w:t>
            </w:r>
            <w:r>
              <w:rPr>
                <w:rFonts w:hint="eastAsia" w:ascii="宋体" w:hAnsi="宋体" w:cs="宋体"/>
                <w:b/>
                <w:bCs/>
                <w:szCs w:val="21"/>
              </w:rPr>
              <w:t>月</w:t>
            </w:r>
            <w:r>
              <w:rPr>
                <w:rFonts w:hint="eastAsia" w:ascii="宋体" w:hAnsi="宋体" w:cs="宋体"/>
                <w:b/>
                <w:bCs/>
                <w:szCs w:val="21"/>
              </w:rPr>
              <w:fldChar w:fldCharType="end"/>
            </w:r>
            <w:r>
              <w:rPr>
                <w:rFonts w:hint="eastAsia" w:ascii="宋体" w:hAnsi="宋体" w:cs="宋体"/>
                <w:b/>
                <w:bCs/>
                <w:szCs w:val="21"/>
                <w:lang w:val="en-US" w:eastAsia="zh-CN"/>
              </w:rPr>
              <w:t>29</w:t>
            </w:r>
            <w:r>
              <w:rPr>
                <w:rFonts w:hint="eastAsia" w:ascii="宋体" w:hAnsi="宋体" w:cs="宋体"/>
                <w:b/>
                <w:bCs/>
                <w:szCs w:val="21"/>
              </w:rPr>
              <w:t>日17时后</w:t>
            </w:r>
            <w:r>
              <w:rPr>
                <w:rFonts w:hint="eastAsia" w:ascii="宋体" w:hAnsi="宋体" w:cs="宋体"/>
                <w:szCs w:val="21"/>
              </w:rPr>
              <w:t>在“</w:t>
            </w:r>
            <w:r>
              <w:rPr>
                <w:rFonts w:hint="eastAsia" w:ascii="宋体" w:hAnsi="宋体" w:cs="宋体"/>
                <w:szCs w:val="21"/>
                <w:lang w:bidi="ar"/>
              </w:rPr>
              <w:t>滁州市兴滁矿业投资集团有限公司</w:t>
            </w:r>
            <w:r>
              <w:rPr>
                <w:rFonts w:hint="eastAsia" w:ascii="宋体" w:hAnsi="宋体" w:cs="宋体"/>
                <w:szCs w:val="21"/>
              </w:rPr>
              <w:t>”</w:t>
            </w:r>
            <w:r>
              <w:rPr>
                <w:rFonts w:hint="eastAsia" w:ascii="宋体" w:hAnsi="宋体" w:cs="宋体"/>
                <w:szCs w:val="21"/>
                <w:lang w:bidi="ar"/>
              </w:rPr>
              <w:t>（http://www.xckytz.com/）</w:t>
            </w:r>
            <w:r>
              <w:rPr>
                <w:rFonts w:hint="eastAsia" w:ascii="宋体" w:hAnsi="宋体" w:cs="宋体"/>
                <w:szCs w:val="21"/>
              </w:rPr>
              <w:t>发布 ，请各位投标人注意查看有关澄清内容，如不及时查看造成后果由投标人自负。</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val="0"/>
              <w:autoSpaceDN/>
              <w:bidi w:val="0"/>
              <w:spacing w:line="400" w:lineRule="exact"/>
              <w:jc w:val="left"/>
              <w:textAlignment w:val="auto"/>
              <w:rPr>
                <w:rFonts w:hAnsi="宋体" w:cs="宋体"/>
                <w:sz w:val="21"/>
                <w:szCs w:val="21"/>
              </w:rPr>
            </w:pPr>
            <w:r>
              <w:rPr>
                <w:rFonts w:hint="eastAsia" w:hAnsi="宋体" w:cs="宋体"/>
                <w:sz w:val="21"/>
                <w:szCs w:val="21"/>
              </w:rPr>
              <w:t>☑不允许</w:t>
            </w:r>
          </w:p>
          <w:p>
            <w:pPr>
              <w:keepNext w:val="0"/>
              <w:keepLines w:val="0"/>
              <w:pageBreakBefore w:val="0"/>
              <w:kinsoku/>
              <w:wordWrap/>
              <w:overflowPunct/>
              <w:topLinePunct w:val="0"/>
              <w:autoSpaceDN/>
              <w:bidi w:val="0"/>
              <w:spacing w:line="400" w:lineRule="exact"/>
              <w:jc w:val="left"/>
              <w:textAlignment w:val="auto"/>
              <w:rPr>
                <w:szCs w:val="21"/>
              </w:rPr>
            </w:pPr>
            <w:r>
              <w:rPr>
                <w:rFonts w:hint="eastAsia" w:hAnsi="宋体" w:cs="宋体"/>
                <w:szCs w:val="21"/>
              </w:rPr>
              <w:t>□</w:t>
            </w:r>
            <w:r>
              <w:rPr>
                <w:rFonts w:hint="eastAsia" w:ascii="宋体" w:hAnsi="宋体" w:cs="宋体"/>
                <w:szCs w:val="21"/>
              </w:rPr>
              <w:t>允许，分包内容要求：/</w:t>
            </w:r>
          </w:p>
          <w:p>
            <w:pPr>
              <w:keepNext w:val="0"/>
              <w:keepLines w:val="0"/>
              <w:pageBreakBefore w:val="0"/>
              <w:kinsoku/>
              <w:wordWrap/>
              <w:overflowPunct/>
              <w:topLinePunct w:val="0"/>
              <w:autoSpaceDN/>
              <w:bidi w:val="0"/>
              <w:spacing w:line="400" w:lineRule="exact"/>
              <w:jc w:val="left"/>
              <w:textAlignment w:val="auto"/>
              <w:rPr>
                <w:rFonts w:ascii="宋体" w:hAnsi="宋体" w:cs="宋体"/>
                <w:szCs w:val="21"/>
              </w:rPr>
            </w:pPr>
            <w:r>
              <w:rPr>
                <w:rFonts w:hint="eastAsia" w:ascii="宋体" w:hAnsi="宋体" w:cs="宋体"/>
                <w:szCs w:val="21"/>
              </w:rPr>
              <w:t>分包金额要求：/</w:t>
            </w:r>
          </w:p>
          <w:p>
            <w:pPr>
              <w:pStyle w:val="19"/>
              <w:keepNext w:val="0"/>
              <w:keepLines w:val="0"/>
              <w:pageBreakBefore w:val="0"/>
              <w:kinsoku/>
              <w:wordWrap/>
              <w:overflowPunct/>
              <w:topLinePunct w:val="0"/>
              <w:autoSpaceDN/>
              <w:bidi w:val="0"/>
              <w:spacing w:line="400" w:lineRule="exact"/>
              <w:jc w:val="left"/>
              <w:textAlignment w:val="auto"/>
            </w:pPr>
            <w:r>
              <w:rPr>
                <w:rFonts w:hint="eastAsia" w:hAnsi="宋体" w:cs="宋体"/>
                <w:sz w:val="21"/>
                <w:szCs w:val="21"/>
              </w:rPr>
              <w:t>接受分包的第三人资质要求：/</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val="0"/>
              <w:autoSpaceDN/>
              <w:bidi w:val="0"/>
              <w:spacing w:line="400" w:lineRule="exact"/>
              <w:textAlignment w:val="auto"/>
              <w:rPr>
                <w:rFonts w:hAnsi="宋体" w:cs="宋体"/>
                <w:sz w:val="21"/>
                <w:szCs w:val="21"/>
              </w:rPr>
            </w:pPr>
            <w:r>
              <w:rPr>
                <w:rFonts w:hint="eastAsia"/>
              </w:rPr>
              <w:t>☑</w:t>
            </w:r>
            <w:r>
              <w:rPr>
                <w:rFonts w:hint="eastAsia" w:hAnsi="宋体" w:cs="宋体"/>
                <w:sz w:val="21"/>
                <w:szCs w:val="21"/>
              </w:rPr>
              <w:t>不允许；□允许</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ascii="宋体" w:hAnsi="宋体" w:cs="宋体"/>
                <w:szCs w:val="21"/>
              </w:rPr>
              <w:t>招标人提供的其他材料及招标澄清答疑文件等。</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ascii="宋体" w:hAnsi="宋体" w:cs="宋体"/>
                <w:szCs w:val="21"/>
              </w:rPr>
              <w:t>同本表第13条</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jc w:val="center"/>
              <w:textAlignment w:val="auto"/>
              <w:rPr>
                <w:rFonts w:ascii="宋体" w:hAnsi="宋体" w:cs="宋体"/>
                <w:szCs w:val="21"/>
              </w:rPr>
            </w:pPr>
            <w:r>
              <w:rPr>
                <w:rFonts w:hint="eastAsia" w:ascii="宋体" w:hAnsi="宋体" w:cs="宋体"/>
                <w:szCs w:val="21"/>
              </w:rPr>
              <w:t>增值税税金</w:t>
            </w:r>
          </w:p>
        </w:tc>
        <w:tc>
          <w:tcPr>
            <w:tcW w:w="7251"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bCs/>
                <w:snapToGrid w:val="0"/>
                <w:kern w:val="0"/>
                <w:szCs w:val="21"/>
              </w:rPr>
            </w:pPr>
            <w:r>
              <w:rPr>
                <w:rFonts w:hint="eastAsia" w:ascii="宋体" w:hAnsi="宋体" w:cs="宋体"/>
                <w:bCs/>
                <w:snapToGrid w:val="0"/>
                <w:kern w:val="0"/>
                <w:szCs w:val="21"/>
              </w:rPr>
              <w:t>（1）计税方法：</w:t>
            </w:r>
          </w:p>
          <w:p>
            <w:pPr>
              <w:keepNext w:val="0"/>
              <w:keepLines w:val="0"/>
              <w:pageBreakBefore w:val="0"/>
              <w:kinsoku/>
              <w:wordWrap/>
              <w:overflowPunct/>
              <w:topLinePunct w:val="0"/>
              <w:autoSpaceDN/>
              <w:bidi w:val="0"/>
              <w:adjustRightInd w:val="0"/>
              <w:snapToGrid w:val="0"/>
              <w:spacing w:line="400" w:lineRule="exact"/>
              <w:ind w:firstLine="420" w:firstLineChars="200"/>
              <w:textAlignment w:val="auto"/>
              <w:rPr>
                <w:rFonts w:ascii="宋体" w:hAnsi="宋体" w:cs="宋体"/>
                <w:bCs/>
                <w:snapToGrid w:val="0"/>
                <w:kern w:val="0"/>
                <w:szCs w:val="21"/>
              </w:rPr>
            </w:pPr>
            <w:r>
              <w:rPr>
                <w:rFonts w:hint="eastAsia" w:ascii="宋体" w:hAnsi="宋体" w:cs="宋体"/>
                <w:bCs/>
                <w:snapToGrid w:val="0"/>
                <w:kern w:val="0"/>
                <w:szCs w:val="21"/>
              </w:rPr>
              <w:t>☑一般计税方法</w:t>
            </w:r>
          </w:p>
          <w:p>
            <w:pPr>
              <w:keepNext w:val="0"/>
              <w:keepLines w:val="0"/>
              <w:pageBreakBefore w:val="0"/>
              <w:kinsoku/>
              <w:wordWrap/>
              <w:overflowPunct/>
              <w:topLinePunct w:val="0"/>
              <w:autoSpaceDN/>
              <w:bidi w:val="0"/>
              <w:adjustRightInd w:val="0"/>
              <w:snapToGrid w:val="0"/>
              <w:spacing w:line="400" w:lineRule="exact"/>
              <w:ind w:firstLine="420" w:firstLineChars="200"/>
              <w:textAlignment w:val="auto"/>
              <w:rPr>
                <w:rFonts w:ascii="宋体" w:hAnsi="宋体" w:cs="宋体"/>
                <w:bCs/>
                <w:snapToGrid w:val="0"/>
                <w:kern w:val="0"/>
                <w:szCs w:val="21"/>
              </w:rPr>
            </w:pPr>
            <w:r>
              <w:rPr>
                <w:rFonts w:hint="eastAsia" w:ascii="宋体" w:hAnsi="宋体" w:cs="宋体"/>
                <w:bCs/>
                <w:snapToGrid w:val="0"/>
                <w:kern w:val="0"/>
                <w:szCs w:val="21"/>
              </w:rPr>
              <w:t xml:space="preserve">□简易计算方法 </w:t>
            </w:r>
          </w:p>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bCs/>
                <w:snapToGrid w:val="0"/>
                <w:kern w:val="0"/>
                <w:szCs w:val="21"/>
              </w:rPr>
            </w:pPr>
            <w:r>
              <w:rPr>
                <w:rFonts w:hint="eastAsia" w:ascii="宋体" w:hAnsi="宋体" w:cs="宋体"/>
                <w:bCs/>
                <w:snapToGrid w:val="0"/>
                <w:kern w:val="0"/>
                <w:szCs w:val="21"/>
              </w:rPr>
              <w:t>（2）发票类型：</w:t>
            </w:r>
          </w:p>
          <w:p>
            <w:pPr>
              <w:keepNext w:val="0"/>
              <w:keepLines w:val="0"/>
              <w:pageBreakBefore w:val="0"/>
              <w:kinsoku/>
              <w:wordWrap/>
              <w:overflowPunct/>
              <w:topLinePunct w:val="0"/>
              <w:autoSpaceDN/>
              <w:bidi w:val="0"/>
              <w:adjustRightInd w:val="0"/>
              <w:snapToGrid w:val="0"/>
              <w:spacing w:line="400" w:lineRule="exact"/>
              <w:ind w:firstLine="420" w:firstLineChars="200"/>
              <w:textAlignment w:val="auto"/>
              <w:rPr>
                <w:rFonts w:ascii="宋体" w:hAnsi="宋体" w:cs="宋体"/>
                <w:bCs/>
                <w:snapToGrid w:val="0"/>
                <w:kern w:val="0"/>
                <w:szCs w:val="21"/>
              </w:rPr>
            </w:pPr>
            <w:r>
              <w:rPr>
                <w:rFonts w:hint="eastAsia" w:ascii="宋体" w:hAnsi="宋体" w:cs="宋体"/>
                <w:bCs/>
                <w:snapToGrid w:val="0"/>
                <w:kern w:val="0"/>
                <w:szCs w:val="21"/>
              </w:rPr>
              <w:t>☑增值税专用发票</w:t>
            </w:r>
          </w:p>
          <w:p>
            <w:pPr>
              <w:keepNext w:val="0"/>
              <w:keepLines w:val="0"/>
              <w:pageBreakBefore w:val="0"/>
              <w:kinsoku/>
              <w:wordWrap/>
              <w:overflowPunct/>
              <w:topLinePunct w:val="0"/>
              <w:autoSpaceDN/>
              <w:bidi w:val="0"/>
              <w:adjustRightInd w:val="0"/>
              <w:snapToGrid w:val="0"/>
              <w:spacing w:line="400" w:lineRule="exact"/>
              <w:ind w:firstLine="420" w:firstLineChars="200"/>
              <w:textAlignment w:val="auto"/>
              <w:rPr>
                <w:rFonts w:ascii="宋体" w:hAnsi="宋体" w:cs="宋体"/>
                <w:bCs/>
                <w:snapToGrid w:val="0"/>
                <w:kern w:val="0"/>
                <w:szCs w:val="21"/>
              </w:rPr>
            </w:pPr>
            <w:r>
              <w:rPr>
                <w:rFonts w:hint="eastAsia" w:ascii="宋体" w:hAnsi="宋体" w:cs="宋体"/>
                <w:bCs/>
                <w:snapToGrid w:val="0"/>
                <w:kern w:val="0"/>
                <w:szCs w:val="21"/>
              </w:rPr>
              <w:t>□增值税普通发票</w:t>
            </w:r>
          </w:p>
          <w:p>
            <w:pPr>
              <w:keepNext w:val="0"/>
              <w:keepLines w:val="0"/>
              <w:pageBreakBefore w:val="0"/>
              <w:numPr>
                <w:ilvl w:val="0"/>
                <w:numId w:val="1"/>
              </w:numPr>
              <w:kinsoku/>
              <w:wordWrap/>
              <w:overflowPunct/>
              <w:topLinePunct w:val="0"/>
              <w:autoSpaceDN/>
              <w:bidi w:val="0"/>
              <w:adjustRightInd w:val="0"/>
              <w:snapToGrid w:val="0"/>
              <w:spacing w:line="400" w:lineRule="exact"/>
              <w:textAlignment w:val="auto"/>
              <w:rPr>
                <w:rFonts w:ascii="宋体" w:hAnsi="宋体" w:cs="宋体"/>
                <w:bCs/>
                <w:snapToGrid w:val="0"/>
                <w:kern w:val="0"/>
                <w:szCs w:val="21"/>
              </w:rPr>
            </w:pPr>
            <w:r>
              <w:rPr>
                <w:rFonts w:hint="eastAsia" w:ascii="宋体" w:hAnsi="宋体" w:cs="宋体"/>
                <w:bCs/>
                <w:snapToGrid w:val="0"/>
                <w:kern w:val="0"/>
                <w:szCs w:val="21"/>
              </w:rPr>
              <w:t>增值税税率按照国家有关规定执行。</w:t>
            </w:r>
          </w:p>
          <w:p>
            <w:pPr>
              <w:pStyle w:val="19"/>
              <w:keepNext w:val="0"/>
              <w:keepLines w:val="0"/>
              <w:pageBreakBefore w:val="0"/>
              <w:kinsoku/>
              <w:wordWrap/>
              <w:overflowPunct/>
              <w:topLinePunct w:val="0"/>
              <w:autoSpaceDN/>
              <w:bidi w:val="0"/>
              <w:adjustRightInd w:val="0"/>
              <w:snapToGrid w:val="0"/>
              <w:spacing w:line="400" w:lineRule="exact"/>
              <w:ind w:firstLine="525" w:firstLineChars="250"/>
              <w:textAlignment w:val="auto"/>
              <w:rPr>
                <w:rFonts w:hAnsi="宋体" w:cs="宋体"/>
                <w:szCs w:val="21"/>
              </w:rPr>
            </w:pPr>
            <w:r>
              <w:rPr>
                <w:rFonts w:hint="eastAsia" w:hAnsi="宋体" w:cs="宋体"/>
                <w:bCs/>
                <w:snapToGrid w:val="0"/>
                <w:kern w:val="0"/>
                <w:sz w:val="21"/>
                <w:szCs w:val="21"/>
              </w:rPr>
              <w:t>其它：</w:t>
            </w:r>
            <w:r>
              <w:rPr>
                <w:rFonts w:hint="eastAsia" w:hAnsi="宋体" w:cs="宋体"/>
                <w:bCs/>
                <w:snapToGrid w:val="0"/>
                <w:kern w:val="0"/>
                <w:sz w:val="21"/>
                <w:szCs w:val="21"/>
                <w:u w:val="single"/>
              </w:rPr>
              <w:t>/</w:t>
            </w:r>
            <w:r>
              <w:rPr>
                <w:rFonts w:hint="eastAsia" w:hAnsi="宋体" w:cs="宋体"/>
                <w:bCs/>
                <w:snapToGrid w:val="0"/>
                <w:kern w:val="0"/>
                <w:sz w:val="21"/>
                <w:szCs w:val="21"/>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jc w:val="center"/>
              <w:textAlignment w:val="auto"/>
              <w:rPr>
                <w:rFonts w:ascii="宋体" w:hAnsi="宋体" w:cs="宋体"/>
                <w:color w:val="auto"/>
                <w:szCs w:val="21"/>
              </w:rPr>
            </w:pPr>
            <w:r>
              <w:rPr>
                <w:rFonts w:hint="eastAsia" w:ascii="宋体" w:hAnsi="宋体" w:cs="宋体"/>
                <w:b/>
                <w:bCs/>
                <w:color w:val="auto"/>
                <w:szCs w:val="21"/>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color w:val="auto"/>
                <w:szCs w:val="21"/>
              </w:rPr>
            </w:pPr>
            <w:r>
              <w:rPr>
                <w:rFonts w:hint="eastAsia" w:ascii="宋体" w:hAnsi="宋体" w:cs="宋体"/>
                <w:b/>
                <w:bCs/>
                <w:color w:val="auto"/>
                <w:szCs w:val="21"/>
              </w:rPr>
              <w:t xml:space="preserve">本项目最高限价为4.5元/吨，投标报价不得高于本项目设置的最高限价，否则，其投标文件按无效标处理。  </w:t>
            </w:r>
            <w:r>
              <w:rPr>
                <w:rFonts w:hint="eastAsia" w:ascii="宋体" w:hAnsi="宋体" w:cs="宋体"/>
                <w:color w:val="auto"/>
                <w:szCs w:val="21"/>
              </w:rPr>
              <w:t xml:space="preserve">   </w:t>
            </w:r>
          </w:p>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color w:val="auto"/>
                <w:szCs w:val="21"/>
              </w:rPr>
            </w:pPr>
            <w:r>
              <w:rPr>
                <w:rFonts w:hint="eastAsia" w:ascii="宋体" w:hAnsi="宋体" w:cs="宋体"/>
                <w:color w:val="auto"/>
                <w:szCs w:val="21"/>
              </w:rPr>
              <w:t>发布时间：</w:t>
            </w:r>
            <w:r>
              <w:rPr>
                <w:rFonts w:hint="eastAsia" w:ascii="宋体" w:hAnsi="宋体" w:cs="宋体"/>
                <w:color w:val="auto"/>
                <w:szCs w:val="21"/>
                <w:u w:val="single"/>
              </w:rPr>
              <w:t xml:space="preserve">  2024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24</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17  </w:t>
            </w:r>
            <w:r>
              <w:rPr>
                <w:rFonts w:hint="eastAsia" w:ascii="宋体" w:hAnsi="宋体" w:cs="宋体"/>
                <w:color w:val="auto"/>
                <w:szCs w:val="21"/>
              </w:rPr>
              <w:t>时</w:t>
            </w:r>
            <w:r>
              <w:rPr>
                <w:rFonts w:hint="eastAsia" w:ascii="宋体" w:hAnsi="宋体" w:cs="宋体"/>
                <w:color w:val="auto"/>
                <w:szCs w:val="21"/>
                <w:lang w:val="en-US" w:eastAsia="zh-CN"/>
              </w:rPr>
              <w:t>后</w:t>
            </w:r>
            <w:r>
              <w:rPr>
                <w:rFonts w:hint="eastAsia" w:ascii="宋体" w:hAnsi="宋体" w:cs="宋体"/>
                <w:color w:val="auto"/>
                <w:szCs w:val="21"/>
              </w:rPr>
              <w:t>。</w:t>
            </w:r>
          </w:p>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b/>
                <w:color w:val="auto"/>
                <w:szCs w:val="21"/>
                <w:u w:val="single"/>
              </w:rPr>
            </w:pPr>
            <w:r>
              <w:rPr>
                <w:rFonts w:hint="eastAsia" w:ascii="宋体" w:hAnsi="宋体" w:cs="宋体"/>
                <w:b/>
                <w:bCs/>
                <w:color w:val="auto"/>
                <w:szCs w:val="21"/>
              </w:rPr>
              <w:t xml:space="preserve">发布媒介：“滁州市兴滁矿业投资集团有限公司”（http://www.xckytz.com/）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ascii="宋体" w:hAnsi="宋体" w:cs="宋体"/>
                <w:kern w:val="0"/>
                <w:szCs w:val="21"/>
              </w:rPr>
              <w:t>自投标人递交投标文件截止之日起计算90日历天。在此期限内，凡符合本招标文件要求的投标文件均保持有效。</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ascii="宋体" w:hAnsi="宋体" w:cs="宋体"/>
                <w:szCs w:val="21"/>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spacing w:line="400" w:lineRule="exact"/>
              <w:jc w:val="left"/>
              <w:textAlignment w:val="auto"/>
              <w:rPr>
                <w:rFonts w:ascii="宋体" w:hAnsi="宋体" w:cs="宋体"/>
                <w:b/>
                <w:kern w:val="0"/>
                <w:szCs w:val="21"/>
              </w:rPr>
            </w:pPr>
            <w:r>
              <w:rPr>
                <w:rFonts w:hint="eastAsia" w:ascii="宋体" w:hAnsi="宋体" w:cs="宋体"/>
                <w:b/>
                <w:kern w:val="0"/>
                <w:szCs w:val="21"/>
              </w:rPr>
              <w:t>电子投标文件须按格式文件要求签字或盖章，招标文件格式中要求“签章”部位，指签字或盖章后扫描上传。</w:t>
            </w:r>
          </w:p>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ascii="宋体" w:hAnsi="宋体" w:cs="宋体"/>
                <w:b/>
                <w:kern w:val="0"/>
                <w:szCs w:val="21"/>
              </w:rPr>
              <w:t>否则经评委会一致认定按照无效投标处理。</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spacing w:line="400" w:lineRule="exact"/>
              <w:jc w:val="left"/>
              <w:textAlignment w:val="auto"/>
            </w:pPr>
            <w:r>
              <w:rPr>
                <w:rFonts w:hint="eastAsia" w:ascii="宋体" w:hAnsi="宋体" w:cs="宋体"/>
                <w:b/>
                <w:kern w:val="0"/>
                <w:szCs w:val="21"/>
              </w:rPr>
              <w:t>以电子邮件递交的电子投标文件：一份。以投标人在投标截止时间前电子邮件递交的电子投标文件为准，逾期提交的，投标文件将被拒绝。</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autoSpaceDE w:val="0"/>
              <w:spacing w:line="440" w:lineRule="exact"/>
              <w:jc w:val="center"/>
              <w:rPr>
                <w:rFonts w:ascii="宋体" w:hAnsi="宋体" w:cs="宋体"/>
                <w:szCs w:val="21"/>
              </w:rPr>
            </w:pPr>
            <w:r>
              <w:rPr>
                <w:rFonts w:hint="eastAsia" w:ascii="宋体" w:hAnsi="宋体" w:cs="宋体"/>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szCs w:val="21"/>
              </w:rPr>
              <w:t>投标文件的提交</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left"/>
              <w:textAlignment w:val="auto"/>
              <w:rPr>
                <w:rStyle w:val="58"/>
                <w:rFonts w:ascii="宋体" w:hAnsi="宋体" w:cs="宋体"/>
                <w:b/>
                <w:bCs/>
                <w:color w:val="auto"/>
                <w:szCs w:val="21"/>
              </w:rPr>
            </w:pPr>
            <w:r>
              <w:rPr>
                <w:rFonts w:hint="eastAsia" w:ascii="宋体" w:hAnsi="宋体" w:cs="宋体"/>
                <w:b/>
                <w:bCs/>
                <w:szCs w:val="21"/>
              </w:rPr>
              <w:t>1、投标人须在投标文件截止时间前（2024年5月</w:t>
            </w:r>
            <w:r>
              <w:rPr>
                <w:rFonts w:hint="eastAsia" w:ascii="宋体" w:hAnsi="宋体" w:cs="宋体"/>
                <w:b/>
                <w:bCs/>
                <w:szCs w:val="21"/>
                <w:lang w:val="en-US" w:eastAsia="zh-CN"/>
              </w:rPr>
              <w:t>30</w:t>
            </w:r>
            <w:r>
              <w:fldChar w:fldCharType="begin"/>
            </w:r>
            <w: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fldChar w:fldCharType="separate"/>
            </w:r>
            <w:r>
              <w:rPr>
                <w:rStyle w:val="58"/>
                <w:rFonts w:hint="eastAsia" w:ascii="宋体" w:hAnsi="宋体" w:cs="宋体"/>
                <w:b/>
                <w:bCs/>
                <w:color w:val="auto"/>
                <w:szCs w:val="21"/>
              </w:rPr>
              <w:t>日1</w:t>
            </w:r>
            <w:r>
              <w:rPr>
                <w:rStyle w:val="58"/>
                <w:rFonts w:hint="eastAsia" w:ascii="宋体" w:hAnsi="宋体" w:cs="宋体"/>
                <w:b/>
                <w:bCs/>
                <w:color w:val="auto"/>
                <w:szCs w:val="21"/>
                <w:lang w:val="en-US" w:eastAsia="zh-CN"/>
              </w:rPr>
              <w:t>5</w:t>
            </w:r>
            <w:r>
              <w:rPr>
                <w:rStyle w:val="58"/>
                <w:rFonts w:hint="eastAsia" w:ascii="宋体" w:hAnsi="宋体" w:cs="宋体"/>
                <w:b/>
                <w:bCs/>
                <w:color w:val="auto"/>
                <w:szCs w:val="21"/>
              </w:rPr>
              <w:t>时00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2024年</w:t>
            </w:r>
            <w:r>
              <w:rPr>
                <w:rStyle w:val="58"/>
                <w:rFonts w:hint="eastAsia" w:ascii="宋体" w:hAnsi="宋体" w:cs="宋体"/>
                <w:b/>
                <w:bCs/>
                <w:color w:val="auto"/>
                <w:szCs w:val="21"/>
              </w:rPr>
              <w:fldChar w:fldCharType="end"/>
            </w:r>
            <w:r>
              <w:rPr>
                <w:rFonts w:hint="eastAsia" w:ascii="宋体" w:hAnsi="宋体" w:cs="宋体"/>
                <w:b/>
                <w:bCs/>
                <w:szCs w:val="21"/>
              </w:rPr>
              <w:t>5月</w:t>
            </w:r>
            <w:r>
              <w:rPr>
                <w:rFonts w:hint="eastAsia" w:ascii="宋体" w:hAnsi="宋体" w:cs="宋体"/>
                <w:b/>
                <w:bCs/>
                <w:szCs w:val="21"/>
                <w:lang w:val="en-US" w:eastAsia="zh-CN"/>
              </w:rPr>
              <w:t>30</w:t>
            </w:r>
            <w:r>
              <w:rPr>
                <w:rFonts w:hint="eastAsia" w:ascii="宋体" w:hAnsi="宋体" w:cs="宋体"/>
                <w:b/>
                <w:bCs/>
                <w:szCs w:val="21"/>
              </w:rPr>
              <w:t>日</w:t>
            </w:r>
            <w:r>
              <w:rPr>
                <w:rFonts w:hint="eastAsia" w:ascii="宋体" w:hAnsi="宋体" w:cs="宋体"/>
                <w:b/>
                <w:bCs/>
                <w:szCs w:val="21"/>
                <w:lang w:val="en-US" w:eastAsia="zh-CN"/>
              </w:rPr>
              <w:t>15</w:t>
            </w:r>
            <w:r>
              <w:rPr>
                <w:rFonts w:hint="eastAsia" w:ascii="宋体" w:hAnsi="宋体" w:cs="宋体"/>
                <w:b/>
                <w:bCs/>
                <w:szCs w:val="21"/>
              </w:rPr>
              <w:t>时00分前最后收到的投标文件为准,投标文件无法打开的，由</w:t>
            </w:r>
            <w:r>
              <w:rPr>
                <w:rStyle w:val="58"/>
                <w:rFonts w:hint="eastAsia" w:ascii="宋体" w:hAnsi="宋体" w:cs="宋体"/>
                <w:b/>
                <w:bCs/>
                <w:color w:val="auto"/>
                <w:szCs w:val="21"/>
              </w:rPr>
              <w:t>投标人自行承担后果。</w:t>
            </w:r>
          </w:p>
          <w:p>
            <w:pPr>
              <w:keepNext w:val="0"/>
              <w:keepLines w:val="0"/>
              <w:pageBreakBefore w:val="0"/>
              <w:kinsoku/>
              <w:wordWrap/>
              <w:overflowPunct/>
              <w:topLinePunct w:val="0"/>
              <w:autoSpaceDN/>
              <w:bidi w:val="0"/>
              <w:spacing w:line="400" w:lineRule="exact"/>
              <w:ind w:firstLine="18" w:firstLineChars="9"/>
              <w:textAlignment w:val="auto"/>
              <w:rPr>
                <w:rFonts w:ascii="宋体" w:hAnsi="宋体" w:cs="宋体"/>
                <w:szCs w:val="21"/>
              </w:rPr>
            </w:pPr>
            <w:r>
              <w:fldChar w:fldCharType="begin"/>
            </w:r>
            <w:r>
              <w:instrText xml:space="preserve"> HYPERLINK "mailto:2、投标人在2022年%20%20月%20%20日14时00分至2022年%20%20月%20%20日14时30分内将投标文件的密码（投标单位名称+密码）发送至czsctgczx@163.com（滁州市城投工程咨询管理有限公司邮箱）。未在规定时间内发送密码的，投标将被拒绝。" </w:instrText>
            </w:r>
            <w:r>
              <w:fldChar w:fldCharType="separate"/>
            </w:r>
            <w:r>
              <w:rPr>
                <w:rStyle w:val="58"/>
                <w:rFonts w:hint="eastAsia" w:ascii="宋体" w:hAnsi="宋体" w:cs="宋体"/>
                <w:b/>
                <w:bCs/>
                <w:color w:val="auto"/>
                <w:szCs w:val="21"/>
              </w:rPr>
              <w:t>2、投标人在2024年</w:t>
            </w:r>
            <w:r>
              <w:rPr>
                <w:rFonts w:hint="eastAsia" w:ascii="宋体" w:hAnsi="宋体" w:cs="宋体"/>
                <w:b/>
                <w:bCs/>
                <w:szCs w:val="21"/>
              </w:rPr>
              <w:t>5月</w:t>
            </w:r>
            <w:r>
              <w:rPr>
                <w:rFonts w:hint="eastAsia" w:ascii="宋体" w:hAnsi="宋体" w:cs="宋体"/>
                <w:b/>
                <w:bCs/>
                <w:szCs w:val="21"/>
                <w:lang w:val="en-US" w:eastAsia="zh-CN"/>
              </w:rPr>
              <w:t>30</w:t>
            </w:r>
            <w:r>
              <w:rPr>
                <w:rStyle w:val="58"/>
                <w:rFonts w:hint="eastAsia" w:ascii="宋体" w:hAnsi="宋体" w:cs="宋体"/>
                <w:b/>
                <w:bCs/>
                <w:color w:val="auto"/>
                <w:szCs w:val="21"/>
              </w:rPr>
              <w:t>日1</w:t>
            </w:r>
            <w:r>
              <w:rPr>
                <w:rStyle w:val="58"/>
                <w:rFonts w:hint="eastAsia" w:ascii="宋体" w:hAnsi="宋体" w:cs="宋体"/>
                <w:b/>
                <w:bCs/>
                <w:color w:val="auto"/>
                <w:szCs w:val="21"/>
                <w:lang w:val="en-US" w:eastAsia="zh-CN"/>
              </w:rPr>
              <w:t>5</w:t>
            </w:r>
            <w:r>
              <w:rPr>
                <w:rStyle w:val="58"/>
                <w:rFonts w:hint="eastAsia" w:ascii="宋体" w:hAnsi="宋体" w:cs="宋体"/>
                <w:b/>
                <w:bCs/>
                <w:color w:val="auto"/>
                <w:szCs w:val="21"/>
              </w:rPr>
              <w:t>时00分至2024年5</w:t>
            </w:r>
            <w:r>
              <w:rPr>
                <w:rFonts w:hint="eastAsia" w:ascii="宋体" w:hAnsi="宋体" w:cs="宋体"/>
                <w:b/>
                <w:bCs/>
                <w:szCs w:val="21"/>
              </w:rPr>
              <w:t>月</w:t>
            </w:r>
            <w:r>
              <w:rPr>
                <w:rFonts w:hint="eastAsia" w:ascii="宋体" w:hAnsi="宋体" w:cs="宋体"/>
                <w:b/>
                <w:bCs/>
                <w:szCs w:val="21"/>
                <w:lang w:val="en-US" w:eastAsia="zh-CN"/>
              </w:rPr>
              <w:t>30</w:t>
            </w:r>
            <w:r>
              <w:rPr>
                <w:rStyle w:val="58"/>
                <w:rFonts w:hint="eastAsia" w:ascii="宋体" w:hAnsi="宋体" w:cs="宋体"/>
                <w:b/>
                <w:bCs/>
                <w:color w:val="auto"/>
                <w:szCs w:val="21"/>
              </w:rPr>
              <w:t>日1</w:t>
            </w:r>
            <w:r>
              <w:rPr>
                <w:rStyle w:val="58"/>
                <w:rFonts w:hint="eastAsia" w:ascii="宋体" w:hAnsi="宋体" w:cs="宋体"/>
                <w:b/>
                <w:bCs/>
                <w:color w:val="auto"/>
                <w:szCs w:val="21"/>
                <w:lang w:val="en-US" w:eastAsia="zh-CN"/>
              </w:rPr>
              <w:t>5</w:t>
            </w:r>
            <w:r>
              <w:rPr>
                <w:rStyle w:val="58"/>
                <w:rFonts w:hint="eastAsia" w:ascii="宋体" w:hAnsi="宋体" w:cs="宋体"/>
                <w:b/>
                <w:bCs/>
                <w:color w:val="auto"/>
                <w:szCs w:val="21"/>
              </w:rPr>
              <w:t>时20分内将投标文件的密码（投标单位名称+密码）发送至czsctgczx@163.com（滁州市城投工程咨询管理有限公司邮箱）。未在规定时间内发送密码的，投标将被拒绝。</w:t>
            </w:r>
            <w:r>
              <w:rPr>
                <w:rStyle w:val="58"/>
                <w:rFonts w:hint="eastAsia" w:ascii="宋体" w:hAnsi="宋体" w:cs="宋体"/>
                <w:b/>
                <w:bCs/>
                <w:color w:val="auto"/>
                <w:szCs w:val="21"/>
              </w:rPr>
              <w:fldChar w:fldCharType="end"/>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autoSpaceDE w:val="0"/>
              <w:spacing w:line="440" w:lineRule="exact"/>
              <w:jc w:val="center"/>
              <w:rPr>
                <w:rFonts w:ascii="宋体" w:hAnsi="宋体" w:cs="宋体"/>
              </w:rPr>
            </w:pPr>
            <w:r>
              <w:rPr>
                <w:rFonts w:hint="eastAsia" w:ascii="宋体" w:hAnsi="宋体" w:cs="宋体"/>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bidi w:val="0"/>
              <w:spacing w:line="400" w:lineRule="exact"/>
              <w:jc w:val="center"/>
              <w:textAlignment w:val="auto"/>
              <w:rPr>
                <w:rFonts w:ascii="宋体" w:hAnsi="宋体" w:cs="宋体"/>
                <w:szCs w:val="21"/>
                <w:u w:color="000000"/>
                <w:lang w:bidi="ar"/>
              </w:rPr>
            </w:pPr>
            <w:r>
              <w:rPr>
                <w:rFonts w:hint="eastAsia" w:ascii="宋体" w:hAnsi="宋体" w:cs="宋体"/>
                <w:szCs w:val="21"/>
                <w:u w:color="000000"/>
                <w:lang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bidi w:val="0"/>
              <w:spacing w:line="400" w:lineRule="exact"/>
              <w:jc w:val="left"/>
              <w:textAlignment w:val="auto"/>
              <w:rPr>
                <w:rFonts w:ascii="宋体" w:hAnsi="宋体" w:cs="宋体"/>
                <w:szCs w:val="21"/>
                <w:u w:color="000000"/>
                <w:lang w:bidi="ar"/>
              </w:rPr>
            </w:pPr>
            <w:r>
              <w:rPr>
                <w:rFonts w:hint="eastAsia" w:ascii="宋体" w:hAnsi="宋体" w:cs="宋体"/>
                <w:szCs w:val="21"/>
                <w:u w:color="000000"/>
                <w:lang w:bidi="ar"/>
              </w:rPr>
              <w:t>☑不允许；</w:t>
            </w:r>
          </w:p>
          <w:p>
            <w:pPr>
              <w:keepNext w:val="0"/>
              <w:keepLines w:val="0"/>
              <w:pageBreakBefore w:val="0"/>
              <w:kinsoku/>
              <w:wordWrap/>
              <w:overflowPunct/>
              <w:topLinePunct w:val="0"/>
              <w:autoSpaceDE w:val="0"/>
              <w:autoSpaceDN/>
              <w:bidi w:val="0"/>
              <w:spacing w:line="400" w:lineRule="exact"/>
              <w:jc w:val="left"/>
              <w:textAlignment w:val="auto"/>
              <w:rPr>
                <w:rFonts w:ascii="宋体" w:hAnsi="宋体" w:cs="宋体"/>
                <w:szCs w:val="21"/>
                <w:u w:color="000000"/>
                <w:lang w:bidi="ar"/>
              </w:rPr>
            </w:pPr>
            <w:r>
              <w:rPr>
                <w:rFonts w:hint="eastAsia" w:ascii="宋体" w:hAnsi="宋体" w:cs="宋体"/>
                <w:szCs w:val="21"/>
                <w:u w:color="000000"/>
                <w:lang w:bidi="ar"/>
              </w:rPr>
              <w:t>□允许：/</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autoSpaceDE w:val="0"/>
              <w:spacing w:line="440" w:lineRule="exact"/>
              <w:jc w:val="center"/>
              <w:rPr>
                <w:rFonts w:ascii="宋体" w:hAnsi="宋体" w:cs="宋体"/>
                <w:szCs w:val="21"/>
              </w:rPr>
            </w:pPr>
            <w:r>
              <w:rPr>
                <w:rFonts w:hint="eastAsia" w:ascii="宋体" w:hAnsi="宋体" w:cs="宋体"/>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bidi w:val="0"/>
              <w:spacing w:line="400" w:lineRule="exact"/>
              <w:jc w:val="center"/>
              <w:textAlignment w:val="auto"/>
              <w:rPr>
                <w:rFonts w:ascii="宋体" w:hAnsi="宋体" w:cs="宋体"/>
                <w:szCs w:val="21"/>
              </w:rPr>
            </w:pPr>
            <w:r>
              <w:rPr>
                <w:rFonts w:hint="eastAsia" w:ascii="宋体" w:hAnsi="宋体" w:cs="宋体"/>
                <w:szCs w:val="21"/>
                <w:u w:color="000000"/>
                <w:lang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bidi w:val="0"/>
              <w:spacing w:line="400" w:lineRule="exact"/>
              <w:textAlignment w:val="auto"/>
              <w:rPr>
                <w:rFonts w:ascii="宋体" w:hAnsi="宋体" w:cs="宋体"/>
                <w:szCs w:val="21"/>
              </w:rPr>
            </w:pPr>
            <w:r>
              <w:rPr>
                <w:rFonts w:hint="eastAsia" w:ascii="宋体" w:hAnsi="宋体" w:cs="宋体"/>
                <w:szCs w:val="21"/>
                <w:u w:color="000000"/>
                <w:lang w:bidi="ar"/>
              </w:rPr>
              <w:t>否</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autoSpaceDE w:val="0"/>
              <w:spacing w:line="440" w:lineRule="exact"/>
              <w:jc w:val="center"/>
              <w:rPr>
                <w:rFonts w:ascii="宋体" w:hAnsi="宋体" w:cs="宋体"/>
                <w:szCs w:val="21"/>
              </w:rPr>
            </w:pPr>
            <w:r>
              <w:rPr>
                <w:rFonts w:hint="eastAsia" w:ascii="宋体" w:hAnsi="宋体" w:cs="宋体"/>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bidi w:val="0"/>
              <w:spacing w:line="400" w:lineRule="exact"/>
              <w:jc w:val="center"/>
              <w:textAlignment w:val="auto"/>
              <w:rPr>
                <w:rFonts w:ascii="宋体" w:hAnsi="宋体" w:cs="宋体"/>
                <w:szCs w:val="21"/>
              </w:rPr>
            </w:pPr>
            <w:r>
              <w:rPr>
                <w:rFonts w:hint="eastAsia" w:ascii="宋体" w:hAnsi="宋体" w:cs="宋体"/>
                <w:szCs w:val="21"/>
                <w:u w:color="000000"/>
                <w:lang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bidi w:val="0"/>
              <w:spacing w:line="400" w:lineRule="exact"/>
              <w:textAlignment w:val="auto"/>
              <w:rPr>
                <w:rFonts w:ascii="宋体" w:hAnsi="宋体" w:cs="宋体"/>
                <w:b/>
                <w:bCs/>
                <w:szCs w:val="21"/>
                <w:u w:color="000000"/>
                <w:lang w:bidi="ar"/>
              </w:rPr>
            </w:pPr>
            <w:r>
              <w:rPr>
                <w:rFonts w:hint="eastAsia" w:ascii="宋体" w:hAnsi="宋体" w:cs="宋体"/>
                <w:szCs w:val="21"/>
                <w:u w:color="000000"/>
                <w:lang w:bidi="ar"/>
              </w:rPr>
              <w:t>开标时间：</w:t>
            </w:r>
            <w:r>
              <w:rPr>
                <w:rFonts w:hint="eastAsia" w:ascii="宋体" w:hAnsi="宋体" w:cs="宋体"/>
                <w:b/>
                <w:bCs/>
                <w:szCs w:val="21"/>
                <w:u w:color="000000"/>
                <w:lang w:bidi="ar"/>
              </w:rPr>
              <w:t>2024年5月</w:t>
            </w:r>
            <w:r>
              <w:rPr>
                <w:rFonts w:hint="eastAsia" w:ascii="宋体" w:hAnsi="宋体" w:cs="宋体"/>
                <w:b/>
                <w:bCs/>
                <w:szCs w:val="21"/>
                <w:u w:color="000000"/>
                <w:lang w:val="en-US" w:eastAsia="zh-CN" w:bidi="ar"/>
              </w:rPr>
              <w:t>30</w:t>
            </w:r>
            <w:r>
              <w:rPr>
                <w:rFonts w:hint="eastAsia" w:ascii="宋体" w:hAnsi="宋体" w:cs="宋体"/>
                <w:b/>
                <w:bCs/>
                <w:szCs w:val="21"/>
                <w:u w:color="000000"/>
                <w:lang w:bidi="ar"/>
              </w:rPr>
              <w:t>日1</w:t>
            </w:r>
            <w:r>
              <w:rPr>
                <w:rFonts w:hint="eastAsia" w:ascii="宋体" w:hAnsi="宋体" w:cs="宋体"/>
                <w:b/>
                <w:bCs/>
                <w:szCs w:val="21"/>
                <w:u w:color="000000"/>
                <w:lang w:val="en-US" w:eastAsia="zh-CN" w:bidi="ar"/>
              </w:rPr>
              <w:t>5</w:t>
            </w:r>
            <w:r>
              <w:rPr>
                <w:rFonts w:hint="eastAsia" w:ascii="宋体" w:hAnsi="宋体" w:cs="宋体"/>
                <w:b/>
                <w:bCs/>
                <w:szCs w:val="21"/>
                <w:u w:color="000000"/>
                <w:lang w:bidi="ar"/>
              </w:rPr>
              <w:t>时00分（北京时间）</w:t>
            </w:r>
          </w:p>
          <w:p>
            <w:pPr>
              <w:keepNext w:val="0"/>
              <w:keepLines w:val="0"/>
              <w:pageBreakBefore w:val="0"/>
              <w:kinsoku/>
              <w:wordWrap/>
              <w:overflowPunct/>
              <w:topLinePunct w:val="0"/>
              <w:autoSpaceDE w:val="0"/>
              <w:autoSpaceDN/>
              <w:bidi w:val="0"/>
              <w:spacing w:line="400" w:lineRule="exact"/>
              <w:textAlignment w:val="auto"/>
              <w:rPr>
                <w:rFonts w:ascii="宋体" w:hAnsi="宋体" w:cs="宋体"/>
                <w:szCs w:val="21"/>
              </w:rPr>
            </w:pPr>
            <w:r>
              <w:rPr>
                <w:rFonts w:hint="eastAsia" w:ascii="宋体" w:hAnsi="宋体" w:cs="宋体"/>
                <w:szCs w:val="21"/>
                <w:u w:color="000000"/>
                <w:lang w:bidi="ar"/>
              </w:rPr>
              <w:t>开标地点：</w:t>
            </w:r>
            <w:r>
              <w:rPr>
                <w:rFonts w:hint="eastAsia" w:ascii="宋体" w:hAnsi="宋体" w:cs="宋体"/>
                <w:szCs w:val="21"/>
              </w:rPr>
              <w:t>滁州市城投工程咨询管理有限公司(滁州市龙蟠大道109号房产大厦六楼622会议室)</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autoSpaceDE w:val="0"/>
              <w:spacing w:line="440" w:lineRule="exact"/>
              <w:jc w:val="center"/>
              <w:rPr>
                <w:rFonts w:ascii="宋体" w:hAnsi="宋体" w:cs="宋体"/>
                <w:szCs w:val="21"/>
              </w:rPr>
            </w:pPr>
            <w:r>
              <w:rPr>
                <w:rFonts w:hint="eastAsia" w:ascii="宋体" w:hAnsi="宋体" w:cs="宋体"/>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bidi w:val="0"/>
              <w:spacing w:line="400" w:lineRule="exact"/>
              <w:jc w:val="center"/>
              <w:textAlignment w:val="auto"/>
              <w:rPr>
                <w:rFonts w:ascii="宋体" w:hAnsi="宋体" w:cs="宋体"/>
                <w:szCs w:val="21"/>
              </w:rPr>
            </w:pPr>
            <w:r>
              <w:rPr>
                <w:rFonts w:hint="eastAsia" w:ascii="宋体" w:hAnsi="宋体" w:cs="宋体"/>
                <w:szCs w:val="21"/>
                <w:u w:color="000000"/>
                <w:lang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bidi w:val="0"/>
              <w:spacing w:line="400" w:lineRule="exact"/>
              <w:textAlignment w:val="auto"/>
              <w:rPr>
                <w:rFonts w:ascii="宋体" w:hAnsi="宋体" w:cs="宋体"/>
                <w:szCs w:val="21"/>
              </w:rPr>
            </w:pPr>
            <w:r>
              <w:rPr>
                <w:rFonts w:hint="eastAsia" w:ascii="宋体" w:hAnsi="宋体" w:cs="宋体"/>
                <w:szCs w:val="21"/>
              </w:rPr>
              <w:t>由代理机构开启电子投标文件，报评标委员会评审。</w:t>
            </w:r>
          </w:p>
        </w:tc>
      </w:tr>
      <w:tr>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ascii="宋体" w:hAnsi="宋体" w:cs="宋体"/>
                <w:szCs w:val="21"/>
                <w:u w:color="000000"/>
                <w:lang w:bidi="ar"/>
              </w:rPr>
              <w:t>评标委员会由招标人依法组建。</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b/>
                <w:bCs/>
                <w:szCs w:val="21"/>
              </w:rPr>
            </w:pPr>
            <w:r>
              <w:rPr>
                <w:rFonts w:hint="eastAsia" w:ascii="宋体" w:hAnsi="宋体" w:cs="宋体"/>
                <w:szCs w:val="21"/>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bCs/>
                <w:szCs w:val="21"/>
              </w:rPr>
            </w:pPr>
            <w:r>
              <w:rPr>
                <w:rFonts w:hint="eastAsia" w:ascii="宋体" w:hAnsi="宋体" w:cs="宋体"/>
                <w:szCs w:val="21"/>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bCs/>
                <w:szCs w:val="21"/>
              </w:rPr>
            </w:pPr>
            <w:r>
              <w:rPr>
                <w:rFonts w:hint="eastAsia" w:ascii="宋体" w:hAnsi="宋体" w:cs="宋体"/>
                <w:szCs w:val="21"/>
              </w:rPr>
              <w:t>3名，并标明排序。</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32</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szCs w:val="21"/>
              </w:rPr>
            </w:pPr>
            <w:r>
              <w:rPr>
                <w:rFonts w:hint="eastAsia" w:ascii="宋体" w:hAnsi="宋体" w:cs="宋体"/>
                <w:szCs w:val="21"/>
              </w:rPr>
              <w:t>中标候选人公示媒介</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ascii="宋体" w:hAnsi="宋体" w:cs="宋体"/>
                <w:szCs w:val="21"/>
              </w:rPr>
              <w:t>公示媒介：同招标公告发布媒介</w:t>
            </w:r>
          </w:p>
          <w:p>
            <w:pPr>
              <w:keepNext w:val="0"/>
              <w:keepLines w:val="0"/>
              <w:pageBreakBefore w:val="0"/>
              <w:kinsoku/>
              <w:wordWrap/>
              <w:overflowPunct/>
              <w:topLinePunct w:val="0"/>
              <w:autoSpaceDN/>
              <w:bidi w:val="0"/>
              <w:spacing w:line="400" w:lineRule="exact"/>
              <w:textAlignment w:val="auto"/>
              <w:rPr>
                <w:rFonts w:ascii="宋体" w:hAnsi="宋体" w:cs="宋体"/>
                <w:szCs w:val="21"/>
              </w:rPr>
            </w:pPr>
            <w:r>
              <w:rPr>
                <w:rFonts w:hint="eastAsia" w:ascii="宋体" w:hAnsi="宋体" w:cs="宋体"/>
                <w:szCs w:val="21"/>
              </w:rPr>
              <w:t>公示期限：公示发布次日起3日（如公示第三日为休息日或节假日，则顺延至休息日或节假日后第一个工作日）</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33</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val="0"/>
              <w:snapToGrid w:val="0"/>
              <w:spacing w:line="400" w:lineRule="exact"/>
              <w:textAlignment w:val="auto"/>
              <w:rPr>
                <w:rFonts w:ascii="宋体" w:hAnsi="宋体" w:cs="宋体"/>
                <w:szCs w:val="21"/>
              </w:rPr>
            </w:pPr>
            <w:r>
              <w:rPr>
                <w:rFonts w:hint="eastAsia"/>
                <w:szCs w:val="21"/>
              </w:rPr>
              <w:t>中标通知书发出形式</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val="0"/>
              <w:snapToGrid w:val="0"/>
              <w:spacing w:line="400" w:lineRule="exact"/>
              <w:textAlignment w:val="auto"/>
              <w:rPr>
                <w:rFonts w:ascii="宋体" w:hAnsi="宋体" w:cs="宋体"/>
                <w:szCs w:val="21"/>
              </w:rPr>
            </w:pPr>
            <w:r>
              <w:rPr>
                <w:rFonts w:hint="eastAsia" w:ascii="宋体" w:hAnsi="宋体" w:cs="宋体"/>
                <w:szCs w:val="21"/>
                <w:u w:color="000000"/>
                <w:lang w:bidi="ar"/>
              </w:rPr>
              <w:t>中标通知书须加盖招标人、招标代理公司公章后方可发出。</w:t>
            </w:r>
          </w:p>
        </w:tc>
      </w:tr>
      <w:tr>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银行转帐或</w:t>
            </w:r>
            <w:r>
              <w:rPr>
                <w:rFonts w:hint="eastAsia" w:ascii="宋体" w:hAnsi="宋体" w:cs="宋体"/>
                <w:bCs/>
                <w:color w:val="auto"/>
                <w:szCs w:val="21"/>
                <w:highlight w:val="none"/>
                <w:lang w:val="zh-CN"/>
              </w:rPr>
              <w:t>银行保函方式【须为见索即付保函（无条件保函）】</w:t>
            </w:r>
            <w:r>
              <w:rPr>
                <w:rFonts w:hint="eastAsia" w:ascii="宋体" w:hAnsi="宋体" w:cs="宋体"/>
                <w:color w:val="auto"/>
                <w:szCs w:val="21"/>
                <w:highlight w:val="none"/>
              </w:rPr>
              <w:t xml:space="preserve"> </w:t>
            </w:r>
          </w:p>
          <w:p>
            <w:pPr>
              <w:keepNext w:val="0"/>
              <w:keepLines w:val="0"/>
              <w:pageBreakBefore w:val="0"/>
              <w:kinsoku/>
              <w:wordWrap/>
              <w:overflowPunct/>
              <w:topLinePunct w:val="0"/>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履约担保的金额：中标综合单价*</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00万吨×2%</w:t>
            </w:r>
          </w:p>
          <w:p>
            <w:pPr>
              <w:pStyle w:val="42"/>
              <w:keepNext w:val="0"/>
              <w:keepLines w:val="0"/>
              <w:pageBreakBefore w:val="0"/>
              <w:kinsoku/>
              <w:wordWrap/>
              <w:overflowPunct/>
              <w:topLinePunct w:val="0"/>
              <w:autoSpaceDN/>
              <w:bidi w:val="0"/>
              <w:spacing w:beforeAutospacing="0" w:afterAutospacing="0" w:line="400" w:lineRule="exact"/>
              <w:jc w:val="both"/>
              <w:textAlignment w:val="auto"/>
              <w:rPr>
                <w:color w:val="auto"/>
                <w:sz w:val="21"/>
                <w:szCs w:val="21"/>
                <w:highlight w:val="none"/>
              </w:rPr>
            </w:pPr>
            <w:r>
              <w:rPr>
                <w:rFonts w:hint="eastAsia"/>
                <w:color w:val="auto"/>
                <w:sz w:val="21"/>
                <w:szCs w:val="21"/>
                <w:highlight w:val="none"/>
              </w:rPr>
              <w:t xml:space="preserve">收款单位：中标后另行通知                 </w:t>
            </w:r>
          </w:p>
          <w:p>
            <w:pPr>
              <w:pStyle w:val="42"/>
              <w:keepNext w:val="0"/>
              <w:keepLines w:val="0"/>
              <w:pageBreakBefore w:val="0"/>
              <w:kinsoku/>
              <w:wordWrap/>
              <w:overflowPunct/>
              <w:topLinePunct w:val="0"/>
              <w:autoSpaceDN/>
              <w:bidi w:val="0"/>
              <w:spacing w:beforeAutospacing="0" w:afterAutospacing="0" w:line="400" w:lineRule="exact"/>
              <w:jc w:val="both"/>
              <w:textAlignment w:val="auto"/>
              <w:rPr>
                <w:color w:val="auto"/>
                <w:sz w:val="21"/>
                <w:szCs w:val="21"/>
                <w:highlight w:val="none"/>
              </w:rPr>
            </w:pPr>
            <w:r>
              <w:rPr>
                <w:rFonts w:hint="eastAsia"/>
                <w:color w:val="auto"/>
                <w:sz w:val="21"/>
                <w:szCs w:val="21"/>
                <w:highlight w:val="none"/>
              </w:rPr>
              <w:t xml:space="preserve">开户银行：中标后另行通知                   </w:t>
            </w:r>
          </w:p>
          <w:p>
            <w:pPr>
              <w:pStyle w:val="42"/>
              <w:keepNext w:val="0"/>
              <w:keepLines w:val="0"/>
              <w:pageBreakBefore w:val="0"/>
              <w:kinsoku/>
              <w:wordWrap/>
              <w:overflowPunct/>
              <w:topLinePunct w:val="0"/>
              <w:autoSpaceDN/>
              <w:bidi w:val="0"/>
              <w:spacing w:beforeAutospacing="0" w:afterAutospacing="0" w:line="400" w:lineRule="exact"/>
              <w:jc w:val="both"/>
              <w:textAlignment w:val="auto"/>
              <w:rPr>
                <w:color w:val="auto"/>
                <w:sz w:val="21"/>
                <w:szCs w:val="21"/>
                <w:highlight w:val="none"/>
              </w:rPr>
            </w:pPr>
            <w:r>
              <w:rPr>
                <w:rFonts w:hint="eastAsia"/>
                <w:color w:val="auto"/>
                <w:sz w:val="21"/>
                <w:szCs w:val="21"/>
                <w:highlight w:val="none"/>
              </w:rPr>
              <w:t xml:space="preserve">银行账号：中标后另行通知                   </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缴纳时限：中标人须在中标通知书发出后30日内完成履约保证金缴纳及合同签订。中标单位原因造成合同延期签订的，每延期一天按500元予以处罚，延期签订情节严重的，招标人有权取消其中标资格。并承担给招标人造成的损失，同时依法承担相应法律责任。</w:t>
            </w:r>
          </w:p>
          <w:p>
            <w:pPr>
              <w:pStyle w:val="42"/>
              <w:keepNext w:val="0"/>
              <w:keepLines w:val="0"/>
              <w:pageBreakBefore w:val="0"/>
              <w:kinsoku/>
              <w:wordWrap/>
              <w:overflowPunct/>
              <w:topLinePunct w:val="0"/>
              <w:autoSpaceDN/>
              <w:bidi w:val="0"/>
              <w:spacing w:beforeAutospacing="0" w:afterAutospacing="0" w:line="400" w:lineRule="exact"/>
              <w:jc w:val="both"/>
              <w:textAlignment w:val="auto"/>
              <w:rPr>
                <w:color w:val="auto"/>
                <w:sz w:val="21"/>
                <w:szCs w:val="21"/>
                <w:highlight w:val="none"/>
              </w:rPr>
            </w:pPr>
            <w:r>
              <w:rPr>
                <w:rFonts w:hint="eastAsia"/>
                <w:color w:val="auto"/>
                <w:sz w:val="21"/>
                <w:szCs w:val="21"/>
                <w:highlight w:val="none"/>
              </w:rPr>
              <w:t>履约保证金退还时限：履约保证金在合同履行期满且质量验收合格后一个月内无息退还</w:t>
            </w:r>
          </w:p>
          <w:p>
            <w:pPr>
              <w:pStyle w:val="42"/>
              <w:keepNext w:val="0"/>
              <w:keepLines w:val="0"/>
              <w:pageBreakBefore w:val="0"/>
              <w:kinsoku/>
              <w:wordWrap/>
              <w:overflowPunct/>
              <w:topLinePunct w:val="0"/>
              <w:autoSpaceDN/>
              <w:bidi w:val="0"/>
              <w:spacing w:beforeAutospacing="0" w:afterAutospacing="0" w:line="400" w:lineRule="exact"/>
              <w:jc w:val="both"/>
              <w:textAlignment w:val="auto"/>
              <w:rPr>
                <w:color w:val="auto"/>
                <w:sz w:val="21"/>
                <w:szCs w:val="21"/>
                <w:highlight w:val="none"/>
              </w:rPr>
            </w:pPr>
            <w:r>
              <w:rPr>
                <w:rFonts w:hint="eastAsia"/>
                <w:color w:val="auto"/>
                <w:sz w:val="21"/>
                <w:szCs w:val="21"/>
                <w:highlight w:val="none"/>
              </w:rPr>
              <w:t>其他相关要求：</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⑥须由滁州本地银行或在滁州具有分支机构的银行出具。 </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ascii="宋体" w:hAnsi="宋体" w:cs="宋体"/>
                <w:color w:val="auto"/>
                <w:szCs w:val="21"/>
                <w:highlight w:val="none"/>
              </w:rPr>
              <w:t>（1）本项目无预付款；</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ascii="宋体" w:hAnsi="宋体" w:cs="宋体"/>
                <w:color w:val="auto"/>
                <w:szCs w:val="21"/>
                <w:highlight w:val="none"/>
              </w:rPr>
              <w:t>（2）进度款：</w:t>
            </w:r>
            <w:r>
              <w:rPr>
                <w:rFonts w:hint="eastAsia" w:ascii="宋体" w:hAnsi="宋体" w:cs="宋体"/>
                <w:color w:val="auto"/>
                <w:szCs w:val="21"/>
                <w:highlight w:val="none"/>
              </w:rPr>
              <w:t>按照施工进度（以实际</w:t>
            </w: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过磅量为准）每月15日支付上月已审批的技术服务费</w:t>
            </w:r>
            <w:r>
              <w:rPr>
                <w:rFonts w:ascii="宋体" w:hAnsi="宋体" w:cs="宋体"/>
                <w:color w:val="auto"/>
                <w:szCs w:val="21"/>
                <w:highlight w:val="none"/>
              </w:rPr>
              <w:t>。</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color w:val="auto"/>
                <w:szCs w:val="21"/>
              </w:rPr>
            </w:pPr>
            <w:r>
              <w:rPr>
                <w:rFonts w:ascii="宋体" w:hAnsi="宋体" w:cs="宋体"/>
                <w:color w:val="auto"/>
                <w:szCs w:val="21"/>
              </w:rPr>
              <w:t>招标项目现场条件</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要求中标方提供</w:t>
            </w:r>
            <w:r>
              <w:rPr>
                <w:rFonts w:ascii="宋体" w:hAnsi="宋体" w:cs="宋体"/>
                <w:color w:val="auto"/>
                <w:szCs w:val="21"/>
              </w:rPr>
              <w:t>爆破</w:t>
            </w:r>
            <w:r>
              <w:rPr>
                <w:rFonts w:hint="eastAsia" w:ascii="宋体" w:hAnsi="宋体" w:cs="宋体"/>
                <w:color w:val="auto"/>
                <w:szCs w:val="21"/>
              </w:rPr>
              <w:t>等技术服务时，</w:t>
            </w:r>
            <w:r>
              <w:rPr>
                <w:rFonts w:ascii="宋体" w:hAnsi="宋体" w:cs="宋体"/>
                <w:color w:val="auto"/>
                <w:szCs w:val="21"/>
              </w:rPr>
              <w:t>现场已经具备爆破作业条件。</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rPr>
            </w:pPr>
            <w:r>
              <w:rPr>
                <w:rFonts w:ascii="宋体" w:hAnsi="宋体" w:cs="宋体"/>
                <w:color w:val="auto"/>
                <w:szCs w:val="21"/>
              </w:rPr>
              <w:t>2、开标前，投标人应对矿山和其周围环境进行全面的勘查和考察，以获取有关编制投标文件和签署</w:t>
            </w:r>
            <w:r>
              <w:rPr>
                <w:rFonts w:hint="eastAsia" w:ascii="宋体" w:hAnsi="宋体" w:cs="宋体"/>
                <w:color w:val="auto"/>
                <w:szCs w:val="21"/>
              </w:rPr>
              <w:t>技术服务</w:t>
            </w:r>
            <w:r>
              <w:rPr>
                <w:rFonts w:ascii="宋体" w:hAnsi="宋体" w:cs="宋体"/>
                <w:color w:val="auto"/>
                <w:szCs w:val="21"/>
              </w:rPr>
              <w:t>合同所需的全部资料。现场条件以现状为准，投标人在投标前已全部知悉，如投标人认为不满足施工条件的，费用在报价中综合考虑，中标后不因此增加费用，亦不因此延长工期。</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rPr>
            </w:pPr>
            <w:r>
              <w:rPr>
                <w:rFonts w:ascii="宋体" w:hAnsi="宋体" w:cs="宋体"/>
                <w:color w:val="auto"/>
                <w:szCs w:val="21"/>
              </w:rPr>
              <w:t>3、 招标人按矿山现状交付中标人爆破施工。</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其他相关要求</w:t>
            </w:r>
          </w:p>
          <w:p>
            <w:pPr>
              <w:keepNext w:val="0"/>
              <w:keepLines w:val="0"/>
              <w:pageBreakBefore w:val="0"/>
              <w:kinsoku/>
              <w:wordWrap/>
              <w:overflowPunct/>
              <w:topLinePunct w:val="0"/>
              <w:autoSpaceDN/>
              <w:bidi w:val="0"/>
              <w:spacing w:line="400" w:lineRule="exact"/>
              <w:jc w:val="center"/>
              <w:textAlignment w:val="auto"/>
              <w:rPr>
                <w:rFonts w:ascii="宋体" w:hAnsi="宋体" w:cs="宋体"/>
                <w:color w:val="auto"/>
                <w:szCs w:val="21"/>
                <w:highlight w:val="none"/>
              </w:rPr>
            </w:pP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（1）中标人在合同签订后15日历天内完成当地公安部门备案手续，否则招标人有权解除合同，没收履约保证金。</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（2）本项目不得转包，否则取消其中标资格。</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（3）中标单位的派驻项目负责人、安全员必须每日签到，保证日工作时间不少于8小时，未经批准，不得随意离开项目现场，否则按1000元/日的罚款，由招标人从履约保证金中扣除。</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（4）中标人进场开展工作前，必须向业主单位提交爆破实施方案、安全爆破方案，经批准后方可实施。</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（5）中标人应加强安全教育，完善劳动保护措施。由此产生的安全事故及所有后果，由中标人负责并自行承担所有经济损失。</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（6）中标人必须按照规定给参与本项目所有施工人员购买相关保险，若发生任何安全事故，所有责任及损失全部由中标人自行承担。</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7）投标人在开标前自行踏勘项目爆破现场，充分熟知爆破物现状，在施工过程中，中标人必须按照招标人要求进行爆破，所有机械设备费用、措施费、人工费、材料费、机械进出场费用及使用费、技术组织费等所有费用全部由中标人自行承担，招标人不再另行支付任何费用。</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（8）本项目所有的炸药、雷管、连接器材等材料均由中标人负责购买实施，合同期内，材料价格上涨风险因素由中标人自行承担，招标人不再另行支付任何费用，各投标人谨慎报价。</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（9）有关验收要求：</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①项目质量验收：每次爆破后是否存在盲炮，炮根及大块的处理（爆破后任何一边的长度小于75cm，超过75cm的大块需进行机械二次破碎），在靠近最终边坡时，需采取预裂爆破或光面爆破等控制爆破的方式进行爆破处理，保证形成良好的最终边坡面。</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②针对施工中的需要测量的项目，要能提供及时的测量服务，可以出具相关测量数据及证明报告。（投标人若具备相应测量资质的，自行实施；若投标人不具备资质要求，经招标人同意后委托具有相应资质的单位实施）</w:t>
            </w:r>
          </w:p>
          <w:p>
            <w:pPr>
              <w:keepNext w:val="0"/>
              <w:keepLines w:val="0"/>
              <w:pageBreakBefore w:val="0"/>
              <w:numPr>
                <w:ilvl w:val="0"/>
                <w:numId w:val="0"/>
              </w:numPr>
              <w:kinsoku/>
              <w:wordWrap/>
              <w:overflowPunct/>
              <w:topLinePunct w:val="0"/>
              <w:autoSpaceDN/>
              <w:bidi w:val="0"/>
              <w:spacing w:line="400" w:lineRule="exact"/>
              <w:textAlignment w:val="auto"/>
              <w:rPr>
                <w:rFonts w:ascii="宋体" w:hAnsi="宋体" w:cs="宋体"/>
                <w:color w:val="auto"/>
                <w:szCs w:val="21"/>
                <w:highlight w:val="none"/>
              </w:rPr>
            </w:pPr>
            <w:r>
              <w:rPr>
                <w:rFonts w:ascii="宋体" w:hAnsi="宋体" w:eastAsia="宋体" w:cs="宋体"/>
                <w:color w:val="auto"/>
                <w:kern w:val="2"/>
                <w:sz w:val="21"/>
                <w:szCs w:val="21"/>
                <w:lang w:val="en-US" w:eastAsia="zh-CN" w:bidi="ar-SA"/>
              </w:rPr>
              <w:t>（10）</w:t>
            </w:r>
            <w:r>
              <w:rPr>
                <w:rFonts w:hint="eastAsia" w:ascii="宋体" w:hAnsi="宋体" w:cs="宋体"/>
                <w:color w:val="auto"/>
                <w:szCs w:val="21"/>
                <w:highlight w:val="none"/>
              </w:rPr>
              <w:t>安全文明施工要求：遵守《金属非金属矿山全规程》（GB16423-</w:t>
            </w:r>
            <w:r>
              <w:rPr>
                <w:rFonts w:ascii="宋体" w:hAnsi="宋体" w:cs="宋体"/>
                <w:color w:val="auto"/>
                <w:szCs w:val="21"/>
                <w:highlight w:val="none"/>
              </w:rPr>
              <w:t>2020</w:t>
            </w:r>
            <w:r>
              <w:rPr>
                <w:rFonts w:hint="eastAsia" w:ascii="宋体" w:hAnsi="宋体" w:cs="宋体"/>
                <w:color w:val="auto"/>
                <w:szCs w:val="21"/>
                <w:highlight w:val="none"/>
              </w:rPr>
              <w:t>）、《爆破安全规程》（GB6722-2014），现行安全生产施工要求。</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（11）材料设备性能及使用要求：</w:t>
            </w:r>
          </w:p>
          <w:p>
            <w:pPr>
              <w:keepNext w:val="0"/>
              <w:keepLines w:val="0"/>
              <w:pageBreakBefore w:val="0"/>
              <w:kinsoku/>
              <w:wordWrap/>
              <w:overflowPunct/>
              <w:topLinePunct w:val="0"/>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①材料及设备性能必须符合国家、行业现行规范及要求。</w:t>
            </w:r>
          </w:p>
          <w:p>
            <w:pPr>
              <w:keepNext w:val="0"/>
              <w:keepLines w:val="0"/>
              <w:pageBreakBefore w:val="0"/>
              <w:kinsoku/>
              <w:wordWrap/>
              <w:overflowPunct/>
              <w:topLinePunct w:val="0"/>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②投标人中标后所提供的材料不符合规范及招标文件要求的，招标人有权要求更换，并由投标人承担由此产生的各种费用。如因材料不合格而造成的返工等各种经济损失，均由投标人自行承担。</w:t>
            </w:r>
          </w:p>
          <w:p>
            <w:pPr>
              <w:keepNext w:val="0"/>
              <w:keepLines w:val="0"/>
              <w:pageBreakBefore w:val="0"/>
              <w:kinsoku/>
              <w:wordWrap/>
              <w:overflowPunct/>
              <w:topLinePunct w:val="0"/>
              <w:autoSpaceDN/>
              <w:bidi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）施工过程中，</w:t>
            </w:r>
            <w:r>
              <w:rPr>
                <w:rFonts w:hint="eastAsia" w:ascii="宋体" w:hAnsi="宋体" w:cs="宋体"/>
                <w:color w:val="auto"/>
                <w:szCs w:val="21"/>
                <w:highlight w:val="none"/>
                <w:lang w:val="en-US" w:eastAsia="zh-CN"/>
              </w:rPr>
              <w:t>中标人必须</w:t>
            </w:r>
            <w:r>
              <w:rPr>
                <w:rFonts w:hint="eastAsia" w:ascii="宋体" w:hAnsi="宋体" w:cs="宋体"/>
                <w:color w:val="auto"/>
                <w:szCs w:val="21"/>
                <w:highlight w:val="none"/>
                <w:lang w:eastAsia="zh-CN"/>
              </w:rPr>
              <w:t>严格执行国家及地方针对环保、禁噪、防尘、防护等措施，必须满足当地行政主管部门相关规定及要求，</w:t>
            </w:r>
            <w:r>
              <w:rPr>
                <w:rFonts w:hint="eastAsia" w:ascii="宋体" w:hAnsi="宋体" w:cs="宋体"/>
                <w:color w:val="auto"/>
                <w:szCs w:val="21"/>
                <w:highlight w:val="none"/>
                <w:lang w:val="en-US" w:eastAsia="zh-CN"/>
              </w:rPr>
              <w:t>因钻孔、爆破等导致的扬尘，中标人</w:t>
            </w:r>
            <w:r>
              <w:rPr>
                <w:rFonts w:hint="eastAsia" w:ascii="宋体" w:hAnsi="宋体" w:eastAsia="宋体" w:cs="宋体"/>
                <w:color w:val="auto"/>
                <w:szCs w:val="21"/>
                <w:highlight w:val="none"/>
              </w:rPr>
              <w:t>必须做到洒水抑</w:t>
            </w:r>
            <w:r>
              <w:rPr>
                <w:rFonts w:hint="eastAsia" w:ascii="宋体" w:hAnsi="宋体" w:cs="宋体"/>
                <w:color w:val="auto"/>
                <w:szCs w:val="21"/>
                <w:highlight w:val="none"/>
                <w:lang w:val="en-US" w:eastAsia="zh-CN"/>
              </w:rPr>
              <w:t>尘</w:t>
            </w:r>
            <w:r>
              <w:rPr>
                <w:rFonts w:hint="eastAsia" w:ascii="宋体" w:hAnsi="宋体" w:eastAsia="宋体" w:cs="宋体"/>
                <w:color w:val="auto"/>
                <w:szCs w:val="21"/>
                <w:highlight w:val="none"/>
              </w:rPr>
              <w:t>，定期进行工地扬尘防治达标自评，切实做好自查自纠工作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所有费用含在投标报价中，招标人不再另行支付任何费用。</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Cs w:val="21"/>
              </w:rPr>
            </w:pPr>
            <w:r>
              <w:rPr>
                <w:rFonts w:hint="eastAsia" w:ascii="宋体" w:hAnsi="宋体" w:cs="宋体"/>
                <w:szCs w:val="21"/>
              </w:rPr>
              <w:t>知识产权</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Cs w:val="21"/>
              </w:rPr>
            </w:pPr>
            <w:r>
              <w:rPr>
                <w:rFonts w:hint="eastAsia" w:ascii="宋体" w:hAnsi="宋体" w:cs="宋体"/>
                <w:szCs w:val="21"/>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Cs w:val="21"/>
              </w:rPr>
            </w:pPr>
            <w:r>
              <w:rPr>
                <w:rFonts w:hint="eastAsia" w:ascii="宋体" w:hAnsi="宋体" w:cs="宋体"/>
                <w:szCs w:val="21"/>
              </w:rPr>
              <w:t>知识产权的范围及归属：所有投标人的投标文件、设计成果、图纸等资料均应为原创，不得包含侵犯第三方知识产权的行为。否则造成相关责任及索赔由投标人自行承担。</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Cs w:val="21"/>
              </w:rPr>
            </w:pPr>
            <w:r>
              <w:rPr>
                <w:rFonts w:hint="eastAsia" w:ascii="宋体" w:hAnsi="宋体" w:cs="宋体"/>
                <w:szCs w:val="21"/>
              </w:rPr>
              <w:t>保密要求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Cs w:val="21"/>
              </w:rPr>
            </w:pPr>
            <w:r>
              <w:rPr>
                <w:rFonts w:hint="eastAsia" w:ascii="宋体" w:hAnsi="宋体" w:cs="宋体"/>
                <w:szCs w:val="21"/>
              </w:rPr>
              <w:t>招标人提供的相关资料只供本次活动使用，各投标人应承担保密义务，不得擅自拷贝和传播。</w:t>
            </w:r>
          </w:p>
        </w:tc>
      </w:tr>
      <w:tr>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Cs w:val="21"/>
              </w:rPr>
            </w:pPr>
            <w:r>
              <w:rPr>
                <w:rFonts w:hint="eastAsia" w:ascii="宋体" w:hAnsi="宋体" w:cs="宋体"/>
                <w:szCs w:val="21"/>
              </w:rPr>
              <w:t>需要补充的其他内容</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按相关规定标准执行</w:t>
            </w:r>
            <w:r>
              <w:rPr>
                <w:rFonts w:hint="eastAsia" w:ascii="宋体" w:hAnsi="宋体" w:cs="宋体"/>
                <w:bCs/>
                <w:color w:val="auto"/>
                <w:kern w:val="0"/>
                <w:highlight w:val="none"/>
              </w:rPr>
              <w:t>。</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代理服务费及专家费支付主体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40" w:lineRule="exact"/>
              <w:jc w:val="center"/>
              <w:rPr>
                <w:rFonts w:ascii="宋体" w:hAnsi="宋体" w:cs="宋体"/>
                <w:szCs w:val="21"/>
              </w:rPr>
            </w:pPr>
            <w:r>
              <w:rPr>
                <w:rFonts w:hint="eastAsia" w:ascii="宋体" w:hAnsi="宋体" w:cs="宋体"/>
                <w:szCs w:val="21"/>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费用或支付标准：以实际发生为准。</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kern w:val="0"/>
                <w:szCs w:val="21"/>
              </w:rPr>
            </w:pPr>
            <w:r>
              <w:rPr>
                <w:rFonts w:hint="eastAsia"/>
                <w:szCs w:val="21"/>
              </w:rPr>
              <w:t>支付主体：中标单位</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Cs w:val="21"/>
              </w:rPr>
            </w:pPr>
            <w:r>
              <w:rPr>
                <w:rFonts w:hint="eastAsia" w:ascii="宋体" w:hAnsi="宋体" w:cs="宋体"/>
                <w:szCs w:val="21"/>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Cs w:val="21"/>
              </w:rPr>
            </w:pPr>
            <w:r>
              <w:rPr>
                <w:rFonts w:hint="eastAsia" w:ascii="宋体" w:hAnsi="宋体" w:cs="宋体"/>
                <w:szCs w:val="21"/>
              </w:rPr>
              <w:t>1、本招标文件前后条款若有不一致之处，在澄清答疑时又未作出明确规定时，各投标人的投标文件只要满足其中任一条款，均视为对本招标文件的响应。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Cs w:val="21"/>
              </w:rPr>
            </w:pPr>
            <w:r>
              <w:rPr>
                <w:rFonts w:hint="eastAsia" w:ascii="宋体" w:hAnsi="宋体" w:cs="宋体"/>
                <w:szCs w:val="21"/>
              </w:rPr>
              <w:t>2、本项目招标公告与本招标文件不一致之处，以本招标文件为准。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Cs w:val="21"/>
              </w:rPr>
            </w:pPr>
            <w:r>
              <w:rPr>
                <w:rFonts w:hint="eastAsia" w:ascii="宋体" w:hAnsi="宋体" w:cs="宋体"/>
                <w:szCs w:val="21"/>
              </w:rPr>
              <w:t>3、本项目严禁非法转包，一经发现，招标人依法处理。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trike/>
                <w:szCs w:val="21"/>
              </w:rPr>
            </w:pPr>
            <w:r>
              <w:rPr>
                <w:rFonts w:hint="eastAsia" w:ascii="宋体" w:hAnsi="宋体" w:cs="宋体"/>
                <w:szCs w:val="21"/>
              </w:rPr>
              <w:t>4、本文件的最终解释权归招标人、招标代理机构所有。</w:t>
            </w:r>
          </w:p>
        </w:tc>
      </w:tr>
    </w:tbl>
    <w:p>
      <w:pPr>
        <w:rPr>
          <w:rFonts w:ascii="宋体" w:hAnsi="宋体" w:cs="宋体"/>
          <w:sz w:val="24"/>
        </w:rPr>
      </w:pPr>
      <w:bookmarkStart w:id="53" w:name="_Toc35425053"/>
      <w:bookmarkStart w:id="54" w:name="_Toc78803322"/>
      <w:bookmarkStart w:id="55" w:name="_Toc15058846"/>
      <w:bookmarkStart w:id="56" w:name="_Toc5813"/>
      <w:bookmarkStart w:id="57" w:name="_Toc35424887"/>
      <w:r>
        <w:rPr>
          <w:rFonts w:hint="eastAsia" w:ascii="宋体" w:hAnsi="宋体" w:cs="宋体"/>
          <w:sz w:val="24"/>
        </w:rPr>
        <w:br w:type="page"/>
      </w:r>
    </w:p>
    <w:p>
      <w:pPr>
        <w:pStyle w:val="6"/>
        <w:spacing w:before="156" w:beforeLines="50" w:after="156" w:afterLines="50" w:line="420" w:lineRule="exact"/>
        <w:ind w:firstLine="482" w:firstLineChars="200"/>
        <w:rPr>
          <w:rFonts w:ascii="宋体" w:hAnsi="宋体" w:eastAsia="宋体" w:cs="宋体"/>
          <w:sz w:val="24"/>
          <w:szCs w:val="24"/>
        </w:rPr>
      </w:pPr>
      <w:r>
        <w:rPr>
          <w:rFonts w:hint="eastAsia" w:ascii="宋体" w:hAnsi="宋体" w:eastAsia="宋体" w:cs="宋体"/>
          <w:sz w:val="24"/>
          <w:szCs w:val="24"/>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6"/>
        <w:spacing w:line="420" w:lineRule="exact"/>
        <w:ind w:firstLine="422" w:firstLineChars="200"/>
        <w:rPr>
          <w:rFonts w:ascii="宋体" w:hAnsi="宋体" w:eastAsia="宋体" w:cs="宋体"/>
          <w:kern w:val="44"/>
        </w:rPr>
      </w:pPr>
      <w:bookmarkStart w:id="58" w:name="_Toc152042306"/>
      <w:bookmarkStart w:id="59" w:name="_Toc78803323"/>
      <w:bookmarkStart w:id="60" w:name="_Toc35424888"/>
      <w:bookmarkStart w:id="61" w:name="_Toc179632547"/>
      <w:bookmarkStart w:id="62" w:name="_Toc152045530"/>
      <w:bookmarkStart w:id="63" w:name="_Toc247085690"/>
      <w:bookmarkStart w:id="64" w:name="_Toc506107270"/>
      <w:bookmarkStart w:id="65" w:name="_Toc35425054"/>
      <w:bookmarkStart w:id="66" w:name="_Toc4678"/>
      <w:bookmarkStart w:id="67" w:name="_Toc15058847"/>
      <w:bookmarkStart w:id="68" w:name="_Toc144974498"/>
      <w:bookmarkStart w:id="69" w:name="_Toc246996919"/>
      <w:bookmarkStart w:id="70" w:name="_Toc296602421"/>
      <w:bookmarkStart w:id="71" w:name="_Toc324404816"/>
      <w:bookmarkStart w:id="72" w:name="_Toc246996176"/>
      <w:r>
        <w:rPr>
          <w:rFonts w:hint="eastAsia" w:ascii="宋体" w:hAnsi="宋体" w:eastAsia="宋体" w:cs="宋体"/>
          <w:kern w:val="44"/>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spacing w:line="420" w:lineRule="exact"/>
        <w:ind w:firstLine="420" w:firstLineChars="200"/>
        <w:jc w:val="left"/>
        <w:rPr>
          <w:rFonts w:ascii="宋体" w:hAnsi="宋体" w:cs="宋体"/>
          <w:szCs w:val="21"/>
        </w:rPr>
      </w:pPr>
      <w:r>
        <w:rPr>
          <w:rFonts w:hint="eastAsia" w:ascii="宋体" w:hAnsi="宋体" w:cs="宋体"/>
          <w:szCs w:val="21"/>
        </w:rPr>
        <w:t>1.1.1根据《中华人民共和国招标投标法》《中华人民共和国招标投标法实施条例》等有关法律、法规和规章的规定，本招标项目已具备招标条件，现对本项目施工进行招标。</w:t>
      </w:r>
    </w:p>
    <w:p>
      <w:pPr>
        <w:spacing w:line="420" w:lineRule="exact"/>
        <w:ind w:firstLine="420" w:firstLineChars="200"/>
        <w:jc w:val="left"/>
        <w:rPr>
          <w:rFonts w:ascii="宋体" w:hAnsi="宋体" w:cs="宋体"/>
          <w:szCs w:val="21"/>
        </w:rPr>
      </w:pPr>
      <w:r>
        <w:rPr>
          <w:rFonts w:hint="eastAsia" w:ascii="宋体" w:hAnsi="宋体" w:cs="宋体"/>
          <w:szCs w:val="21"/>
        </w:rPr>
        <w:t>1.1.2 本招标项目招标人：见投标人须知前附表。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1.1.3 本招标项目招标代理机构：见投标人须知前附表。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1.1.4 本招标项目名称：见投标人须知前附表。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1.1.5 本招标项目建设地点：见投标人须知前附表。</w:t>
      </w:r>
    </w:p>
    <w:p>
      <w:pPr>
        <w:pStyle w:val="6"/>
        <w:spacing w:line="420" w:lineRule="exact"/>
        <w:ind w:firstLine="422" w:firstLineChars="200"/>
        <w:rPr>
          <w:rFonts w:ascii="宋体" w:hAnsi="宋体" w:eastAsia="宋体" w:cs="宋体"/>
        </w:rPr>
      </w:pPr>
      <w:bookmarkStart w:id="73" w:name="_Toc152042307"/>
      <w:bookmarkStart w:id="74" w:name="_Toc246996177"/>
      <w:bookmarkStart w:id="75" w:name="_Toc506107271"/>
      <w:bookmarkStart w:id="76" w:name="_Toc7142"/>
      <w:bookmarkStart w:id="77" w:name="_Toc15058848"/>
      <w:bookmarkStart w:id="78" w:name="_Toc35424889"/>
      <w:bookmarkStart w:id="79" w:name="_Toc152045531"/>
      <w:bookmarkStart w:id="80" w:name="_Toc35425055"/>
      <w:bookmarkStart w:id="81" w:name="_Toc179632548"/>
      <w:bookmarkStart w:id="82" w:name="_Toc324404817"/>
      <w:bookmarkStart w:id="83" w:name="_Toc144974499"/>
      <w:bookmarkStart w:id="84" w:name="_Toc78803324"/>
      <w:bookmarkStart w:id="85" w:name="_Toc247085691"/>
      <w:bookmarkStart w:id="86" w:name="_Toc296602422"/>
      <w:bookmarkStart w:id="87" w:name="_Toc246996920"/>
      <w:r>
        <w:rPr>
          <w:rFonts w:hint="eastAsia" w:ascii="宋体" w:hAnsi="宋体" w:eastAsia="宋体" w:cs="宋体"/>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spacing w:line="420" w:lineRule="exact"/>
        <w:ind w:firstLine="420" w:firstLineChars="200"/>
        <w:jc w:val="left"/>
        <w:rPr>
          <w:rFonts w:ascii="宋体" w:hAnsi="宋体" w:cs="宋体"/>
          <w:szCs w:val="21"/>
        </w:rPr>
      </w:pPr>
      <w:r>
        <w:rPr>
          <w:rFonts w:hint="eastAsia" w:ascii="宋体" w:hAnsi="宋体" w:cs="宋体"/>
          <w:szCs w:val="21"/>
        </w:rPr>
        <w:t>1.2.1 本招标项目的资金来源及出资比例：见投标人须知前附表。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1.2.2 本招标项目的资金落实情况：见投标人须知前附表。</w:t>
      </w:r>
    </w:p>
    <w:p>
      <w:pPr>
        <w:pStyle w:val="6"/>
        <w:spacing w:line="420" w:lineRule="exact"/>
        <w:ind w:firstLine="422" w:firstLineChars="200"/>
        <w:rPr>
          <w:rFonts w:ascii="宋体" w:hAnsi="宋体" w:eastAsia="宋体" w:cs="宋体"/>
        </w:rPr>
      </w:pPr>
      <w:bookmarkStart w:id="88" w:name="_Toc296602423"/>
      <w:bookmarkStart w:id="89" w:name="_Toc246996921"/>
      <w:bookmarkStart w:id="90" w:name="_Toc15058849"/>
      <w:bookmarkStart w:id="91" w:name="_Toc246996178"/>
      <w:bookmarkStart w:id="92" w:name="_Toc506107272"/>
      <w:bookmarkStart w:id="93" w:name="_Toc324404818"/>
      <w:bookmarkStart w:id="94" w:name="_Toc6330"/>
      <w:bookmarkStart w:id="95" w:name="_Toc144974500"/>
      <w:bookmarkStart w:id="96" w:name="_Toc179632549"/>
      <w:bookmarkStart w:id="97" w:name="_Toc78803325"/>
      <w:bookmarkStart w:id="98" w:name="_Toc152045532"/>
      <w:bookmarkStart w:id="99" w:name="_Toc152042308"/>
      <w:bookmarkStart w:id="100" w:name="_Toc247085692"/>
      <w:bookmarkStart w:id="101" w:name="_Toc35424890"/>
      <w:bookmarkStart w:id="102" w:name="_Toc35425056"/>
      <w:r>
        <w:rPr>
          <w:rFonts w:hint="eastAsia" w:ascii="宋体" w:hAnsi="宋体" w:eastAsia="宋体" w:cs="宋体"/>
        </w:rPr>
        <w:t>1.3 招标范围、工期、质量要求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420" w:lineRule="exact"/>
        <w:ind w:firstLine="420" w:firstLineChars="200"/>
        <w:jc w:val="left"/>
        <w:rPr>
          <w:rFonts w:ascii="宋体" w:hAnsi="宋体" w:cs="宋体"/>
          <w:szCs w:val="21"/>
        </w:rPr>
      </w:pPr>
      <w:r>
        <w:rPr>
          <w:rFonts w:hint="eastAsia" w:ascii="宋体" w:hAnsi="宋体" w:cs="宋体"/>
          <w:szCs w:val="21"/>
        </w:rPr>
        <w:t>1.3.1 本次招标范围：见投标人须知前附表。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1.3.2 本招标项目的工期：见投标人须知前附表。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1.3.3 本招标项目的质量要求：见投标人须知前附表。</w:t>
      </w:r>
    </w:p>
    <w:p>
      <w:pPr>
        <w:pStyle w:val="6"/>
        <w:spacing w:line="420" w:lineRule="exact"/>
        <w:ind w:firstLine="422" w:firstLineChars="200"/>
        <w:rPr>
          <w:rFonts w:ascii="宋体" w:hAnsi="宋体" w:eastAsia="宋体" w:cs="宋体"/>
        </w:rPr>
      </w:pPr>
      <w:bookmarkStart w:id="103" w:name="_Toc26897"/>
      <w:bookmarkStart w:id="104" w:name="_Toc324404819"/>
      <w:bookmarkStart w:id="105" w:name="_Toc179632551"/>
      <w:bookmarkStart w:id="106" w:name="_Toc78803326"/>
      <w:bookmarkStart w:id="107" w:name="_Toc247085693"/>
      <w:bookmarkStart w:id="108" w:name="_Toc35424891"/>
      <w:bookmarkStart w:id="109" w:name="_Toc35425057"/>
      <w:bookmarkStart w:id="110" w:name="_Toc152042310"/>
      <w:bookmarkStart w:id="111" w:name="_Toc15058850"/>
      <w:bookmarkStart w:id="112" w:name="_Toc152045534"/>
      <w:bookmarkStart w:id="113" w:name="_Toc506107273"/>
      <w:bookmarkStart w:id="114" w:name="_Toc246996179"/>
      <w:bookmarkStart w:id="115" w:name="_Toc296602424"/>
      <w:bookmarkStart w:id="116" w:name="_Toc144974502"/>
      <w:bookmarkStart w:id="117" w:name="_Toc246996922"/>
      <w:r>
        <w:rPr>
          <w:rFonts w:hint="eastAsia" w:ascii="宋体" w:hAnsi="宋体" w:eastAsia="宋体" w:cs="宋体"/>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420" w:lineRule="exact"/>
        <w:ind w:firstLine="420" w:firstLineChars="200"/>
        <w:jc w:val="left"/>
        <w:rPr>
          <w:rFonts w:ascii="宋体" w:hAnsi="宋体" w:cs="宋体"/>
          <w:szCs w:val="21"/>
        </w:rPr>
      </w:pPr>
      <w:r>
        <w:rPr>
          <w:rFonts w:hint="eastAsia" w:ascii="宋体" w:hAnsi="宋体" w:cs="宋体"/>
          <w:szCs w:val="21"/>
        </w:rPr>
        <w:t>1.4.1 投标人应具备承担本项目施工的资质条件、能力和信誉。</w:t>
      </w:r>
    </w:p>
    <w:p>
      <w:pPr>
        <w:spacing w:line="420" w:lineRule="exact"/>
        <w:ind w:firstLine="420" w:firstLineChars="200"/>
        <w:jc w:val="left"/>
        <w:rPr>
          <w:rFonts w:ascii="宋体" w:hAnsi="宋体" w:cs="宋体"/>
          <w:szCs w:val="21"/>
        </w:rPr>
      </w:pPr>
      <w:r>
        <w:rPr>
          <w:rFonts w:hint="eastAsia" w:ascii="宋体" w:hAnsi="宋体" w:cs="宋体"/>
          <w:szCs w:val="21"/>
        </w:rPr>
        <w:t>（1）资质条件：见投标人须知前附表；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（2）项目经理资格：见投标人须知前附表；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（3）信誉要求：见投标人须知前附表；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（4）其他要求：见投标人须知前附表。</w:t>
      </w:r>
    </w:p>
    <w:p>
      <w:pPr>
        <w:spacing w:line="420" w:lineRule="exact"/>
        <w:ind w:firstLine="420" w:firstLineChars="200"/>
        <w:jc w:val="left"/>
        <w:rPr>
          <w:rFonts w:ascii="宋体" w:hAnsi="宋体" w:cs="宋体"/>
          <w:szCs w:val="21"/>
        </w:rPr>
      </w:pPr>
      <w:r>
        <w:rPr>
          <w:rFonts w:hint="eastAsia" w:ascii="宋体" w:hAnsi="宋体" w:cs="宋体"/>
          <w:szCs w:val="21"/>
        </w:rPr>
        <w:t>1.4.2 投标人不得存在下列情形之一：</w:t>
      </w:r>
    </w:p>
    <w:p>
      <w:pPr>
        <w:spacing w:line="420" w:lineRule="exact"/>
        <w:ind w:firstLine="420" w:firstLineChars="200"/>
        <w:jc w:val="left"/>
        <w:rPr>
          <w:rFonts w:ascii="宋体" w:hAnsi="宋体" w:cs="宋体"/>
          <w:szCs w:val="21"/>
        </w:rPr>
      </w:pPr>
      <w:r>
        <w:rPr>
          <w:rFonts w:hint="eastAsia" w:ascii="宋体" w:hAnsi="宋体" w:cs="宋体"/>
          <w:szCs w:val="21"/>
        </w:rPr>
        <w:t>（1）为招标人不具有独立法人资格的附属机构（单位）；</w:t>
      </w:r>
    </w:p>
    <w:p>
      <w:pPr>
        <w:spacing w:line="420" w:lineRule="exact"/>
        <w:ind w:firstLine="420" w:firstLineChars="200"/>
        <w:jc w:val="left"/>
        <w:rPr>
          <w:rFonts w:ascii="宋体" w:hAnsi="宋体" w:cs="宋体"/>
          <w:szCs w:val="21"/>
        </w:rPr>
      </w:pPr>
      <w:r>
        <w:rPr>
          <w:rFonts w:hint="eastAsia" w:ascii="宋体" w:hAnsi="宋体" w:cs="宋体"/>
          <w:szCs w:val="21"/>
        </w:rPr>
        <w:t>（2）与招标人存在利害关系且可能影响招标公正性；</w:t>
      </w:r>
    </w:p>
    <w:p>
      <w:pPr>
        <w:spacing w:line="420" w:lineRule="exact"/>
        <w:ind w:firstLine="420" w:firstLineChars="200"/>
        <w:jc w:val="left"/>
        <w:rPr>
          <w:rFonts w:ascii="宋体" w:hAnsi="宋体" w:cs="宋体"/>
          <w:szCs w:val="21"/>
        </w:rPr>
      </w:pPr>
      <w:r>
        <w:rPr>
          <w:rFonts w:hint="eastAsia" w:ascii="宋体" w:hAnsi="宋体" w:cs="宋体"/>
          <w:szCs w:val="21"/>
        </w:rPr>
        <w:t>（3）与本标段的其他投标人同为一个单位负责人；</w:t>
      </w:r>
    </w:p>
    <w:p>
      <w:pPr>
        <w:spacing w:line="420" w:lineRule="exact"/>
        <w:ind w:firstLine="420" w:firstLineChars="200"/>
        <w:jc w:val="left"/>
        <w:rPr>
          <w:rFonts w:ascii="宋体" w:hAnsi="宋体" w:cs="宋体"/>
          <w:szCs w:val="21"/>
        </w:rPr>
      </w:pPr>
      <w:r>
        <w:rPr>
          <w:rFonts w:hint="eastAsia" w:ascii="宋体" w:hAnsi="宋体" w:cs="宋体"/>
          <w:szCs w:val="21"/>
        </w:rPr>
        <w:t>（4）与本标段的其他投标人存在控股、管理关系；</w:t>
      </w:r>
    </w:p>
    <w:p>
      <w:pPr>
        <w:spacing w:line="420" w:lineRule="exact"/>
        <w:ind w:firstLine="420" w:firstLineChars="200"/>
        <w:jc w:val="left"/>
        <w:rPr>
          <w:rFonts w:ascii="宋体" w:hAnsi="宋体" w:cs="宋体"/>
          <w:szCs w:val="21"/>
        </w:rPr>
      </w:pPr>
      <w:r>
        <w:rPr>
          <w:rFonts w:hint="eastAsia" w:ascii="宋体" w:hAnsi="宋体" w:cs="宋体"/>
          <w:szCs w:val="21"/>
        </w:rPr>
        <w:t>（5）为本标段前期准备提供设计或咨询服务的法人或其任何附属机构（单位）；</w:t>
      </w:r>
    </w:p>
    <w:p>
      <w:pPr>
        <w:spacing w:line="420" w:lineRule="exact"/>
        <w:ind w:firstLine="420" w:firstLineChars="200"/>
        <w:jc w:val="left"/>
        <w:rPr>
          <w:rFonts w:ascii="宋体" w:hAnsi="宋体" w:cs="宋体"/>
          <w:szCs w:val="21"/>
        </w:rPr>
      </w:pPr>
      <w:r>
        <w:rPr>
          <w:rFonts w:hint="eastAsia" w:ascii="宋体" w:hAnsi="宋体" w:cs="宋体"/>
          <w:szCs w:val="21"/>
        </w:rPr>
        <w:t>（6）为本标段的监理人；</w:t>
      </w:r>
    </w:p>
    <w:p>
      <w:pPr>
        <w:spacing w:line="420" w:lineRule="exact"/>
        <w:ind w:firstLine="420" w:firstLineChars="200"/>
        <w:jc w:val="left"/>
        <w:rPr>
          <w:rFonts w:ascii="宋体" w:hAnsi="宋体" w:cs="宋体"/>
          <w:szCs w:val="21"/>
        </w:rPr>
      </w:pPr>
      <w:r>
        <w:rPr>
          <w:rFonts w:hint="eastAsia" w:ascii="宋体" w:hAnsi="宋体" w:cs="宋体"/>
          <w:szCs w:val="21"/>
        </w:rPr>
        <w:t>（7）为本标段的代建人；</w:t>
      </w:r>
    </w:p>
    <w:p>
      <w:pPr>
        <w:spacing w:line="420" w:lineRule="exact"/>
        <w:ind w:firstLine="420" w:firstLineChars="200"/>
        <w:jc w:val="left"/>
        <w:rPr>
          <w:rFonts w:ascii="宋体" w:hAnsi="宋体" w:cs="宋体"/>
          <w:szCs w:val="21"/>
        </w:rPr>
      </w:pPr>
      <w:r>
        <w:rPr>
          <w:rFonts w:hint="eastAsia" w:ascii="宋体" w:hAnsi="宋体" w:cs="宋体"/>
          <w:szCs w:val="21"/>
        </w:rPr>
        <w:t>（8）为本标段的招标代理机构；</w:t>
      </w:r>
    </w:p>
    <w:p>
      <w:pPr>
        <w:spacing w:line="420" w:lineRule="exact"/>
        <w:ind w:firstLine="420" w:firstLineChars="200"/>
        <w:jc w:val="left"/>
        <w:rPr>
          <w:rFonts w:ascii="宋体" w:hAnsi="宋体" w:cs="宋体"/>
          <w:szCs w:val="21"/>
        </w:rPr>
      </w:pPr>
      <w:r>
        <w:rPr>
          <w:rFonts w:hint="eastAsia" w:ascii="宋体" w:hAnsi="宋体" w:cs="宋体"/>
          <w:szCs w:val="21"/>
        </w:rPr>
        <w:t>（9）与本标段的监理人或代建人或招标代理机构同为一个法定代表人；</w:t>
      </w:r>
    </w:p>
    <w:p>
      <w:pPr>
        <w:spacing w:line="420" w:lineRule="exact"/>
        <w:ind w:firstLine="420" w:firstLineChars="200"/>
        <w:jc w:val="left"/>
        <w:rPr>
          <w:rFonts w:ascii="宋体" w:hAnsi="宋体" w:cs="宋体"/>
          <w:szCs w:val="21"/>
        </w:rPr>
      </w:pPr>
      <w:r>
        <w:rPr>
          <w:rFonts w:hint="eastAsia" w:ascii="宋体" w:hAnsi="宋体" w:cs="宋体"/>
          <w:szCs w:val="21"/>
        </w:rPr>
        <w:t>（10）与本标段的监理人或代建人或招标代理机构存在控股或参股关系；</w:t>
      </w:r>
    </w:p>
    <w:p>
      <w:pPr>
        <w:spacing w:line="420" w:lineRule="exact"/>
        <w:ind w:firstLine="420" w:firstLineChars="200"/>
        <w:jc w:val="left"/>
        <w:rPr>
          <w:rFonts w:ascii="宋体" w:hAnsi="宋体" w:cs="宋体"/>
          <w:szCs w:val="21"/>
        </w:rPr>
      </w:pPr>
      <w:r>
        <w:rPr>
          <w:rFonts w:hint="eastAsia" w:ascii="宋体" w:hAnsi="宋体" w:cs="宋体"/>
          <w:szCs w:val="21"/>
        </w:rPr>
        <w:t>（11）法律法规或投标人须知前附表规定的其他情形。</w:t>
      </w:r>
    </w:p>
    <w:p>
      <w:pPr>
        <w:spacing w:line="420" w:lineRule="exact"/>
        <w:ind w:firstLine="420" w:firstLineChars="200"/>
        <w:jc w:val="left"/>
        <w:rPr>
          <w:rFonts w:ascii="宋体" w:hAnsi="宋体" w:cs="宋体"/>
          <w:szCs w:val="21"/>
        </w:rPr>
      </w:pPr>
      <w:r>
        <w:rPr>
          <w:rFonts w:hint="eastAsia" w:ascii="宋体" w:hAnsi="宋体" w:cs="宋体"/>
          <w:szCs w:val="21"/>
        </w:rPr>
        <w:t>1.4.3 单位负责人为同一人或者存在控股、管理关系的不同单位，不得同时参加本招标项目投标。</w:t>
      </w:r>
    </w:p>
    <w:p>
      <w:pPr>
        <w:pStyle w:val="6"/>
        <w:spacing w:line="420" w:lineRule="exact"/>
        <w:ind w:firstLine="422" w:firstLineChars="200"/>
        <w:rPr>
          <w:rFonts w:ascii="宋体" w:hAnsi="宋体" w:eastAsia="宋体" w:cs="宋体"/>
        </w:rPr>
      </w:pPr>
      <w:bookmarkStart w:id="118" w:name="_Toc15058851"/>
      <w:bookmarkStart w:id="119" w:name="_Toc506107274"/>
      <w:bookmarkStart w:id="120" w:name="_Toc10179"/>
      <w:bookmarkStart w:id="121" w:name="_Toc152045535"/>
      <w:bookmarkStart w:id="122" w:name="_Toc296602425"/>
      <w:bookmarkStart w:id="123" w:name="_Toc144974503"/>
      <w:bookmarkStart w:id="124" w:name="_Toc247085694"/>
      <w:bookmarkStart w:id="125" w:name="_Toc324404820"/>
      <w:bookmarkStart w:id="126" w:name="_Toc35425058"/>
      <w:bookmarkStart w:id="127" w:name="_Toc179632552"/>
      <w:bookmarkStart w:id="128" w:name="_Toc35424892"/>
      <w:bookmarkStart w:id="129" w:name="_Toc246996180"/>
      <w:bookmarkStart w:id="130" w:name="_Toc78803327"/>
      <w:bookmarkStart w:id="131" w:name="_Toc152042311"/>
      <w:bookmarkStart w:id="132" w:name="_Toc246996923"/>
      <w:r>
        <w:rPr>
          <w:rFonts w:hint="eastAsia" w:ascii="宋体" w:hAnsi="宋体" w:eastAsia="宋体" w:cs="宋体"/>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420" w:lineRule="exact"/>
        <w:ind w:firstLine="420" w:firstLineChars="200"/>
        <w:jc w:val="left"/>
        <w:rPr>
          <w:rFonts w:ascii="宋体" w:hAnsi="宋体" w:cs="宋体"/>
          <w:szCs w:val="21"/>
        </w:rPr>
      </w:pPr>
      <w:r>
        <w:rPr>
          <w:rFonts w:hint="eastAsia" w:ascii="宋体" w:hAnsi="宋体" w:cs="宋体"/>
          <w:szCs w:val="21"/>
        </w:rPr>
        <w:t>投标人准备和参加投标活动发生的费用自理。</w:t>
      </w:r>
    </w:p>
    <w:p>
      <w:pPr>
        <w:pStyle w:val="6"/>
        <w:spacing w:line="420" w:lineRule="exact"/>
        <w:ind w:firstLine="422" w:firstLineChars="200"/>
        <w:rPr>
          <w:rFonts w:ascii="宋体" w:hAnsi="宋体" w:eastAsia="宋体" w:cs="宋体"/>
        </w:rPr>
      </w:pPr>
      <w:bookmarkStart w:id="133" w:name="_Toc246996924"/>
      <w:bookmarkStart w:id="134" w:name="_Toc35424893"/>
      <w:bookmarkStart w:id="135" w:name="_Toc296602426"/>
      <w:bookmarkStart w:id="136" w:name="_Toc35425059"/>
      <w:bookmarkStart w:id="137" w:name="_Toc179632553"/>
      <w:bookmarkStart w:id="138" w:name="_Toc4092"/>
      <w:bookmarkStart w:id="139" w:name="_Toc15058852"/>
      <w:bookmarkStart w:id="140" w:name="_Toc78803328"/>
      <w:bookmarkStart w:id="141" w:name="_Toc324404821"/>
      <w:bookmarkStart w:id="142" w:name="_Toc506107275"/>
      <w:bookmarkStart w:id="143" w:name="_Toc247085695"/>
      <w:bookmarkStart w:id="144" w:name="_Toc152045536"/>
      <w:bookmarkStart w:id="145" w:name="_Toc152042312"/>
      <w:bookmarkStart w:id="146" w:name="_Toc246996181"/>
      <w:bookmarkStart w:id="147" w:name="_Toc144974504"/>
      <w:r>
        <w:rPr>
          <w:rFonts w:hint="eastAsia" w:ascii="宋体" w:hAnsi="宋体" w:eastAsia="宋体" w:cs="宋体"/>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spacing w:line="420" w:lineRule="exact"/>
        <w:ind w:firstLine="420" w:firstLineChars="200"/>
        <w:jc w:val="left"/>
        <w:rPr>
          <w:rFonts w:ascii="宋体" w:hAnsi="宋体" w:cs="宋体"/>
          <w:szCs w:val="21"/>
        </w:rPr>
      </w:pPr>
      <w:r>
        <w:rPr>
          <w:rFonts w:hint="eastAsia" w:ascii="宋体" w:hAnsi="宋体" w:cs="宋体"/>
          <w:szCs w:val="21"/>
        </w:rPr>
        <w:t xml:space="preserve">参与招标投标活动的各方应对招标文件和投标文件中的商业和技术等秘密保密，违者应对由此造成的后果承担法律责任。 </w:t>
      </w:r>
    </w:p>
    <w:p>
      <w:pPr>
        <w:pStyle w:val="6"/>
        <w:spacing w:line="420" w:lineRule="exact"/>
        <w:ind w:firstLine="422" w:firstLineChars="200"/>
        <w:rPr>
          <w:rFonts w:ascii="宋体" w:hAnsi="宋体" w:eastAsia="宋体" w:cs="宋体"/>
        </w:rPr>
      </w:pPr>
      <w:bookmarkStart w:id="148" w:name="_Toc144974505"/>
      <w:bookmarkStart w:id="149" w:name="_Toc152042313"/>
      <w:bookmarkStart w:id="150" w:name="_Toc246996925"/>
      <w:bookmarkStart w:id="151" w:name="_Toc506107276"/>
      <w:bookmarkStart w:id="152" w:name="_Toc324404822"/>
      <w:bookmarkStart w:id="153" w:name="_Toc78803329"/>
      <w:bookmarkStart w:id="154" w:name="_Toc246996182"/>
      <w:bookmarkStart w:id="155" w:name="_Toc296602427"/>
      <w:bookmarkStart w:id="156" w:name="_Toc15058853"/>
      <w:bookmarkStart w:id="157" w:name="_Toc247085696"/>
      <w:bookmarkStart w:id="158" w:name="_Toc35425060"/>
      <w:bookmarkStart w:id="159" w:name="_Toc4119"/>
      <w:bookmarkStart w:id="160" w:name="_Toc152045537"/>
      <w:bookmarkStart w:id="161" w:name="_Toc179632554"/>
      <w:bookmarkStart w:id="162" w:name="_Toc35424894"/>
      <w:r>
        <w:rPr>
          <w:rFonts w:hint="eastAsia" w:ascii="宋体" w:hAnsi="宋体" w:eastAsia="宋体" w:cs="宋体"/>
        </w:rPr>
        <w:t>1.7 语言</w:t>
      </w:r>
      <w:bookmarkEnd w:id="148"/>
      <w:r>
        <w:rPr>
          <w:rFonts w:hint="eastAsia" w:ascii="宋体" w:hAnsi="宋体" w:eastAsia="宋体" w:cs="宋体"/>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spacing w:line="420" w:lineRule="exact"/>
        <w:ind w:firstLine="420" w:firstLineChars="200"/>
        <w:jc w:val="left"/>
        <w:rPr>
          <w:rFonts w:ascii="宋体" w:hAnsi="宋体" w:cs="宋体"/>
          <w:szCs w:val="21"/>
        </w:rPr>
      </w:pPr>
      <w:bookmarkStart w:id="163" w:name="_Toc179632555"/>
      <w:bookmarkStart w:id="164" w:name="_Toc144974506"/>
      <w:bookmarkStart w:id="165" w:name="_Toc246996926"/>
      <w:bookmarkStart w:id="166" w:name="_Toc152045538"/>
      <w:bookmarkStart w:id="167" w:name="_Toc247085697"/>
      <w:bookmarkStart w:id="168" w:name="_Toc246996183"/>
      <w:bookmarkStart w:id="169" w:name="_Toc152042314"/>
      <w:r>
        <w:rPr>
          <w:rFonts w:hint="eastAsia" w:ascii="宋体" w:hAnsi="宋体" w:cs="宋体"/>
          <w:szCs w:val="21"/>
        </w:rPr>
        <w:t>招标投标文件使用的语言文字为中文。专用术语使用外文的，应附有中文注释。</w:t>
      </w:r>
    </w:p>
    <w:p>
      <w:pPr>
        <w:pStyle w:val="6"/>
        <w:spacing w:line="420" w:lineRule="exact"/>
        <w:ind w:firstLine="422" w:firstLineChars="200"/>
        <w:rPr>
          <w:rFonts w:ascii="宋体" w:hAnsi="宋体" w:eastAsia="宋体" w:cs="宋体"/>
        </w:rPr>
      </w:pPr>
      <w:bookmarkStart w:id="170" w:name="_Toc13408"/>
      <w:bookmarkStart w:id="171" w:name="_Toc296602428"/>
      <w:bookmarkStart w:id="172" w:name="_Toc324404823"/>
      <w:bookmarkStart w:id="173" w:name="_Toc78803330"/>
      <w:bookmarkStart w:id="174" w:name="_Toc506107277"/>
      <w:bookmarkStart w:id="175" w:name="_Toc35425061"/>
      <w:bookmarkStart w:id="176" w:name="_Toc35424895"/>
      <w:bookmarkStart w:id="177" w:name="_Toc15058854"/>
      <w:r>
        <w:rPr>
          <w:rFonts w:hint="eastAsia" w:ascii="宋体" w:hAnsi="宋体" w:eastAsia="宋体" w:cs="宋体"/>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spacing w:line="420" w:lineRule="exact"/>
        <w:ind w:firstLine="420" w:firstLineChars="200"/>
        <w:jc w:val="left"/>
        <w:rPr>
          <w:rFonts w:ascii="宋体" w:hAnsi="宋体" w:cs="宋体"/>
          <w:szCs w:val="21"/>
        </w:rPr>
      </w:pPr>
      <w:r>
        <w:rPr>
          <w:rFonts w:hint="eastAsia" w:ascii="宋体" w:hAnsi="宋体" w:cs="宋体"/>
          <w:szCs w:val="21"/>
        </w:rPr>
        <w:t>所有计量均采用中华人民共和国法定计量单位。</w:t>
      </w:r>
    </w:p>
    <w:p>
      <w:pPr>
        <w:pStyle w:val="6"/>
        <w:spacing w:line="420" w:lineRule="exact"/>
        <w:ind w:firstLine="422" w:firstLineChars="200"/>
        <w:rPr>
          <w:rFonts w:ascii="宋体" w:hAnsi="宋体" w:eastAsia="宋体" w:cs="宋体"/>
        </w:rPr>
      </w:pPr>
      <w:bookmarkStart w:id="178" w:name="_Toc506107278"/>
      <w:bookmarkStart w:id="179" w:name="_Toc144974507"/>
      <w:bookmarkStart w:id="180" w:name="_Toc247527563"/>
      <w:bookmarkStart w:id="181" w:name="_Toc324404824"/>
      <w:bookmarkStart w:id="182" w:name="_Toc152042315"/>
      <w:bookmarkStart w:id="183" w:name="_Toc247513962"/>
      <w:bookmarkStart w:id="184" w:name="_Toc247592876"/>
      <w:bookmarkStart w:id="185" w:name="_Toc296602429"/>
      <w:bookmarkStart w:id="186" w:name="_Toc35424896"/>
      <w:bookmarkStart w:id="187" w:name="_Toc11493"/>
      <w:bookmarkStart w:id="188" w:name="_Toc15058855"/>
      <w:bookmarkStart w:id="189" w:name="_Toc78803331"/>
      <w:bookmarkStart w:id="190" w:name="_Toc152045539"/>
      <w:bookmarkStart w:id="191" w:name="_Toc35425062"/>
      <w:r>
        <w:rPr>
          <w:rFonts w:hint="eastAsia" w:ascii="宋体" w:hAnsi="宋体" w:eastAsia="宋体" w:cs="宋体"/>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spacing w:line="420" w:lineRule="exact"/>
        <w:ind w:firstLine="420" w:firstLineChars="200"/>
        <w:jc w:val="left"/>
        <w:rPr>
          <w:rFonts w:ascii="宋体" w:hAnsi="宋体" w:cs="宋体"/>
          <w:szCs w:val="21"/>
        </w:rPr>
      </w:pPr>
      <w:r>
        <w:rPr>
          <w:rFonts w:hint="eastAsia" w:ascii="宋体" w:hAnsi="宋体" w:cs="宋体"/>
          <w:szCs w:val="21"/>
        </w:rPr>
        <w:t xml:space="preserve">1.9.1 投标人须知前附表规定组织踏勘现场的，招标人按投标人须知前附表规定的时间、地点组织投标人踏勘项目现场。 </w:t>
      </w:r>
    </w:p>
    <w:p>
      <w:pPr>
        <w:spacing w:line="420" w:lineRule="exact"/>
        <w:ind w:firstLine="420" w:firstLineChars="200"/>
        <w:jc w:val="left"/>
        <w:rPr>
          <w:rFonts w:ascii="宋体" w:hAnsi="宋体" w:cs="宋体"/>
          <w:szCs w:val="21"/>
        </w:rPr>
      </w:pPr>
      <w:r>
        <w:rPr>
          <w:rFonts w:hint="eastAsia" w:ascii="宋体" w:hAnsi="宋体" w:cs="宋体"/>
          <w:szCs w:val="21"/>
        </w:rPr>
        <w:t>1.9.2 投标人踏勘现场发生的费用自理。</w:t>
      </w:r>
    </w:p>
    <w:p>
      <w:pPr>
        <w:spacing w:line="420" w:lineRule="exact"/>
        <w:ind w:firstLine="420" w:firstLineChars="200"/>
        <w:jc w:val="left"/>
        <w:rPr>
          <w:rFonts w:ascii="宋体" w:hAnsi="宋体" w:cs="宋体"/>
          <w:szCs w:val="21"/>
        </w:rPr>
      </w:pPr>
      <w:r>
        <w:rPr>
          <w:rFonts w:hint="eastAsia" w:ascii="宋体" w:hAnsi="宋体" w:cs="宋体"/>
          <w:szCs w:val="21"/>
        </w:rPr>
        <w:t>1.9.3 除招标人的原因外，投标人自行负责在踏勘现场中所发生的人员伤亡和财产损失。</w:t>
      </w:r>
    </w:p>
    <w:p>
      <w:pPr>
        <w:spacing w:line="420" w:lineRule="exact"/>
        <w:ind w:firstLine="420" w:firstLineChars="200"/>
        <w:jc w:val="left"/>
        <w:rPr>
          <w:rFonts w:ascii="宋体" w:hAnsi="宋体" w:cs="宋体"/>
          <w:szCs w:val="21"/>
        </w:rPr>
      </w:pPr>
      <w:r>
        <w:rPr>
          <w:rFonts w:hint="eastAsia" w:ascii="宋体" w:hAnsi="宋体" w:cs="宋体"/>
          <w:szCs w:val="21"/>
        </w:rPr>
        <w:t>1.9.4 招标人在踏勘现场中介绍的工程场地和相关的周边环境情况，供投标人在编制投标文件时参考，招标人不对投标人据此作出的判断和决策负责。</w:t>
      </w:r>
    </w:p>
    <w:p>
      <w:pPr>
        <w:pStyle w:val="6"/>
        <w:spacing w:line="420" w:lineRule="exact"/>
        <w:ind w:firstLine="422" w:firstLineChars="200"/>
        <w:rPr>
          <w:rFonts w:ascii="宋体" w:hAnsi="宋体" w:eastAsia="宋体" w:cs="宋体"/>
        </w:rPr>
      </w:pPr>
      <w:bookmarkStart w:id="192" w:name="_Toc78803332"/>
      <w:bookmarkStart w:id="193" w:name="_Toc15058856"/>
      <w:bookmarkStart w:id="194" w:name="_Toc35425063"/>
      <w:bookmarkStart w:id="195" w:name="_Toc324404825"/>
      <w:bookmarkStart w:id="196" w:name="_Toc152042316"/>
      <w:bookmarkStart w:id="197" w:name="_Toc152045540"/>
      <w:bookmarkStart w:id="198" w:name="_Toc22954"/>
      <w:bookmarkStart w:id="199" w:name="_Toc247513963"/>
      <w:bookmarkStart w:id="200" w:name="_Toc35424897"/>
      <w:bookmarkStart w:id="201" w:name="_Toc247592877"/>
      <w:bookmarkStart w:id="202" w:name="_Toc296602430"/>
      <w:bookmarkStart w:id="203" w:name="_Toc144974508"/>
      <w:bookmarkStart w:id="204" w:name="_Toc247527564"/>
      <w:bookmarkStart w:id="205" w:name="_Toc506107279"/>
      <w:r>
        <w:rPr>
          <w:rFonts w:hint="eastAsia" w:ascii="宋体" w:hAnsi="宋体" w:eastAsia="宋体" w:cs="宋体"/>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pacing w:line="420" w:lineRule="exact"/>
        <w:ind w:firstLine="420" w:firstLineChars="200"/>
        <w:jc w:val="left"/>
        <w:rPr>
          <w:rFonts w:ascii="宋体" w:hAnsi="宋体" w:cs="宋体"/>
          <w:szCs w:val="21"/>
        </w:rPr>
      </w:pPr>
      <w:r>
        <w:rPr>
          <w:rFonts w:hint="eastAsia" w:ascii="宋体" w:hAnsi="宋体" w:cs="宋体"/>
          <w:szCs w:val="21"/>
        </w:rPr>
        <w:t>1.10.1投标人须知前附表规定召开投标预备会的，招标人按投标人须知前附表规定的时间和地点召开投标预备会，澄清投标人提出的问题。</w:t>
      </w:r>
    </w:p>
    <w:p>
      <w:pPr>
        <w:spacing w:line="420" w:lineRule="exact"/>
        <w:ind w:firstLine="420" w:firstLineChars="200"/>
        <w:jc w:val="left"/>
        <w:rPr>
          <w:rFonts w:ascii="宋体" w:hAnsi="宋体" w:cs="宋体"/>
          <w:szCs w:val="21"/>
        </w:rPr>
      </w:pPr>
      <w:r>
        <w:rPr>
          <w:rFonts w:hint="eastAsia" w:ascii="宋体" w:hAnsi="宋体" w:cs="宋体"/>
          <w:szCs w:val="21"/>
        </w:rPr>
        <w:t>1.10.2投标人应在投标人须知前附表规定的时间前，将提出的问题送达招标人，以便招标人澄清。</w:t>
      </w:r>
    </w:p>
    <w:p>
      <w:pPr>
        <w:spacing w:line="420" w:lineRule="exact"/>
        <w:ind w:firstLine="420" w:firstLineChars="200"/>
        <w:jc w:val="left"/>
        <w:rPr>
          <w:rFonts w:ascii="宋体" w:hAnsi="宋体" w:cs="宋体"/>
          <w:szCs w:val="21"/>
        </w:rPr>
      </w:pPr>
      <w:r>
        <w:rPr>
          <w:rFonts w:hint="eastAsia" w:ascii="宋体" w:hAnsi="宋体" w:cs="宋体"/>
          <w:szCs w:val="21"/>
        </w:rPr>
        <w:t>1.10.3招标人在投标人须知前附表规定的时间，将对投标人所提的问题进行澄清。该澄清内容为招标文件的组成部分。</w:t>
      </w:r>
    </w:p>
    <w:p>
      <w:pPr>
        <w:pStyle w:val="6"/>
        <w:spacing w:line="420" w:lineRule="exact"/>
        <w:ind w:firstLine="422" w:firstLineChars="200"/>
        <w:rPr>
          <w:rFonts w:ascii="宋体" w:hAnsi="宋体" w:eastAsia="宋体" w:cs="宋体"/>
        </w:rPr>
      </w:pPr>
      <w:bookmarkStart w:id="206" w:name="_Toc15058857"/>
      <w:bookmarkStart w:id="207" w:name="_Toc324404826"/>
      <w:bookmarkStart w:id="208" w:name="_Toc506107280"/>
      <w:bookmarkStart w:id="209" w:name="_Toc296602431"/>
      <w:bookmarkStart w:id="210" w:name="_Toc95223347"/>
      <w:bookmarkStart w:id="211" w:name="_Toc83301699"/>
      <w:bookmarkStart w:id="212" w:name="_Toc60061444"/>
      <w:bookmarkStart w:id="213" w:name="_Toc179632560"/>
      <w:bookmarkStart w:id="214" w:name="_Toc506107281"/>
      <w:bookmarkStart w:id="215" w:name="_Toc144974510"/>
      <w:bookmarkStart w:id="216" w:name="_Toc78803334"/>
      <w:bookmarkStart w:id="217" w:name="_Toc152045542"/>
      <w:bookmarkStart w:id="218" w:name="_Toc152042318"/>
      <w:bookmarkStart w:id="219" w:name="_Toc246996187"/>
      <w:bookmarkStart w:id="220" w:name="_Toc247085701"/>
      <w:bookmarkStart w:id="221" w:name="_Toc35425065"/>
      <w:bookmarkStart w:id="222" w:name="_Toc15058858"/>
      <w:bookmarkStart w:id="223" w:name="_Toc4012"/>
      <w:bookmarkStart w:id="224" w:name="_Toc35424899"/>
      <w:bookmarkStart w:id="225" w:name="_Toc324404827"/>
      <w:bookmarkStart w:id="226" w:name="_Toc246996930"/>
      <w:r>
        <w:rPr>
          <w:rFonts w:hint="eastAsia" w:ascii="宋体" w:hAnsi="宋体" w:eastAsia="宋体" w:cs="宋体"/>
        </w:rPr>
        <w:t xml:space="preserve">1.11 </w:t>
      </w:r>
      <w:bookmarkEnd w:id="206"/>
      <w:bookmarkEnd w:id="207"/>
      <w:bookmarkEnd w:id="208"/>
      <w:bookmarkEnd w:id="209"/>
      <w:r>
        <w:rPr>
          <w:rFonts w:hint="eastAsia" w:ascii="宋体" w:hAnsi="宋体" w:eastAsia="宋体" w:cs="宋体"/>
        </w:rPr>
        <w:t>分包</w:t>
      </w:r>
      <w:bookmarkEnd w:id="210"/>
      <w:bookmarkEnd w:id="211"/>
      <w:bookmarkEnd w:id="212"/>
    </w:p>
    <w:p>
      <w:pPr>
        <w:spacing w:line="420" w:lineRule="exact"/>
        <w:ind w:firstLine="420" w:firstLineChars="200"/>
        <w:jc w:val="left"/>
        <w:rPr>
          <w:rFonts w:ascii="宋体" w:hAnsi="宋体" w:cs="宋体"/>
          <w:szCs w:val="21"/>
        </w:rPr>
      </w:pPr>
      <w:r>
        <w:rPr>
          <w:rFonts w:hint="eastAsia" w:ascii="宋体" w:hAnsi="宋体" w:cs="宋体"/>
          <w:szCs w:val="21"/>
        </w:rPr>
        <w:t>1.11.1 投标人拟在中标后将中标项目的部分非主体、非关键性工作进行分包的，应符合以下规定：</w:t>
      </w:r>
    </w:p>
    <w:p>
      <w:pPr>
        <w:spacing w:line="420" w:lineRule="exact"/>
        <w:ind w:firstLine="420" w:firstLineChars="200"/>
        <w:jc w:val="left"/>
        <w:rPr>
          <w:rFonts w:ascii="宋体" w:hAnsi="宋体" w:cs="宋体"/>
          <w:szCs w:val="21"/>
        </w:rPr>
      </w:pPr>
      <w:r>
        <w:rPr>
          <w:rFonts w:hint="eastAsia" w:ascii="宋体" w:hAnsi="宋体" w:cs="宋体"/>
          <w:szCs w:val="21"/>
        </w:rPr>
        <w:t>（1）分包内容要求：招标人允许分包或不允许分包的专业工程（如有）应在投标人须知前附表中载明；</w:t>
      </w:r>
    </w:p>
    <w:p>
      <w:pPr>
        <w:spacing w:line="420" w:lineRule="exact"/>
        <w:ind w:firstLine="420" w:firstLineChars="200"/>
        <w:jc w:val="left"/>
        <w:rPr>
          <w:rFonts w:ascii="宋体" w:hAnsi="宋体" w:cs="宋体"/>
          <w:szCs w:val="21"/>
        </w:rPr>
      </w:pPr>
      <w:r>
        <w:rPr>
          <w:rFonts w:hint="eastAsia" w:ascii="宋体" w:hAnsi="宋体" w:cs="宋体"/>
          <w:szCs w:val="21"/>
        </w:rPr>
        <w:t>（2）接受分包的第三人资格要求：分包人的资格能力应与其分包工程的标准和规模相适应，且具备投标人须知前附表中规定的资格条件；</w:t>
      </w:r>
    </w:p>
    <w:p>
      <w:pPr>
        <w:spacing w:line="420" w:lineRule="exact"/>
        <w:ind w:firstLine="420" w:firstLineChars="200"/>
        <w:jc w:val="left"/>
        <w:rPr>
          <w:rFonts w:ascii="宋体" w:hAnsi="宋体" w:cs="宋体"/>
          <w:szCs w:val="21"/>
        </w:rPr>
      </w:pPr>
      <w:r>
        <w:rPr>
          <w:rFonts w:hint="eastAsia" w:ascii="宋体" w:hAnsi="宋体" w:cs="宋体"/>
          <w:szCs w:val="21"/>
        </w:rPr>
        <w:t>（3）其他要求：无。</w:t>
      </w:r>
    </w:p>
    <w:p>
      <w:pPr>
        <w:spacing w:line="420" w:lineRule="exact"/>
        <w:ind w:firstLine="420" w:firstLineChars="200"/>
        <w:jc w:val="left"/>
        <w:rPr>
          <w:rFonts w:ascii="宋体" w:hAnsi="宋体" w:cs="宋体"/>
          <w:szCs w:val="21"/>
        </w:rPr>
      </w:pPr>
      <w:r>
        <w:rPr>
          <w:rFonts w:hint="eastAsia" w:ascii="宋体" w:hAnsi="宋体" w:cs="宋体"/>
          <w:szCs w:val="21"/>
        </w:rPr>
        <w:t>1.11.2中标人不得向他人转让中标项目，接受分包的人不得再次分包。中标人应就分包项目向招标人负责，接受分包的人就分包项目承担连带责任。</w:t>
      </w:r>
    </w:p>
    <w:p>
      <w:pPr>
        <w:pStyle w:val="6"/>
        <w:spacing w:line="420" w:lineRule="exact"/>
        <w:ind w:firstLine="422" w:firstLineChars="200"/>
        <w:rPr>
          <w:rFonts w:ascii="宋体" w:hAnsi="宋体" w:eastAsia="宋体" w:cs="宋体"/>
        </w:rPr>
      </w:pPr>
      <w:bookmarkStart w:id="227" w:name="_Toc95223348"/>
      <w:bookmarkStart w:id="228" w:name="_Toc60061445"/>
      <w:bookmarkStart w:id="229" w:name="_Toc83301700"/>
      <w:r>
        <w:rPr>
          <w:rFonts w:hint="eastAsia" w:ascii="宋体" w:hAnsi="宋体" w:eastAsia="宋体" w:cs="宋体"/>
        </w:rPr>
        <w:t>1.12 偏离</w:t>
      </w:r>
      <w:bookmarkEnd w:id="227"/>
      <w:bookmarkEnd w:id="228"/>
      <w:bookmarkEnd w:id="229"/>
    </w:p>
    <w:p>
      <w:pPr>
        <w:spacing w:line="420" w:lineRule="exact"/>
        <w:ind w:firstLine="420" w:firstLineChars="200"/>
        <w:jc w:val="left"/>
        <w:rPr>
          <w:rFonts w:ascii="宋体" w:hAnsi="宋体" w:cs="宋体"/>
          <w:szCs w:val="21"/>
        </w:rPr>
      </w:pPr>
      <w:r>
        <w:rPr>
          <w:rFonts w:hint="eastAsia" w:ascii="宋体" w:hAnsi="宋体" w:cs="宋体"/>
          <w:szCs w:val="21"/>
        </w:rPr>
        <w:t>1.12.1投标文件偏离招标文件某些要求，视为投标文件存在偏差。偏差包括重大偏差和细微偏差。</w:t>
      </w:r>
    </w:p>
    <w:p>
      <w:pPr>
        <w:spacing w:line="420" w:lineRule="exact"/>
        <w:ind w:firstLine="420" w:firstLineChars="200"/>
        <w:jc w:val="left"/>
        <w:rPr>
          <w:rFonts w:ascii="宋体" w:hAnsi="宋体" w:cs="宋体"/>
          <w:szCs w:val="21"/>
        </w:rPr>
      </w:pPr>
      <w:r>
        <w:rPr>
          <w:rFonts w:hint="eastAsia" w:ascii="宋体" w:hAnsi="宋体" w:cs="宋体"/>
          <w:szCs w:val="21"/>
        </w:rPr>
        <w:t>1.12.2投标文件应对招标文件的实质性要求和条件作出满足性或更有利于招标人的响应，否则，视为投标文件存在重大偏差，投标人的投标将被否决。</w:t>
      </w:r>
    </w:p>
    <w:p>
      <w:pPr>
        <w:spacing w:line="420" w:lineRule="exact"/>
        <w:ind w:firstLine="420" w:firstLineChars="200"/>
        <w:jc w:val="left"/>
        <w:rPr>
          <w:rFonts w:ascii="宋体" w:hAnsi="宋体" w:cs="宋体"/>
          <w:szCs w:val="21"/>
        </w:rPr>
      </w:pPr>
      <w:r>
        <w:rPr>
          <w:rFonts w:hint="eastAsia" w:ascii="宋体" w:hAnsi="宋体" w:cs="宋体"/>
          <w:szCs w:val="21"/>
        </w:rPr>
        <w:t>投标文件存在第三章“评标办法”中所列任一无效投标情形的，均属于存在重大偏差。</w:t>
      </w:r>
    </w:p>
    <w:p>
      <w:pPr>
        <w:spacing w:line="420" w:lineRule="exact"/>
        <w:ind w:firstLine="420" w:firstLineChars="200"/>
        <w:jc w:val="left"/>
        <w:rPr>
          <w:rFonts w:ascii="宋体" w:hAnsi="宋体" w:cs="宋体"/>
          <w:szCs w:val="21"/>
        </w:rPr>
      </w:pPr>
      <w:r>
        <w:rPr>
          <w:rFonts w:hint="eastAsia" w:ascii="宋体" w:hAnsi="宋体" w:cs="宋体"/>
          <w:szCs w:val="21"/>
        </w:rPr>
        <w:t>1.12.3投标文件中的下列偏差为细微偏差：</w:t>
      </w:r>
    </w:p>
    <w:p>
      <w:pPr>
        <w:spacing w:line="420" w:lineRule="exact"/>
        <w:ind w:firstLine="420" w:firstLineChars="200"/>
        <w:jc w:val="left"/>
        <w:rPr>
          <w:rFonts w:ascii="宋体" w:hAnsi="宋体" w:cs="宋体"/>
          <w:szCs w:val="21"/>
        </w:rPr>
      </w:pPr>
      <w:r>
        <w:rPr>
          <w:rFonts w:hint="eastAsia" w:ascii="宋体" w:hAnsi="宋体" w:cs="宋体"/>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pPr>
        <w:spacing w:line="420" w:lineRule="exact"/>
        <w:ind w:firstLine="420" w:firstLineChars="200"/>
        <w:jc w:val="left"/>
        <w:rPr>
          <w:rFonts w:ascii="宋体" w:hAnsi="宋体" w:cs="宋体"/>
          <w:szCs w:val="21"/>
        </w:rPr>
      </w:pPr>
      <w:r>
        <w:rPr>
          <w:rFonts w:hint="eastAsia" w:ascii="宋体" w:hAnsi="宋体" w:cs="宋体"/>
          <w:szCs w:val="21"/>
        </w:rPr>
        <w:t>（2）投标文件个别文字有遗漏错误等不影响投标文件实质性内容的偏差。</w:t>
      </w:r>
    </w:p>
    <w:p>
      <w:pPr>
        <w:spacing w:line="420" w:lineRule="exact"/>
        <w:ind w:firstLine="420" w:firstLineChars="200"/>
        <w:jc w:val="left"/>
        <w:rPr>
          <w:rFonts w:ascii="宋体" w:hAnsi="宋体" w:cs="宋体"/>
          <w:szCs w:val="21"/>
        </w:rPr>
      </w:pPr>
      <w:r>
        <w:rPr>
          <w:rFonts w:hint="eastAsia" w:ascii="宋体" w:hAnsi="宋体" w:cs="宋体"/>
          <w:szCs w:val="21"/>
        </w:rPr>
        <w:t>1.12.4评标委员会对投标文件中的细微偏差按如下规定处理：</w:t>
      </w:r>
    </w:p>
    <w:p>
      <w:pPr>
        <w:spacing w:line="420" w:lineRule="exact"/>
        <w:ind w:firstLine="420" w:firstLineChars="200"/>
        <w:jc w:val="left"/>
        <w:rPr>
          <w:rFonts w:ascii="宋体" w:hAnsi="宋体" w:cs="宋体"/>
          <w:szCs w:val="21"/>
        </w:rPr>
      </w:pPr>
      <w:r>
        <w:rPr>
          <w:rFonts w:hint="eastAsia" w:ascii="宋体" w:hAnsi="宋体" w:cs="宋体"/>
          <w:szCs w:val="21"/>
        </w:rPr>
        <w:t>对于本章第 1.12.3 项（1）目所述的细微偏差，按照第三章“评标办法”的规定予以修正并要求投标人进行澄清；</w:t>
      </w:r>
    </w:p>
    <w:p>
      <w:pPr>
        <w:spacing w:line="420" w:lineRule="exact"/>
        <w:ind w:firstLine="420" w:firstLineChars="200"/>
        <w:jc w:val="left"/>
        <w:rPr>
          <w:rFonts w:ascii="宋体" w:hAnsi="宋体" w:cs="宋体"/>
          <w:szCs w:val="21"/>
        </w:rPr>
      </w:pPr>
      <w:r>
        <w:rPr>
          <w:rFonts w:hint="eastAsia" w:ascii="宋体" w:hAnsi="宋体" w:cs="宋体"/>
          <w:szCs w:val="21"/>
        </w:rPr>
        <w:t>对于本章第 1.12.3 项（2）目所述的细微偏差，可要求投标人对细微偏差进行澄清。</w:t>
      </w:r>
    </w:p>
    <w:p>
      <w:pPr>
        <w:pStyle w:val="6"/>
        <w:spacing w:before="156" w:beforeLines="50" w:after="156" w:afterLines="50" w:line="420" w:lineRule="exact"/>
        <w:ind w:firstLine="482" w:firstLineChars="200"/>
        <w:rPr>
          <w:rFonts w:ascii="宋体" w:hAnsi="宋体" w:eastAsia="宋体" w:cs="宋体"/>
          <w:sz w:val="24"/>
          <w:szCs w:val="24"/>
        </w:rPr>
      </w:pPr>
      <w:r>
        <w:rPr>
          <w:rFonts w:hint="eastAsia" w:ascii="宋体" w:hAnsi="宋体" w:eastAsia="宋体" w:cs="宋体"/>
          <w:sz w:val="24"/>
          <w:szCs w:val="24"/>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6"/>
        <w:spacing w:line="420" w:lineRule="exact"/>
        <w:ind w:firstLine="422" w:firstLineChars="200"/>
        <w:rPr>
          <w:rFonts w:ascii="宋体" w:hAnsi="宋体" w:eastAsia="宋体" w:cs="宋体"/>
        </w:rPr>
      </w:pPr>
      <w:bookmarkStart w:id="230" w:name="_Toc506107282"/>
      <w:bookmarkStart w:id="231" w:name="_Toc247085702"/>
      <w:bookmarkStart w:id="232" w:name="_Toc296602433"/>
      <w:bookmarkStart w:id="233" w:name="_Toc179632561"/>
      <w:bookmarkStart w:id="234" w:name="_Toc15058859"/>
      <w:bookmarkStart w:id="235" w:name="_Toc144974511"/>
      <w:bookmarkStart w:id="236" w:name="_Toc324404828"/>
      <w:bookmarkStart w:id="237" w:name="_Toc152045543"/>
      <w:bookmarkStart w:id="238" w:name="_Toc152042319"/>
      <w:bookmarkStart w:id="239" w:name="_Toc246996188"/>
      <w:bookmarkStart w:id="240" w:name="_Toc13213"/>
      <w:bookmarkStart w:id="241" w:name="_Toc35424900"/>
      <w:bookmarkStart w:id="242" w:name="_Toc78803335"/>
      <w:bookmarkStart w:id="243" w:name="_Toc246996931"/>
      <w:bookmarkStart w:id="244" w:name="_Toc35425066"/>
      <w:r>
        <w:rPr>
          <w:rFonts w:hint="eastAsia" w:ascii="宋体" w:hAnsi="宋体" w:eastAsia="宋体" w:cs="宋体"/>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spacing w:line="420" w:lineRule="exact"/>
        <w:ind w:firstLine="420" w:firstLineChars="200"/>
        <w:jc w:val="left"/>
        <w:rPr>
          <w:rFonts w:ascii="宋体" w:hAnsi="宋体" w:cs="宋体"/>
          <w:szCs w:val="21"/>
        </w:rPr>
      </w:pPr>
      <w:r>
        <w:rPr>
          <w:rFonts w:hint="eastAsia" w:ascii="宋体" w:hAnsi="宋体" w:cs="宋体"/>
          <w:szCs w:val="21"/>
        </w:rPr>
        <w:t>2.1.1 本招标文件包括：</w:t>
      </w:r>
    </w:p>
    <w:p>
      <w:pPr>
        <w:spacing w:line="420" w:lineRule="exact"/>
        <w:ind w:firstLine="420" w:firstLineChars="200"/>
        <w:jc w:val="left"/>
        <w:rPr>
          <w:rFonts w:ascii="宋体" w:hAnsi="宋体" w:cs="宋体"/>
          <w:szCs w:val="21"/>
        </w:rPr>
      </w:pPr>
      <w:r>
        <w:rPr>
          <w:rFonts w:hint="eastAsia" w:ascii="宋体" w:hAnsi="宋体" w:cs="宋体"/>
          <w:szCs w:val="21"/>
        </w:rPr>
        <w:t>（1）招标公告；</w:t>
      </w:r>
    </w:p>
    <w:p>
      <w:pPr>
        <w:spacing w:line="420" w:lineRule="exact"/>
        <w:ind w:firstLine="420" w:firstLineChars="200"/>
        <w:jc w:val="left"/>
        <w:rPr>
          <w:rFonts w:ascii="宋体" w:hAnsi="宋体" w:cs="宋体"/>
          <w:szCs w:val="21"/>
        </w:rPr>
      </w:pPr>
      <w:r>
        <w:rPr>
          <w:rFonts w:hint="eastAsia" w:ascii="宋体" w:hAnsi="宋体" w:cs="宋体"/>
          <w:szCs w:val="21"/>
        </w:rPr>
        <w:t>（2）投标人须知；</w:t>
      </w:r>
    </w:p>
    <w:p>
      <w:pPr>
        <w:spacing w:line="420" w:lineRule="exact"/>
        <w:ind w:firstLine="420" w:firstLineChars="200"/>
        <w:jc w:val="left"/>
        <w:rPr>
          <w:rFonts w:ascii="宋体" w:hAnsi="宋体" w:cs="宋体"/>
          <w:szCs w:val="21"/>
        </w:rPr>
      </w:pPr>
      <w:r>
        <w:rPr>
          <w:rFonts w:hint="eastAsia" w:ascii="宋体" w:hAnsi="宋体" w:cs="宋体"/>
          <w:szCs w:val="21"/>
        </w:rPr>
        <w:t>（3）资格审查办法</w:t>
      </w:r>
    </w:p>
    <w:p>
      <w:pPr>
        <w:spacing w:line="420" w:lineRule="exact"/>
        <w:ind w:firstLine="420" w:firstLineChars="200"/>
        <w:jc w:val="left"/>
        <w:rPr>
          <w:rFonts w:ascii="宋体" w:hAnsi="宋体" w:cs="宋体"/>
          <w:szCs w:val="21"/>
        </w:rPr>
      </w:pPr>
      <w:r>
        <w:rPr>
          <w:rFonts w:hint="eastAsia" w:ascii="宋体" w:hAnsi="宋体" w:cs="宋体"/>
          <w:szCs w:val="21"/>
        </w:rPr>
        <w:t>（4）评标办法；</w:t>
      </w:r>
    </w:p>
    <w:p>
      <w:pPr>
        <w:spacing w:line="420" w:lineRule="exact"/>
        <w:ind w:firstLine="420" w:firstLineChars="200"/>
        <w:jc w:val="left"/>
        <w:rPr>
          <w:rFonts w:ascii="宋体" w:hAnsi="宋体" w:cs="宋体"/>
          <w:szCs w:val="21"/>
        </w:rPr>
      </w:pPr>
      <w:r>
        <w:rPr>
          <w:rFonts w:hint="eastAsia" w:ascii="宋体" w:hAnsi="宋体" w:cs="宋体"/>
          <w:szCs w:val="21"/>
        </w:rPr>
        <w:t>（5）合同条款及格式；</w:t>
      </w:r>
    </w:p>
    <w:p>
      <w:pPr>
        <w:spacing w:line="420" w:lineRule="exact"/>
        <w:ind w:firstLine="420" w:firstLineChars="200"/>
        <w:jc w:val="left"/>
        <w:rPr>
          <w:rFonts w:ascii="宋体" w:hAnsi="宋体" w:cs="宋体"/>
          <w:szCs w:val="21"/>
        </w:rPr>
      </w:pPr>
      <w:r>
        <w:rPr>
          <w:rFonts w:hint="eastAsia" w:ascii="宋体" w:hAnsi="宋体" w:cs="宋体"/>
          <w:szCs w:val="21"/>
        </w:rPr>
        <w:t>（6）投标文件格式；</w:t>
      </w:r>
    </w:p>
    <w:p>
      <w:pPr>
        <w:spacing w:line="420" w:lineRule="exact"/>
        <w:ind w:firstLine="420" w:firstLineChars="200"/>
        <w:jc w:val="left"/>
        <w:rPr>
          <w:rFonts w:ascii="宋体" w:hAnsi="宋体" w:cs="宋体"/>
          <w:szCs w:val="21"/>
        </w:rPr>
      </w:pPr>
      <w:r>
        <w:rPr>
          <w:rFonts w:hint="eastAsia" w:ascii="宋体" w:hAnsi="宋体" w:cs="宋体"/>
          <w:szCs w:val="21"/>
        </w:rPr>
        <w:t>（7）投标人须知前附表规定的其他材料。</w:t>
      </w:r>
    </w:p>
    <w:p>
      <w:pPr>
        <w:spacing w:line="420" w:lineRule="exact"/>
        <w:ind w:firstLine="420" w:firstLineChars="200"/>
        <w:jc w:val="left"/>
        <w:rPr>
          <w:rFonts w:ascii="宋体" w:hAnsi="宋体" w:cs="宋体"/>
          <w:szCs w:val="21"/>
        </w:rPr>
      </w:pPr>
      <w:r>
        <w:rPr>
          <w:rFonts w:hint="eastAsia" w:ascii="宋体" w:hAnsi="宋体" w:cs="宋体"/>
          <w:szCs w:val="21"/>
        </w:rPr>
        <w:t>2.1.2 根据本章第1.10款、第2.2款和第2.3款对招标文件所作的澄清、修改，构成招标文件的组成部分。</w:t>
      </w:r>
    </w:p>
    <w:p>
      <w:pPr>
        <w:pStyle w:val="20"/>
        <w:adjustRightInd w:val="0"/>
        <w:snapToGrid w:val="0"/>
        <w:spacing w:line="420" w:lineRule="exact"/>
        <w:ind w:firstLine="420" w:firstLineChars="200"/>
      </w:pPr>
      <w:r>
        <w:rPr>
          <w:rFonts w:hint="eastAsia" w:ascii="宋体" w:hAnsi="宋体" w:cs="宋体"/>
          <w:szCs w:val="21"/>
        </w:rPr>
        <w:t>2.1.3当招标文件、招标文件的澄清或修改等在同一内容的表述上不一致时，以最后发出的文件为准。</w:t>
      </w:r>
    </w:p>
    <w:p>
      <w:pPr>
        <w:pStyle w:val="6"/>
        <w:spacing w:line="420" w:lineRule="exact"/>
        <w:ind w:firstLine="422" w:firstLineChars="200"/>
        <w:rPr>
          <w:rFonts w:ascii="宋体" w:hAnsi="宋体" w:eastAsia="宋体" w:cs="宋体"/>
        </w:rPr>
      </w:pPr>
      <w:bookmarkStart w:id="245" w:name="_Toc179632562"/>
      <w:bookmarkStart w:id="246" w:name="_Toc246996932"/>
      <w:bookmarkStart w:id="247" w:name="_Toc296602434"/>
      <w:bookmarkStart w:id="248" w:name="_Toc152042320"/>
      <w:bookmarkStart w:id="249" w:name="_Toc35424901"/>
      <w:bookmarkStart w:id="250" w:name="_Toc152045544"/>
      <w:bookmarkStart w:id="251" w:name="_Toc246996189"/>
      <w:bookmarkStart w:id="252" w:name="_Toc506107283"/>
      <w:bookmarkStart w:id="253" w:name="_Toc15058860"/>
      <w:bookmarkStart w:id="254" w:name="_Toc35425067"/>
      <w:bookmarkStart w:id="255" w:name="_Toc32239"/>
      <w:bookmarkStart w:id="256" w:name="_Toc247085703"/>
      <w:bookmarkStart w:id="257" w:name="_Toc144974512"/>
      <w:bookmarkStart w:id="258" w:name="_Toc78803336"/>
      <w:bookmarkStart w:id="259" w:name="_Toc324404829"/>
      <w:r>
        <w:rPr>
          <w:rFonts w:hint="eastAsia" w:ascii="宋体" w:hAnsi="宋体" w:eastAsia="宋体" w:cs="宋体"/>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rPr>
        <w:t>异议</w:t>
      </w:r>
    </w:p>
    <w:p>
      <w:pPr>
        <w:spacing w:line="420" w:lineRule="exact"/>
        <w:ind w:firstLine="420" w:firstLineChars="200"/>
        <w:jc w:val="left"/>
        <w:rPr>
          <w:rFonts w:ascii="宋体" w:hAnsi="宋体" w:cs="宋体"/>
          <w:szCs w:val="21"/>
        </w:rPr>
      </w:pPr>
      <w:r>
        <w:rPr>
          <w:rFonts w:hint="eastAsia" w:ascii="宋体" w:hAnsi="宋体" w:cs="宋体"/>
          <w:szCs w:val="21"/>
        </w:rPr>
        <w:t xml:space="preserve">投标人或其他利害关系人投标人应仔细阅读和检查招标文件的全部内容，对招标文件有异议的，应在投标人须知前附表规定的时间前以网上留言或书面形式提出。招标人将在“滁州市兴滁矿业投资集团有限公司”（http://www.xckytz.com/）发布，但不指明澄清问题的来源。 </w:t>
      </w:r>
    </w:p>
    <w:p>
      <w:pPr>
        <w:pStyle w:val="6"/>
        <w:spacing w:line="420" w:lineRule="exact"/>
        <w:ind w:firstLine="422" w:firstLineChars="200"/>
        <w:rPr>
          <w:rFonts w:ascii="宋体" w:hAnsi="宋体" w:eastAsia="宋体" w:cs="宋体"/>
        </w:rPr>
      </w:pPr>
      <w:bookmarkStart w:id="260" w:name="_Toc246996933"/>
      <w:bookmarkStart w:id="261" w:name="_Toc35425068"/>
      <w:bookmarkStart w:id="262" w:name="_Toc247085704"/>
      <w:bookmarkStart w:id="263" w:name="_Toc296602435"/>
      <w:bookmarkStart w:id="264" w:name="_Toc144974513"/>
      <w:bookmarkStart w:id="265" w:name="_Toc35424902"/>
      <w:bookmarkStart w:id="266" w:name="_Toc324404830"/>
      <w:bookmarkStart w:id="267" w:name="_Toc78803337"/>
      <w:bookmarkStart w:id="268" w:name="_Toc152045545"/>
      <w:bookmarkStart w:id="269" w:name="_Toc246996190"/>
      <w:bookmarkStart w:id="270" w:name="_Toc506107284"/>
      <w:bookmarkStart w:id="271" w:name="_Toc152042321"/>
      <w:bookmarkStart w:id="272" w:name="_Toc24633"/>
      <w:bookmarkStart w:id="273" w:name="_Toc15058861"/>
      <w:bookmarkStart w:id="274" w:name="_Toc179632563"/>
      <w:r>
        <w:rPr>
          <w:rFonts w:hint="eastAsia" w:ascii="宋体" w:hAnsi="宋体" w:eastAsia="宋体" w:cs="宋体"/>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rPr>
        <w:t>澄清</w:t>
      </w:r>
    </w:p>
    <w:p>
      <w:pPr>
        <w:spacing w:line="420" w:lineRule="exact"/>
        <w:ind w:firstLine="420" w:firstLineChars="200"/>
        <w:jc w:val="left"/>
        <w:rPr>
          <w:rFonts w:ascii="宋体" w:hAnsi="宋体" w:cs="宋体"/>
          <w:szCs w:val="21"/>
        </w:rPr>
      </w:pPr>
      <w:r>
        <w:rPr>
          <w:rFonts w:hint="eastAsia" w:ascii="宋体" w:hAnsi="宋体" w:cs="宋体"/>
          <w:szCs w:val="21"/>
        </w:rPr>
        <w:t>招标人可以澄清招标文件，并以投标人须知前附表规定澄清的方式在</w:t>
      </w:r>
      <w:r>
        <w:rPr>
          <w:rFonts w:hint="eastAsia" w:ascii="宋体" w:hAnsi="宋体" w:cs="宋体"/>
          <w:spacing w:val="-11"/>
          <w:szCs w:val="21"/>
        </w:rPr>
        <w:t>“滁州市兴滁矿业投资集团有限公司”（http://www.xckytz.com/）</w:t>
      </w:r>
      <w:r>
        <w:rPr>
          <w:rFonts w:hint="eastAsia"/>
        </w:rPr>
        <w:t xml:space="preserve"> </w:t>
      </w:r>
      <w:r>
        <w:rPr>
          <w:rFonts w:hint="eastAsia" w:ascii="宋体" w:hAnsi="宋体" w:cs="宋体"/>
          <w:szCs w:val="21"/>
        </w:rPr>
        <w:t>发布。但如果修改内容影响投标文件编制的，将相应延长投标截止时间。</w:t>
      </w:r>
    </w:p>
    <w:p>
      <w:pPr>
        <w:pStyle w:val="6"/>
        <w:spacing w:before="156" w:beforeLines="50" w:after="156" w:afterLines="50" w:line="420" w:lineRule="exact"/>
        <w:ind w:firstLine="482" w:firstLineChars="200"/>
        <w:rPr>
          <w:rFonts w:ascii="宋体" w:hAnsi="宋体" w:eastAsia="宋体" w:cs="宋体"/>
          <w:sz w:val="24"/>
          <w:szCs w:val="24"/>
        </w:rPr>
      </w:pPr>
      <w:bookmarkStart w:id="275" w:name="_Toc247085705"/>
      <w:bookmarkStart w:id="276" w:name="_Toc324404832"/>
      <w:bookmarkStart w:id="277" w:name="_Toc35425070"/>
      <w:bookmarkStart w:id="278" w:name="_Toc506107285"/>
      <w:bookmarkStart w:id="279" w:name="_Toc246996934"/>
      <w:bookmarkStart w:id="280" w:name="_Toc152045546"/>
      <w:bookmarkStart w:id="281" w:name="_Toc15058863"/>
      <w:bookmarkStart w:id="282" w:name="_Toc78803339"/>
      <w:bookmarkStart w:id="283" w:name="_Toc179632564"/>
      <w:bookmarkStart w:id="284" w:name="_Toc152042322"/>
      <w:bookmarkStart w:id="285" w:name="_Toc35424904"/>
      <w:bookmarkStart w:id="286" w:name="_Toc144974514"/>
      <w:bookmarkStart w:id="287" w:name="_Toc246996191"/>
      <w:bookmarkStart w:id="288" w:name="_Toc6464"/>
      <w:r>
        <w:rPr>
          <w:rFonts w:hint="eastAsia" w:ascii="宋体" w:hAnsi="宋体" w:eastAsia="宋体" w:cs="宋体"/>
          <w:sz w:val="24"/>
          <w:szCs w:val="24"/>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6"/>
        <w:spacing w:line="420" w:lineRule="exact"/>
        <w:ind w:firstLine="422" w:firstLineChars="200"/>
        <w:rPr>
          <w:rFonts w:ascii="宋体" w:hAnsi="宋体" w:eastAsia="宋体" w:cs="宋体"/>
        </w:rPr>
      </w:pPr>
      <w:bookmarkStart w:id="289" w:name="_Toc246996935"/>
      <w:bookmarkStart w:id="290" w:name="_Toc35424905"/>
      <w:bookmarkStart w:id="291" w:name="_Toc179632565"/>
      <w:bookmarkStart w:id="292" w:name="_Toc144974515"/>
      <w:bookmarkStart w:id="293" w:name="_Toc296602437"/>
      <w:bookmarkStart w:id="294" w:name="_Toc324404833"/>
      <w:bookmarkStart w:id="295" w:name="_Toc506107286"/>
      <w:bookmarkStart w:id="296" w:name="_Toc78803340"/>
      <w:bookmarkStart w:id="297" w:name="_Toc247085706"/>
      <w:bookmarkStart w:id="298" w:name="_Toc152045547"/>
      <w:bookmarkStart w:id="299" w:name="_Toc246996192"/>
      <w:bookmarkStart w:id="300" w:name="_Toc157"/>
      <w:bookmarkStart w:id="301" w:name="_Toc35425071"/>
      <w:bookmarkStart w:id="302" w:name="_Toc152042323"/>
      <w:bookmarkStart w:id="303" w:name="_Toc15058864"/>
      <w:r>
        <w:rPr>
          <w:rFonts w:hint="eastAsia" w:ascii="宋体" w:hAnsi="宋体" w:eastAsia="宋体" w:cs="宋体"/>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420" w:lineRule="exact"/>
        <w:ind w:firstLine="420" w:firstLineChars="200"/>
        <w:jc w:val="left"/>
        <w:rPr>
          <w:rFonts w:ascii="宋体" w:hAnsi="宋体" w:cs="宋体"/>
          <w:szCs w:val="21"/>
        </w:rPr>
      </w:pPr>
      <w:r>
        <w:rPr>
          <w:rFonts w:hint="eastAsia" w:ascii="宋体" w:hAnsi="宋体" w:cs="宋体"/>
          <w:szCs w:val="21"/>
        </w:rPr>
        <w:t>投标文件的具体组成部分及材料要求详见本招标文件第五章“投标文件格式”。</w:t>
      </w:r>
    </w:p>
    <w:p>
      <w:pPr>
        <w:pStyle w:val="6"/>
        <w:spacing w:line="420" w:lineRule="exact"/>
        <w:ind w:firstLine="422" w:firstLineChars="200"/>
        <w:rPr>
          <w:rFonts w:ascii="宋体" w:hAnsi="宋体" w:eastAsia="宋体" w:cs="宋体"/>
        </w:rPr>
      </w:pPr>
      <w:bookmarkStart w:id="304" w:name="_Toc324404834"/>
      <w:bookmarkStart w:id="305" w:name="_Toc506107287"/>
      <w:bookmarkStart w:id="306" w:name="_Toc247085707"/>
      <w:bookmarkStart w:id="307" w:name="_Toc35424906"/>
      <w:bookmarkStart w:id="308" w:name="_Toc15058865"/>
      <w:bookmarkStart w:id="309" w:name="_Toc179632566"/>
      <w:bookmarkStart w:id="310" w:name="_Toc296602438"/>
      <w:bookmarkStart w:id="311" w:name="_Toc35425072"/>
      <w:bookmarkStart w:id="312" w:name="_Toc6829"/>
      <w:bookmarkStart w:id="313" w:name="_Toc246996193"/>
      <w:bookmarkStart w:id="314" w:name="_Toc152042324"/>
      <w:bookmarkStart w:id="315" w:name="_Toc144974516"/>
      <w:bookmarkStart w:id="316" w:name="_Toc246996936"/>
      <w:bookmarkStart w:id="317" w:name="_Toc78803341"/>
      <w:bookmarkStart w:id="318" w:name="_Toc152045548"/>
      <w:r>
        <w:rPr>
          <w:rFonts w:hint="eastAsia" w:ascii="宋体" w:hAnsi="宋体" w:eastAsia="宋体" w:cs="宋体"/>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spacing w:line="420" w:lineRule="exact"/>
        <w:ind w:firstLine="420" w:firstLineChars="200"/>
        <w:jc w:val="left"/>
        <w:rPr>
          <w:rFonts w:ascii="宋体" w:hAnsi="宋体" w:cs="宋体"/>
          <w:szCs w:val="21"/>
        </w:rPr>
      </w:pPr>
      <w:bookmarkStart w:id="319" w:name="_Toc179632567"/>
      <w:bookmarkStart w:id="320" w:name="_Toc15058866"/>
      <w:bookmarkStart w:id="321" w:name="_Toc296602439"/>
      <w:bookmarkStart w:id="322" w:name="_Toc506107288"/>
      <w:bookmarkStart w:id="323" w:name="_Toc35425073"/>
      <w:bookmarkStart w:id="324" w:name="_Toc152042325"/>
      <w:bookmarkStart w:id="325" w:name="_Toc78803342"/>
      <w:bookmarkStart w:id="326" w:name="_Toc144974517"/>
      <w:bookmarkStart w:id="327" w:name="_Toc246996937"/>
      <w:bookmarkStart w:id="328" w:name="_Toc35424907"/>
      <w:bookmarkStart w:id="329" w:name="_Toc152045549"/>
      <w:bookmarkStart w:id="330" w:name="_Toc31735"/>
      <w:bookmarkStart w:id="331" w:name="_Toc246996194"/>
      <w:bookmarkStart w:id="332" w:name="_Toc324404835"/>
      <w:bookmarkStart w:id="333" w:name="_Toc247085708"/>
      <w:r>
        <w:rPr>
          <w:rFonts w:hint="eastAsia" w:ascii="宋体" w:hAnsi="宋体" w:cs="宋体"/>
          <w:szCs w:val="21"/>
        </w:rPr>
        <w:t>3.2.1投标报价应包括国家规定的增值税税金，除投标人须知前附表另有规定外，增值税税金按一般计税方法计算。投标人应按第五章“投标文件格式”的要求在投标函中进行报价并填写工程量清单相应表格。</w:t>
      </w:r>
    </w:p>
    <w:p>
      <w:pPr>
        <w:spacing w:line="420" w:lineRule="exact"/>
        <w:ind w:firstLine="420" w:firstLineChars="200"/>
        <w:jc w:val="left"/>
        <w:rPr>
          <w:rFonts w:ascii="宋体" w:hAnsi="宋体" w:cs="宋体"/>
          <w:szCs w:val="21"/>
        </w:rPr>
      </w:pPr>
      <w:r>
        <w:rPr>
          <w:rFonts w:hint="eastAsia" w:ascii="宋体" w:hAnsi="宋体" w:cs="宋体"/>
          <w:szCs w:val="21"/>
        </w:rPr>
        <w:t>3.2.2投标人应充分了解本项目的总体情况以及影响投标报价的其他要素。</w:t>
      </w:r>
    </w:p>
    <w:p>
      <w:pPr>
        <w:spacing w:line="420" w:lineRule="exact"/>
        <w:ind w:firstLine="420" w:firstLineChars="200"/>
        <w:jc w:val="left"/>
        <w:rPr>
          <w:rFonts w:ascii="宋体" w:hAnsi="宋体" w:cs="宋体"/>
          <w:szCs w:val="21"/>
        </w:rPr>
      </w:pPr>
      <w:r>
        <w:rPr>
          <w:rFonts w:hint="eastAsia" w:ascii="宋体" w:hAnsi="宋体" w:cs="宋体"/>
          <w:szCs w:val="21"/>
        </w:rPr>
        <w:t>3.2.3投标人在投标截止时间前修改投标函中的投标报价总额，应同时修改“已标价工程量清单”中的相应报价，投标报价总额为各分项金额之和。此修改须符合本章第4.4款的有关要求。</w:t>
      </w:r>
    </w:p>
    <w:p>
      <w:pPr>
        <w:spacing w:line="420" w:lineRule="exact"/>
        <w:ind w:firstLine="420" w:firstLineChars="200"/>
        <w:jc w:val="left"/>
        <w:rPr>
          <w:rFonts w:ascii="宋体" w:hAnsi="宋体" w:cs="宋体"/>
          <w:szCs w:val="21"/>
        </w:rPr>
      </w:pPr>
      <w:r>
        <w:rPr>
          <w:rFonts w:hint="eastAsia" w:ascii="宋体" w:hAnsi="宋体" w:cs="宋体"/>
          <w:szCs w:val="21"/>
        </w:rPr>
        <w:t>3.2.4招标人设有最高投标限价的，投标人的投标报价不得超过最高投标限价，最高投标限价在投标人须知前附表中载明。</w:t>
      </w:r>
    </w:p>
    <w:p>
      <w:pPr>
        <w:pStyle w:val="6"/>
        <w:spacing w:line="420" w:lineRule="exact"/>
        <w:ind w:firstLine="422" w:firstLineChars="200"/>
        <w:rPr>
          <w:rFonts w:ascii="宋体" w:hAnsi="宋体" w:eastAsia="宋体" w:cs="宋体"/>
        </w:rPr>
      </w:pPr>
      <w:r>
        <w:rPr>
          <w:rFonts w:hint="eastAsia" w:ascii="宋体" w:hAnsi="宋体" w:eastAsia="宋体" w:cs="宋体"/>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spacing w:line="420" w:lineRule="exact"/>
        <w:ind w:firstLine="420" w:firstLineChars="200"/>
        <w:jc w:val="left"/>
        <w:rPr>
          <w:rFonts w:ascii="宋体" w:hAnsi="宋体" w:cs="宋体"/>
          <w:szCs w:val="21"/>
        </w:rPr>
      </w:pPr>
      <w:r>
        <w:rPr>
          <w:rFonts w:hint="eastAsia" w:ascii="宋体" w:hAnsi="宋体" w:cs="宋体"/>
          <w:szCs w:val="21"/>
        </w:rPr>
        <w:t>3.3.1 除投标人须知前附表另有规定外，投标有效期为90天。</w:t>
      </w:r>
    </w:p>
    <w:p>
      <w:pPr>
        <w:spacing w:line="420" w:lineRule="exact"/>
        <w:ind w:firstLine="420" w:firstLineChars="200"/>
        <w:jc w:val="left"/>
        <w:rPr>
          <w:rFonts w:ascii="宋体" w:hAnsi="宋体" w:cs="宋体"/>
          <w:szCs w:val="21"/>
        </w:rPr>
      </w:pPr>
      <w:r>
        <w:rPr>
          <w:rFonts w:hint="eastAsia" w:ascii="宋体" w:hAnsi="宋体" w:cs="宋体"/>
          <w:szCs w:val="21"/>
        </w:rPr>
        <w:t>3.3.2在投标有效期内，投标人撤销或修改其投标文件的，应承担招标文件和法律规定的责任。</w:t>
      </w:r>
    </w:p>
    <w:p>
      <w:pPr>
        <w:spacing w:line="420" w:lineRule="exact"/>
        <w:ind w:firstLine="420" w:firstLineChars="200"/>
        <w:jc w:val="left"/>
        <w:rPr>
          <w:rFonts w:ascii="宋体" w:hAnsi="宋体" w:cs="宋体"/>
          <w:szCs w:val="21"/>
        </w:rPr>
      </w:pPr>
      <w:r>
        <w:rPr>
          <w:rFonts w:hint="eastAsia" w:ascii="宋体" w:hAnsi="宋体" w:cs="宋体"/>
          <w:szCs w:val="21"/>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6"/>
        <w:spacing w:line="420" w:lineRule="exact"/>
        <w:ind w:firstLine="422" w:firstLineChars="200"/>
        <w:rPr>
          <w:rFonts w:ascii="宋体" w:hAnsi="宋体" w:eastAsia="宋体" w:cs="宋体"/>
        </w:rPr>
      </w:pPr>
      <w:bookmarkStart w:id="334" w:name="_Toc15058867"/>
      <w:bookmarkStart w:id="335" w:name="_Toc78803343"/>
      <w:bookmarkStart w:id="336" w:name="_Toc35425074"/>
      <w:bookmarkStart w:id="337" w:name="_Toc246996938"/>
      <w:bookmarkStart w:id="338" w:name="_Toc152045550"/>
      <w:bookmarkStart w:id="339" w:name="_Toc246996195"/>
      <w:bookmarkStart w:id="340" w:name="_Toc179632568"/>
      <w:bookmarkStart w:id="341" w:name="_Toc247085709"/>
      <w:bookmarkStart w:id="342" w:name="_Toc296602440"/>
      <w:bookmarkStart w:id="343" w:name="_Toc10714"/>
      <w:bookmarkStart w:id="344" w:name="_Toc152042326"/>
      <w:bookmarkStart w:id="345" w:name="_Toc324404836"/>
      <w:bookmarkStart w:id="346" w:name="_Toc144974518"/>
      <w:bookmarkStart w:id="347" w:name="_Toc506107289"/>
      <w:bookmarkStart w:id="348" w:name="_Toc35424908"/>
      <w:r>
        <w:rPr>
          <w:rFonts w:hint="eastAsia" w:ascii="宋体" w:hAnsi="宋体" w:eastAsia="宋体" w:cs="宋体"/>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rPr>
        <w:t xml:space="preserve"> </w:t>
      </w:r>
    </w:p>
    <w:p>
      <w:pPr>
        <w:spacing w:line="420" w:lineRule="exact"/>
        <w:ind w:firstLine="420" w:firstLineChars="200"/>
        <w:jc w:val="left"/>
        <w:rPr>
          <w:rFonts w:ascii="宋体" w:hAnsi="宋体" w:cs="宋体"/>
          <w:szCs w:val="21"/>
        </w:rPr>
      </w:pPr>
      <w:r>
        <w:rPr>
          <w:rFonts w:hint="eastAsia" w:ascii="宋体" w:hAnsi="宋体" w:cs="宋体"/>
          <w:szCs w:val="21"/>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pPr>
        <w:spacing w:line="420" w:lineRule="exact"/>
        <w:ind w:firstLine="420" w:firstLineChars="200"/>
        <w:jc w:val="left"/>
        <w:rPr>
          <w:rFonts w:ascii="宋体" w:hAnsi="宋体" w:cs="宋体"/>
          <w:szCs w:val="21"/>
        </w:rPr>
      </w:pPr>
      <w:r>
        <w:rPr>
          <w:rFonts w:hint="eastAsia" w:ascii="宋体" w:hAnsi="宋体" w:cs="宋体"/>
          <w:szCs w:val="21"/>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pPr>
        <w:spacing w:line="420" w:lineRule="exact"/>
        <w:ind w:firstLine="420" w:firstLineChars="200"/>
        <w:jc w:val="left"/>
        <w:rPr>
          <w:rFonts w:ascii="宋体" w:hAnsi="宋体" w:cs="宋体"/>
          <w:szCs w:val="21"/>
        </w:rPr>
      </w:pPr>
      <w:r>
        <w:rPr>
          <w:rFonts w:hint="eastAsia" w:ascii="宋体" w:hAnsi="宋体" w:cs="宋体"/>
          <w:szCs w:val="21"/>
        </w:rPr>
        <w:t>3.4.2 投标人不按本章第3.4.1项要求提交投标保证金的，评标委员会将否决其投标。</w:t>
      </w:r>
    </w:p>
    <w:p>
      <w:pPr>
        <w:spacing w:line="420" w:lineRule="exact"/>
        <w:ind w:firstLine="420" w:firstLineChars="200"/>
        <w:jc w:val="left"/>
        <w:rPr>
          <w:rFonts w:ascii="宋体" w:hAnsi="宋体" w:cs="宋体"/>
          <w:szCs w:val="21"/>
        </w:rPr>
      </w:pPr>
      <w:r>
        <w:rPr>
          <w:rFonts w:hint="eastAsia" w:ascii="宋体" w:hAnsi="宋体" w:cs="宋体"/>
          <w:szCs w:val="21"/>
        </w:rPr>
        <w:t xml:space="preserve">3.4.3有下列情形之一的，投标保证金将不予退还： </w:t>
      </w:r>
    </w:p>
    <w:p>
      <w:pPr>
        <w:spacing w:line="420" w:lineRule="exact"/>
        <w:ind w:firstLine="420" w:firstLineChars="200"/>
        <w:jc w:val="left"/>
        <w:rPr>
          <w:rFonts w:ascii="宋体" w:hAnsi="宋体" w:cs="宋体"/>
          <w:szCs w:val="21"/>
        </w:rPr>
      </w:pPr>
      <w:r>
        <w:rPr>
          <w:rFonts w:hint="eastAsia" w:ascii="宋体" w:hAnsi="宋体" w:cs="宋体"/>
          <w:szCs w:val="21"/>
        </w:rPr>
        <w:t>（1）投标截止后投标人撤销投标文件的；</w:t>
      </w:r>
    </w:p>
    <w:p>
      <w:pPr>
        <w:spacing w:line="420" w:lineRule="exact"/>
        <w:ind w:firstLine="420" w:firstLineChars="200"/>
        <w:jc w:val="left"/>
        <w:rPr>
          <w:rFonts w:ascii="宋体" w:hAnsi="宋体" w:cs="宋体"/>
          <w:szCs w:val="21"/>
        </w:rPr>
      </w:pPr>
      <w:r>
        <w:rPr>
          <w:rFonts w:hint="eastAsia" w:ascii="宋体" w:hAnsi="宋体" w:cs="宋体"/>
          <w:szCs w:val="21"/>
        </w:rPr>
        <w:t>（2）中标人无正当理由不与招标人订立合同，在签订合同时向招标人提出附加条件，或者不按照招标文件要求提交履约保证金的。</w:t>
      </w:r>
    </w:p>
    <w:p>
      <w:pPr>
        <w:pStyle w:val="6"/>
        <w:spacing w:line="420" w:lineRule="exact"/>
        <w:ind w:firstLine="422" w:firstLineChars="200"/>
        <w:rPr>
          <w:rFonts w:ascii="宋体" w:hAnsi="宋体" w:eastAsia="宋体" w:cs="宋体"/>
        </w:rPr>
      </w:pPr>
      <w:bookmarkStart w:id="349" w:name="_Toc35425075"/>
      <w:bookmarkStart w:id="350" w:name="_Toc506107290"/>
      <w:bookmarkStart w:id="351" w:name="_Toc19037"/>
      <w:bookmarkStart w:id="352" w:name="_Toc324404837"/>
      <w:bookmarkStart w:id="353" w:name="_Toc35424909"/>
      <w:bookmarkStart w:id="354" w:name="_Toc78803344"/>
      <w:bookmarkStart w:id="355" w:name="_Toc15058868"/>
      <w:bookmarkStart w:id="356" w:name="_Toc296602442"/>
      <w:bookmarkStart w:id="357" w:name="_Toc144974521"/>
      <w:bookmarkStart w:id="358" w:name="_Toc246996197"/>
      <w:bookmarkStart w:id="359" w:name="_Toc179632571"/>
      <w:bookmarkStart w:id="360" w:name="_Toc246996940"/>
      <w:bookmarkStart w:id="361" w:name="_Toc152045553"/>
      <w:bookmarkStart w:id="362" w:name="_Toc247085711"/>
      <w:bookmarkStart w:id="363" w:name="_Toc152042329"/>
      <w:r>
        <w:rPr>
          <w:rFonts w:hint="eastAsia" w:ascii="宋体" w:hAnsi="宋体" w:eastAsia="宋体" w:cs="宋体"/>
        </w:rPr>
        <w:t>3.5投标文件的编制</w:t>
      </w:r>
      <w:bookmarkEnd w:id="349"/>
      <w:bookmarkEnd w:id="350"/>
      <w:bookmarkEnd w:id="351"/>
      <w:bookmarkEnd w:id="352"/>
      <w:bookmarkEnd w:id="353"/>
      <w:bookmarkEnd w:id="354"/>
      <w:bookmarkEnd w:id="355"/>
      <w:bookmarkEnd w:id="356"/>
    </w:p>
    <w:p>
      <w:pPr>
        <w:spacing w:line="420" w:lineRule="exact"/>
        <w:ind w:firstLine="420" w:firstLineChars="200"/>
        <w:jc w:val="left"/>
        <w:rPr>
          <w:rFonts w:ascii="宋体" w:hAnsi="宋体" w:cs="宋体"/>
          <w:szCs w:val="21"/>
        </w:rPr>
      </w:pPr>
      <w:r>
        <w:rPr>
          <w:rFonts w:hint="eastAsia" w:ascii="宋体" w:hAnsi="宋体" w:cs="宋体"/>
          <w:szCs w:val="21"/>
        </w:rPr>
        <w:t>3.5.1投标文件应按第五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pPr>
        <w:spacing w:line="420" w:lineRule="exact"/>
        <w:ind w:firstLine="420" w:firstLineChars="200"/>
        <w:jc w:val="left"/>
        <w:rPr>
          <w:rFonts w:ascii="宋体" w:hAnsi="宋体" w:cs="宋体"/>
          <w:szCs w:val="21"/>
        </w:rPr>
      </w:pPr>
      <w:bookmarkStart w:id="364" w:name="_Toc246996199"/>
      <w:bookmarkStart w:id="365" w:name="_Toc152042331"/>
      <w:bookmarkStart w:id="366" w:name="_Toc144974523"/>
      <w:bookmarkStart w:id="367" w:name="_Toc152045555"/>
      <w:bookmarkStart w:id="368" w:name="_Toc247085713"/>
      <w:bookmarkStart w:id="369" w:name="_Toc246996942"/>
      <w:bookmarkStart w:id="370" w:name="_Toc324404838"/>
      <w:bookmarkStart w:id="371" w:name="_Toc179632573"/>
      <w:r>
        <w:rPr>
          <w:rFonts w:hint="eastAsia" w:ascii="宋体" w:hAnsi="宋体" w:cs="宋体"/>
          <w:szCs w:val="21"/>
        </w:rPr>
        <w:t>3.5.2本次投标不需要提供纸质投标文件，投标人应按照招标文件的要求，制作、签章、发送加密的电子投标文件。</w:t>
      </w:r>
    </w:p>
    <w:p>
      <w:pPr>
        <w:spacing w:line="420" w:lineRule="exact"/>
        <w:ind w:firstLine="420" w:firstLineChars="200"/>
        <w:jc w:val="left"/>
        <w:rPr>
          <w:rFonts w:ascii="宋体" w:hAnsi="宋体" w:cs="宋体"/>
          <w:szCs w:val="21"/>
        </w:rPr>
      </w:pPr>
      <w:r>
        <w:rPr>
          <w:rFonts w:hint="eastAsia" w:ascii="宋体" w:hAnsi="宋体" w:cs="宋体"/>
          <w:szCs w:val="21"/>
        </w:rPr>
        <w:t>3.5.3投标文件应当对招标文件有关工期、投标有效期、质量要求、技术标准和要求、招标范围等实质性内容作出响应。</w:t>
      </w:r>
    </w:p>
    <w:p>
      <w:pPr>
        <w:spacing w:line="420" w:lineRule="exact"/>
        <w:ind w:firstLine="420" w:firstLineChars="200"/>
        <w:jc w:val="left"/>
        <w:rPr>
          <w:rFonts w:ascii="宋体" w:hAnsi="宋体" w:cs="宋体"/>
          <w:szCs w:val="21"/>
        </w:rPr>
      </w:pPr>
      <w:r>
        <w:rPr>
          <w:rFonts w:hint="eastAsia" w:ascii="宋体" w:hAnsi="宋体" w:cs="宋体"/>
          <w:szCs w:val="21"/>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pPr>
        <w:spacing w:line="420" w:lineRule="exact"/>
        <w:ind w:firstLine="420" w:firstLineChars="200"/>
        <w:jc w:val="left"/>
        <w:rPr>
          <w:rFonts w:ascii="宋体" w:hAnsi="宋体" w:cs="宋体"/>
          <w:szCs w:val="21"/>
        </w:rPr>
      </w:pPr>
      <w:r>
        <w:rPr>
          <w:rFonts w:hint="eastAsia" w:ascii="宋体" w:hAnsi="宋体" w:cs="宋体"/>
          <w:szCs w:val="21"/>
        </w:rPr>
        <w:t>3.5.5投标文件的制作应满足以下规定：</w:t>
      </w:r>
    </w:p>
    <w:p>
      <w:pPr>
        <w:numPr>
          <w:ilvl w:val="0"/>
          <w:numId w:val="2"/>
        </w:numPr>
        <w:spacing w:line="420" w:lineRule="exact"/>
        <w:ind w:firstLine="420" w:firstLineChars="200"/>
        <w:jc w:val="left"/>
        <w:rPr>
          <w:rFonts w:ascii="宋体" w:hAnsi="宋体" w:cs="宋体"/>
          <w:szCs w:val="21"/>
        </w:rPr>
      </w:pPr>
      <w:r>
        <w:rPr>
          <w:rFonts w:hint="eastAsia" w:ascii="宋体" w:hAnsi="宋体" w:cs="宋体"/>
          <w:szCs w:val="21"/>
        </w:rPr>
        <w:t>招标文件中“签章”是指签字或盖章。在第五章“投标文件格式”中要求签章处，投标人应加盖投标人单位电子印章和法定代表人的个人电子印章/电子签名章或直接上传加盖投标人单位印章和法定代表人的印章（或签字）的原件扫描件。</w:t>
      </w:r>
    </w:p>
    <w:p>
      <w:pPr>
        <w:numPr>
          <w:ilvl w:val="0"/>
          <w:numId w:val="2"/>
        </w:numPr>
        <w:spacing w:line="420" w:lineRule="exact"/>
        <w:ind w:firstLine="420" w:firstLineChars="200"/>
        <w:jc w:val="left"/>
        <w:rPr>
          <w:rFonts w:ascii="宋体" w:hAnsi="宋体" w:cs="宋体"/>
          <w:szCs w:val="21"/>
        </w:rPr>
      </w:pPr>
      <w:r>
        <w:rPr>
          <w:rFonts w:hint="eastAsia" w:ascii="宋体" w:hAnsi="宋体" w:cs="宋体"/>
          <w:szCs w:val="21"/>
        </w:rPr>
        <w:t>投标人应对投标文件进行加密，形成加密的投标文件。</w:t>
      </w:r>
    </w:p>
    <w:p>
      <w:pPr>
        <w:spacing w:line="420" w:lineRule="exact"/>
        <w:ind w:firstLine="420" w:firstLineChars="200"/>
        <w:jc w:val="left"/>
        <w:rPr>
          <w:rFonts w:ascii="宋体" w:hAnsi="宋体" w:cs="宋体"/>
          <w:szCs w:val="21"/>
        </w:rPr>
      </w:pPr>
      <w:r>
        <w:rPr>
          <w:rFonts w:hint="eastAsia" w:ascii="宋体" w:hAnsi="宋体" w:cs="宋体"/>
          <w:szCs w:val="21"/>
        </w:rPr>
        <w:t>3.5.6因投标人自身原因而导致投标文件无法打开、读取，该投标视为无效投标，投标人自行承担由此导致的全部责任。</w:t>
      </w:r>
    </w:p>
    <w:p>
      <w:pPr>
        <w:spacing w:line="420" w:lineRule="exact"/>
        <w:ind w:firstLine="420" w:firstLineChars="200"/>
        <w:jc w:val="left"/>
        <w:rPr>
          <w:rFonts w:ascii="宋体" w:hAnsi="宋体" w:cs="宋体"/>
          <w:szCs w:val="21"/>
        </w:rPr>
      </w:pPr>
      <w:r>
        <w:rPr>
          <w:rFonts w:hint="eastAsia" w:ascii="宋体" w:hAnsi="宋体" w:cs="宋体"/>
          <w:szCs w:val="21"/>
        </w:rPr>
        <w:t>3.5.7投标人中标后须递交与网上电子投标文件完全一致的纸质版投标文件，在领取中标通知书时，一并递交给招标代理机构。</w:t>
      </w:r>
    </w:p>
    <w:p>
      <w:pPr>
        <w:pStyle w:val="6"/>
        <w:spacing w:line="420" w:lineRule="exact"/>
        <w:ind w:firstLine="422" w:firstLineChars="200"/>
        <w:rPr>
          <w:rFonts w:ascii="宋体" w:hAnsi="宋体" w:eastAsia="宋体" w:cs="宋体"/>
        </w:rPr>
      </w:pPr>
      <w:r>
        <w:rPr>
          <w:rFonts w:hint="eastAsia" w:ascii="宋体" w:hAnsi="宋体" w:eastAsia="宋体" w:cs="宋体"/>
        </w:rPr>
        <w:t>3.6 备选投标方案</w:t>
      </w:r>
    </w:p>
    <w:p>
      <w:pPr>
        <w:spacing w:line="420" w:lineRule="exact"/>
        <w:ind w:firstLine="420" w:firstLineChars="200"/>
        <w:jc w:val="left"/>
        <w:rPr>
          <w:rFonts w:ascii="宋体" w:hAnsi="宋体" w:cs="宋体"/>
          <w:szCs w:val="21"/>
        </w:rPr>
      </w:pPr>
      <w:r>
        <w:rPr>
          <w:rFonts w:hint="eastAsia" w:ascii="宋体" w:hAnsi="宋体" w:cs="宋体"/>
          <w:szCs w:val="21"/>
        </w:rPr>
        <w:t>3.6.1除投标人须知前附表规定允许外，投标人不得递交备选投标方案，否则其投标将被否决。</w:t>
      </w:r>
    </w:p>
    <w:p>
      <w:pPr>
        <w:spacing w:line="420" w:lineRule="exact"/>
        <w:ind w:firstLine="420" w:firstLineChars="200"/>
        <w:jc w:val="left"/>
        <w:rPr>
          <w:rFonts w:ascii="宋体" w:hAnsi="宋体" w:cs="宋体"/>
          <w:szCs w:val="21"/>
        </w:rPr>
      </w:pPr>
      <w:r>
        <w:rPr>
          <w:rFonts w:hint="eastAsia" w:ascii="宋体" w:hAnsi="宋体" w:cs="宋体"/>
          <w:szCs w:val="21"/>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20" w:lineRule="exact"/>
        <w:ind w:firstLine="420" w:firstLineChars="200"/>
        <w:jc w:val="left"/>
        <w:rPr>
          <w:rFonts w:ascii="宋体" w:hAnsi="宋体" w:cs="宋体"/>
          <w:szCs w:val="21"/>
        </w:rPr>
      </w:pPr>
      <w:r>
        <w:rPr>
          <w:rFonts w:hint="eastAsia" w:ascii="宋体" w:hAnsi="宋体" w:cs="宋体"/>
          <w:szCs w:val="21"/>
        </w:rPr>
        <w:t>3.6.3投标人提供两个或两个以上投标报价，或在投标文件中提供一个报价，但同时提供两个或两个以上施工组织设计的，视为提供备选方案。</w:t>
      </w:r>
    </w:p>
    <w:p>
      <w:pPr>
        <w:pStyle w:val="6"/>
        <w:spacing w:before="156" w:beforeLines="50" w:after="156" w:afterLines="50" w:line="420" w:lineRule="exact"/>
        <w:ind w:firstLine="482" w:firstLineChars="200"/>
        <w:rPr>
          <w:rFonts w:ascii="宋体" w:hAnsi="宋体" w:eastAsia="宋体" w:cs="宋体"/>
          <w:sz w:val="24"/>
          <w:szCs w:val="24"/>
        </w:rPr>
      </w:pPr>
      <w:bookmarkStart w:id="372" w:name="_Toc78803345"/>
      <w:bookmarkStart w:id="373" w:name="_Toc15058869"/>
      <w:bookmarkStart w:id="374" w:name="_Toc19455"/>
      <w:bookmarkStart w:id="375" w:name="_Toc35425076"/>
      <w:bookmarkStart w:id="376" w:name="_Toc35424910"/>
      <w:bookmarkStart w:id="377" w:name="_Toc506107291"/>
      <w:r>
        <w:rPr>
          <w:rFonts w:hint="eastAsia" w:ascii="宋体" w:hAnsi="宋体" w:eastAsia="宋体" w:cs="宋体"/>
          <w:sz w:val="24"/>
          <w:szCs w:val="24"/>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Style w:val="6"/>
        <w:spacing w:line="420" w:lineRule="exact"/>
        <w:ind w:firstLine="422" w:firstLineChars="200"/>
        <w:rPr>
          <w:rFonts w:ascii="宋体" w:hAnsi="宋体" w:eastAsia="宋体" w:cs="宋体"/>
        </w:rPr>
      </w:pPr>
      <w:bookmarkStart w:id="378" w:name="_Toc78803346"/>
      <w:bookmarkStart w:id="379" w:name="_Toc14473"/>
      <w:bookmarkStart w:id="380" w:name="_Toc35424911"/>
      <w:bookmarkStart w:id="381" w:name="_Toc15058870"/>
      <w:bookmarkStart w:id="382" w:name="_Toc35425077"/>
      <w:r>
        <w:rPr>
          <w:rFonts w:hint="eastAsia" w:ascii="宋体" w:hAnsi="宋体" w:eastAsia="宋体" w:cs="宋体"/>
        </w:rPr>
        <w:t>4.1投标文件</w:t>
      </w:r>
      <w:bookmarkEnd w:id="378"/>
      <w:bookmarkEnd w:id="379"/>
      <w:bookmarkEnd w:id="380"/>
      <w:bookmarkEnd w:id="381"/>
      <w:bookmarkEnd w:id="382"/>
      <w:r>
        <w:rPr>
          <w:rFonts w:hint="eastAsia" w:ascii="宋体" w:hAnsi="宋体" w:eastAsia="宋体" w:cs="宋体"/>
        </w:rPr>
        <w:t>的提交</w:t>
      </w:r>
    </w:p>
    <w:p>
      <w:pPr>
        <w:wordWrap w:val="0"/>
        <w:spacing w:line="420" w:lineRule="exact"/>
        <w:ind w:firstLine="420" w:firstLineChars="200"/>
        <w:jc w:val="left"/>
        <w:rPr>
          <w:rFonts w:ascii="宋体" w:hAnsi="宋体" w:cs="宋体"/>
          <w:szCs w:val="21"/>
        </w:rPr>
      </w:pPr>
      <w:r>
        <w:rPr>
          <w:rFonts w:hint="eastAsia" w:ascii="宋体" w:hAnsi="宋体" w:cs="宋体"/>
          <w:szCs w:val="21"/>
        </w:rPr>
        <w:t>4.1.1各投标人须在投标文件截止时间前（2024年5月</w:t>
      </w:r>
      <w:r>
        <w:rPr>
          <w:rFonts w:hint="eastAsia" w:ascii="宋体" w:hAnsi="宋体" w:cs="宋体"/>
          <w:szCs w:val="21"/>
          <w:lang w:val="en-US" w:eastAsia="zh-CN"/>
        </w:rPr>
        <w:t>30</w:t>
      </w:r>
      <w:r>
        <w:fldChar w:fldCharType="begin"/>
      </w:r>
      <w: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fldChar w:fldCharType="separate"/>
      </w:r>
      <w:r>
        <w:rPr>
          <w:rFonts w:hint="eastAsia" w:ascii="宋体" w:hAnsi="宋体" w:cs="宋体"/>
          <w:szCs w:val="21"/>
        </w:rPr>
        <w:t>日1</w:t>
      </w:r>
      <w:r>
        <w:rPr>
          <w:rFonts w:hint="eastAsia" w:ascii="宋体" w:hAnsi="宋体" w:cs="宋体"/>
          <w:szCs w:val="21"/>
          <w:lang w:val="en-US" w:eastAsia="zh-CN"/>
        </w:rPr>
        <w:t>5</w:t>
      </w:r>
      <w:r>
        <w:rPr>
          <w:rFonts w:hint="eastAsia" w:ascii="宋体" w:hAnsi="宋体" w:cs="宋体"/>
          <w:szCs w:val="21"/>
        </w:rPr>
        <w:t>时00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2024年</w:t>
      </w:r>
      <w:r>
        <w:rPr>
          <w:rFonts w:hint="eastAsia" w:ascii="宋体" w:hAnsi="宋体" w:cs="宋体"/>
          <w:szCs w:val="21"/>
        </w:rPr>
        <w:fldChar w:fldCharType="end"/>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日1</w:t>
      </w:r>
      <w:r>
        <w:rPr>
          <w:rFonts w:hint="eastAsia" w:ascii="宋体" w:hAnsi="宋体" w:cs="宋体"/>
          <w:szCs w:val="21"/>
          <w:lang w:val="en-US" w:eastAsia="zh-CN"/>
        </w:rPr>
        <w:t>5</w:t>
      </w:r>
      <w:r>
        <w:rPr>
          <w:rFonts w:hint="eastAsia" w:ascii="宋体" w:hAnsi="宋体" w:cs="宋体"/>
          <w:szCs w:val="21"/>
        </w:rPr>
        <w:t>时00分前最后收到的投标文件为准,投标文件无法打开的，由投标人自行承担后果。</w:t>
      </w:r>
    </w:p>
    <w:p>
      <w:pPr>
        <w:spacing w:line="420" w:lineRule="exact"/>
        <w:ind w:firstLine="420" w:firstLineChars="200"/>
        <w:jc w:val="left"/>
        <w:rPr>
          <w:rFonts w:ascii="宋体" w:hAnsi="宋体" w:cs="宋体"/>
          <w:szCs w:val="21"/>
        </w:rPr>
      </w:pPr>
      <w:r>
        <w:rPr>
          <w:rFonts w:hint="eastAsia" w:ascii="宋体" w:hAnsi="宋体" w:cs="宋体"/>
          <w:szCs w:val="21"/>
        </w:rPr>
        <w:t>4.1.2各投标人在2024年5月</w:t>
      </w:r>
      <w:r>
        <w:rPr>
          <w:rFonts w:hint="eastAsia" w:ascii="宋体" w:hAnsi="宋体" w:cs="宋体"/>
          <w:szCs w:val="21"/>
          <w:lang w:val="en-US" w:eastAsia="zh-CN"/>
        </w:rPr>
        <w:t>30</w:t>
      </w:r>
      <w:r>
        <w:rPr>
          <w:rFonts w:hint="eastAsia" w:ascii="宋体" w:hAnsi="宋体" w:cs="宋体"/>
          <w:szCs w:val="21"/>
        </w:rPr>
        <w:t>日1</w:t>
      </w:r>
      <w:r>
        <w:rPr>
          <w:rFonts w:hint="eastAsia" w:ascii="宋体" w:hAnsi="宋体" w:cs="宋体"/>
          <w:szCs w:val="21"/>
          <w:lang w:val="en-US" w:eastAsia="zh-CN"/>
        </w:rPr>
        <w:t>5</w:t>
      </w:r>
      <w:r>
        <w:rPr>
          <w:rFonts w:hint="eastAsia" w:ascii="宋体" w:hAnsi="宋体" w:cs="宋体"/>
          <w:szCs w:val="21"/>
        </w:rPr>
        <w:t>时00分至2024年5月</w:t>
      </w:r>
      <w:r>
        <w:rPr>
          <w:rFonts w:hint="eastAsia" w:ascii="宋体" w:hAnsi="宋体" w:cs="宋体"/>
          <w:szCs w:val="21"/>
          <w:lang w:val="en-US" w:eastAsia="zh-CN"/>
        </w:rPr>
        <w:t>30</w:t>
      </w:r>
      <w:r>
        <w:rPr>
          <w:rFonts w:hint="eastAsia" w:ascii="宋体" w:hAnsi="宋体" w:cs="宋体"/>
          <w:szCs w:val="21"/>
        </w:rPr>
        <w:t>日1</w:t>
      </w:r>
      <w:r>
        <w:rPr>
          <w:rFonts w:hint="eastAsia" w:ascii="宋体" w:hAnsi="宋体" w:cs="宋体"/>
          <w:szCs w:val="21"/>
          <w:lang w:val="en-US" w:eastAsia="zh-CN"/>
        </w:rPr>
        <w:t>5</w:t>
      </w:r>
      <w:r>
        <w:fldChar w:fldCharType="begin"/>
      </w:r>
      <w:r>
        <w:instrText xml:space="preserve"> HYPERLINK "mailto:时30分内将投标文件的密码（投标单位名称+密码）发送至czsctgczx@163.com（滁州市城投工程咨询管理有限公司邮箱）。未在规定时间内发送密码的，投标将被拒绝。" </w:instrText>
      </w:r>
      <w:r>
        <w:fldChar w:fldCharType="separate"/>
      </w:r>
      <w:r>
        <w:rPr>
          <w:rFonts w:hint="eastAsia" w:ascii="宋体" w:hAnsi="宋体" w:cs="宋体"/>
          <w:szCs w:val="21"/>
        </w:rPr>
        <w:t>时20分内将投标文件的密码（投标单位名称+密码）发送至czsctgczx@163.com（滁州市城投工程咨询管理有限公司邮箱）。未在规定时间内发送密码的，投标将被拒绝。</w:t>
      </w:r>
      <w:r>
        <w:rPr>
          <w:rFonts w:hint="eastAsia" w:ascii="宋体" w:hAnsi="宋体" w:cs="宋体"/>
          <w:szCs w:val="21"/>
        </w:rPr>
        <w:fldChar w:fldCharType="end"/>
      </w:r>
    </w:p>
    <w:p>
      <w:pPr>
        <w:pStyle w:val="6"/>
        <w:spacing w:line="420" w:lineRule="exact"/>
        <w:ind w:firstLine="422" w:firstLineChars="200"/>
        <w:rPr>
          <w:rFonts w:ascii="宋体" w:hAnsi="宋体" w:eastAsia="宋体" w:cs="宋体"/>
        </w:rPr>
      </w:pPr>
      <w:bookmarkStart w:id="383" w:name="_Toc296602446"/>
      <w:bookmarkStart w:id="384" w:name="_Toc152042334"/>
      <w:bookmarkStart w:id="385" w:name="_Toc15058873"/>
      <w:bookmarkStart w:id="386" w:name="_Toc35424914"/>
      <w:bookmarkStart w:id="387" w:name="_Toc246996202"/>
      <w:bookmarkStart w:id="388" w:name="_Toc144974526"/>
      <w:bookmarkStart w:id="389" w:name="_Toc247085716"/>
      <w:bookmarkStart w:id="390" w:name="_Toc179632576"/>
      <w:bookmarkStart w:id="391" w:name="_Toc246996945"/>
      <w:bookmarkStart w:id="392" w:name="_Toc324404841"/>
      <w:bookmarkStart w:id="393" w:name="_Toc35425080"/>
      <w:bookmarkStart w:id="394" w:name="_Toc19572"/>
      <w:bookmarkStart w:id="395" w:name="_Toc152045558"/>
      <w:bookmarkStart w:id="396" w:name="_Toc78803347"/>
      <w:bookmarkStart w:id="397" w:name="_Toc506107294"/>
      <w:r>
        <w:rPr>
          <w:rFonts w:hint="eastAsia" w:ascii="宋体" w:hAnsi="宋体" w:eastAsia="宋体" w:cs="宋体"/>
        </w:rPr>
        <w:t>4.2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spacing w:line="420" w:lineRule="exact"/>
        <w:ind w:firstLine="422" w:firstLineChars="200"/>
        <w:jc w:val="left"/>
        <w:rPr>
          <w:rFonts w:ascii="宋体" w:hAnsi="宋体" w:cs="宋体"/>
          <w:szCs w:val="21"/>
        </w:rPr>
      </w:pPr>
      <w:r>
        <w:rPr>
          <w:rFonts w:hint="eastAsia" w:ascii="宋体" w:hAnsi="宋体" w:cs="宋体"/>
          <w:b/>
          <w:szCs w:val="21"/>
        </w:rPr>
        <w:t>4.2.1 在规定的投标截止时间前，投标人可以自行从邮箱撤回已递交的投标文件，并可修改后重新上传，开标时以投标截止时间前投标人最终上传的投标文件为准。</w:t>
      </w:r>
    </w:p>
    <w:p>
      <w:pPr>
        <w:pStyle w:val="6"/>
        <w:spacing w:before="156" w:beforeLines="50" w:after="156" w:afterLines="50" w:line="420" w:lineRule="exact"/>
        <w:ind w:firstLine="482" w:firstLineChars="200"/>
        <w:rPr>
          <w:rFonts w:ascii="宋体" w:hAnsi="宋体" w:eastAsia="宋体" w:cs="宋体"/>
          <w:sz w:val="24"/>
          <w:szCs w:val="24"/>
        </w:rPr>
      </w:pPr>
      <w:bookmarkStart w:id="398" w:name="_Toc246996946"/>
      <w:bookmarkStart w:id="399" w:name="_Toc324404842"/>
      <w:bookmarkStart w:id="400" w:name="_Toc15058874"/>
      <w:bookmarkStart w:id="401" w:name="_Toc35425081"/>
      <w:bookmarkStart w:id="402" w:name="_Toc35424915"/>
      <w:bookmarkStart w:id="403" w:name="_Toc506107295"/>
      <w:bookmarkStart w:id="404" w:name="_Toc247085717"/>
      <w:bookmarkStart w:id="405" w:name="_Toc144974527"/>
      <w:bookmarkStart w:id="406" w:name="_Toc78803348"/>
      <w:bookmarkStart w:id="407" w:name="_Toc152042335"/>
      <w:bookmarkStart w:id="408" w:name="_Toc29639"/>
      <w:bookmarkStart w:id="409" w:name="_Toc246996203"/>
      <w:bookmarkStart w:id="410" w:name="_Toc179632577"/>
      <w:bookmarkStart w:id="411" w:name="_Toc152045559"/>
      <w:r>
        <w:rPr>
          <w:rFonts w:hint="eastAsia" w:ascii="宋体" w:hAnsi="宋体" w:eastAsia="宋体" w:cs="宋体"/>
          <w:sz w:val="24"/>
          <w:szCs w:val="24"/>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6"/>
        <w:spacing w:line="420" w:lineRule="exact"/>
        <w:ind w:firstLine="422" w:firstLineChars="200"/>
        <w:rPr>
          <w:rFonts w:ascii="宋体" w:hAnsi="宋体" w:eastAsia="宋体" w:cs="宋体"/>
        </w:rPr>
      </w:pPr>
      <w:bookmarkStart w:id="412" w:name="_Toc247085718"/>
      <w:bookmarkStart w:id="413" w:name="_Toc152045560"/>
      <w:bookmarkStart w:id="414" w:name="_Toc296602448"/>
      <w:bookmarkStart w:id="415" w:name="_Toc15058875"/>
      <w:bookmarkStart w:id="416" w:name="_Toc35424916"/>
      <w:bookmarkStart w:id="417" w:name="_Toc78803349"/>
      <w:bookmarkStart w:id="418" w:name="_Toc179632578"/>
      <w:bookmarkStart w:id="419" w:name="_Toc246996947"/>
      <w:bookmarkStart w:id="420" w:name="_Toc246996204"/>
      <w:bookmarkStart w:id="421" w:name="_Toc506107296"/>
      <w:bookmarkStart w:id="422" w:name="_Toc152042336"/>
      <w:bookmarkStart w:id="423" w:name="_Toc13691"/>
      <w:bookmarkStart w:id="424" w:name="_Toc35425082"/>
      <w:bookmarkStart w:id="425" w:name="_Toc144974528"/>
      <w:bookmarkStart w:id="426" w:name="_Toc324404843"/>
      <w:r>
        <w:rPr>
          <w:rFonts w:hint="eastAsia" w:ascii="宋体" w:hAnsi="宋体" w:eastAsia="宋体" w:cs="宋体"/>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420" w:lineRule="exact"/>
        <w:ind w:firstLine="420" w:firstLineChars="200"/>
        <w:jc w:val="left"/>
        <w:rPr>
          <w:rFonts w:ascii="宋体" w:hAnsi="宋体" w:cs="宋体"/>
          <w:szCs w:val="21"/>
        </w:rPr>
      </w:pPr>
      <w:r>
        <w:rPr>
          <w:rFonts w:hint="eastAsia" w:ascii="宋体" w:hAnsi="宋体" w:cs="宋体"/>
          <w:szCs w:val="21"/>
        </w:rPr>
        <w:t>招标人在投标人须知前附表规定的投标截止时间（开标时间）和地点公开开标。</w:t>
      </w:r>
    </w:p>
    <w:p>
      <w:pPr>
        <w:pStyle w:val="6"/>
        <w:spacing w:line="420" w:lineRule="exact"/>
        <w:ind w:firstLine="422" w:firstLineChars="200"/>
        <w:rPr>
          <w:rFonts w:ascii="宋体" w:hAnsi="宋体" w:eastAsia="宋体" w:cs="宋体"/>
        </w:rPr>
      </w:pPr>
      <w:bookmarkStart w:id="427" w:name="_Toc15058876"/>
      <w:bookmarkStart w:id="428" w:name="_Toc247085719"/>
      <w:bookmarkStart w:id="429" w:name="_Toc324404844"/>
      <w:bookmarkStart w:id="430" w:name="_Toc32451"/>
      <w:bookmarkStart w:id="431" w:name="_Toc179632579"/>
      <w:bookmarkStart w:id="432" w:name="_Toc144974529"/>
      <w:bookmarkStart w:id="433" w:name="_Toc35425083"/>
      <w:bookmarkStart w:id="434" w:name="_Toc246996948"/>
      <w:bookmarkStart w:id="435" w:name="_Toc78803350"/>
      <w:bookmarkStart w:id="436" w:name="_Toc506107297"/>
      <w:bookmarkStart w:id="437" w:name="_Toc246996205"/>
      <w:bookmarkStart w:id="438" w:name="_Toc152042337"/>
      <w:bookmarkStart w:id="439" w:name="_Toc296602449"/>
      <w:bookmarkStart w:id="440" w:name="_Toc35424917"/>
      <w:bookmarkStart w:id="441" w:name="_Toc152045561"/>
      <w:r>
        <w:rPr>
          <w:rFonts w:hint="eastAsia" w:ascii="宋体" w:hAnsi="宋体" w:eastAsia="宋体" w:cs="宋体"/>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spacing w:line="420" w:lineRule="exact"/>
        <w:ind w:firstLine="420" w:firstLineChars="200"/>
        <w:jc w:val="left"/>
        <w:rPr>
          <w:rFonts w:ascii="宋体" w:hAnsi="宋体" w:cs="宋体"/>
          <w:szCs w:val="21"/>
        </w:rPr>
      </w:pPr>
      <w:r>
        <w:rPr>
          <w:rFonts w:hint="eastAsia" w:ascii="宋体" w:hAnsi="宋体" w:cs="宋体"/>
          <w:szCs w:val="21"/>
        </w:rPr>
        <w:t>主持人按下列程序进行开标：</w:t>
      </w:r>
      <w:bookmarkStart w:id="442" w:name="_Toc324404845"/>
      <w:bookmarkStart w:id="443" w:name="_Toc296602450"/>
    </w:p>
    <w:p>
      <w:pPr>
        <w:spacing w:line="420" w:lineRule="exact"/>
        <w:ind w:firstLine="420" w:firstLineChars="200"/>
        <w:jc w:val="left"/>
        <w:rPr>
          <w:rFonts w:ascii="宋体" w:hAnsi="宋体" w:cs="宋体"/>
          <w:szCs w:val="21"/>
        </w:rPr>
      </w:pPr>
      <w:bookmarkStart w:id="444" w:name="_Toc15058877"/>
      <w:bookmarkStart w:id="445" w:name="_Toc506107298"/>
      <w:r>
        <w:rPr>
          <w:rFonts w:hint="eastAsia" w:ascii="宋体" w:hAnsi="宋体" w:cs="宋体"/>
          <w:szCs w:val="21"/>
        </w:rPr>
        <w:t>（1）宣布开标纪律；</w:t>
      </w:r>
      <w:bookmarkEnd w:id="444"/>
    </w:p>
    <w:p>
      <w:pPr>
        <w:spacing w:line="420" w:lineRule="exact"/>
        <w:ind w:firstLine="420" w:firstLineChars="200"/>
        <w:jc w:val="left"/>
        <w:rPr>
          <w:rFonts w:ascii="宋体" w:hAnsi="宋体" w:cs="宋体"/>
          <w:szCs w:val="21"/>
        </w:rPr>
      </w:pPr>
      <w:bookmarkStart w:id="446" w:name="_Toc15058878"/>
      <w:r>
        <w:rPr>
          <w:rFonts w:hint="eastAsia" w:ascii="宋体" w:hAnsi="宋体" w:cs="宋体"/>
          <w:szCs w:val="21"/>
        </w:rPr>
        <w:t>（2）宣布招标人、代理机构主持人等有关人员姓名；</w:t>
      </w:r>
      <w:bookmarkEnd w:id="446"/>
    </w:p>
    <w:p>
      <w:pPr>
        <w:spacing w:line="420" w:lineRule="exact"/>
        <w:ind w:firstLine="420" w:firstLineChars="200"/>
        <w:jc w:val="left"/>
        <w:rPr>
          <w:rFonts w:ascii="宋体" w:hAnsi="宋体" w:cs="宋体"/>
          <w:szCs w:val="21"/>
        </w:rPr>
      </w:pPr>
      <w:bookmarkStart w:id="447" w:name="_Toc15058881"/>
      <w:r>
        <w:rPr>
          <w:rFonts w:hint="eastAsia" w:ascii="宋体" w:hAnsi="宋体" w:cs="宋体"/>
          <w:szCs w:val="21"/>
        </w:rPr>
        <w:t>（3）公布投标人投标报价、质量目标、工期及其他内容，并记录在案；</w:t>
      </w:r>
      <w:bookmarkEnd w:id="447"/>
    </w:p>
    <w:p>
      <w:pPr>
        <w:spacing w:line="420" w:lineRule="exact"/>
        <w:ind w:firstLine="420" w:firstLineChars="200"/>
        <w:jc w:val="left"/>
        <w:rPr>
          <w:rFonts w:ascii="宋体" w:hAnsi="宋体" w:cs="宋体"/>
          <w:szCs w:val="21"/>
        </w:rPr>
      </w:pPr>
      <w:bookmarkStart w:id="448" w:name="_Toc15058882"/>
      <w:r>
        <w:rPr>
          <w:rFonts w:hint="eastAsia" w:ascii="宋体" w:hAnsi="宋体" w:cs="宋体"/>
          <w:szCs w:val="21"/>
        </w:rPr>
        <w:t>（4）开标结束。</w:t>
      </w:r>
      <w:bookmarkEnd w:id="448"/>
    </w:p>
    <w:bookmarkEnd w:id="442"/>
    <w:bookmarkEnd w:id="443"/>
    <w:bookmarkEnd w:id="445"/>
    <w:p>
      <w:pPr>
        <w:pStyle w:val="6"/>
        <w:spacing w:before="156" w:beforeLines="50" w:after="156" w:afterLines="50" w:line="420" w:lineRule="exact"/>
        <w:ind w:firstLine="482" w:firstLineChars="200"/>
        <w:rPr>
          <w:rFonts w:ascii="宋体" w:hAnsi="宋体" w:eastAsia="宋体" w:cs="宋体"/>
          <w:sz w:val="24"/>
          <w:szCs w:val="24"/>
        </w:rPr>
      </w:pPr>
      <w:bookmarkStart w:id="449" w:name="_Toc144974530"/>
      <w:bookmarkStart w:id="450" w:name="_Toc78803352"/>
      <w:bookmarkStart w:id="451" w:name="_Toc506107299"/>
      <w:bookmarkStart w:id="452" w:name="_Toc152042338"/>
      <w:bookmarkStart w:id="453" w:name="_Toc35425085"/>
      <w:bookmarkStart w:id="454" w:name="_Toc35424919"/>
      <w:bookmarkStart w:id="455" w:name="_Toc15058884"/>
      <w:bookmarkStart w:id="456" w:name="_Toc247085720"/>
      <w:bookmarkStart w:id="457" w:name="_Toc20689"/>
      <w:bookmarkStart w:id="458" w:name="_Toc246996949"/>
      <w:bookmarkStart w:id="459" w:name="_Toc324404846"/>
      <w:bookmarkStart w:id="460" w:name="_Toc152045562"/>
      <w:bookmarkStart w:id="461" w:name="_Toc179632580"/>
      <w:bookmarkStart w:id="462" w:name="_Toc246996206"/>
      <w:r>
        <w:rPr>
          <w:rFonts w:hint="eastAsia" w:ascii="宋体" w:hAnsi="宋体" w:eastAsia="宋体" w:cs="宋体"/>
          <w:sz w:val="24"/>
          <w:szCs w:val="24"/>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Style w:val="6"/>
        <w:spacing w:line="420" w:lineRule="exact"/>
        <w:ind w:firstLine="422" w:firstLineChars="200"/>
        <w:rPr>
          <w:rFonts w:ascii="宋体" w:hAnsi="宋体" w:eastAsia="宋体" w:cs="宋体"/>
        </w:rPr>
      </w:pPr>
      <w:bookmarkStart w:id="463" w:name="_Toc14249"/>
      <w:bookmarkStart w:id="464" w:name="_Toc506107300"/>
      <w:bookmarkStart w:id="465" w:name="_Toc78803353"/>
      <w:bookmarkStart w:id="466" w:name="_Toc152045563"/>
      <w:bookmarkStart w:id="467" w:name="_Toc35425086"/>
      <w:bookmarkStart w:id="468" w:name="_Toc246996950"/>
      <w:bookmarkStart w:id="469" w:name="_Toc296602452"/>
      <w:bookmarkStart w:id="470" w:name="_Toc246996207"/>
      <w:bookmarkStart w:id="471" w:name="_Toc179632581"/>
      <w:bookmarkStart w:id="472" w:name="_Toc152042339"/>
      <w:bookmarkStart w:id="473" w:name="_Toc35424920"/>
      <w:bookmarkStart w:id="474" w:name="_Toc247085721"/>
      <w:bookmarkStart w:id="475" w:name="_Toc15058885"/>
      <w:bookmarkStart w:id="476" w:name="_Toc324404847"/>
      <w:bookmarkStart w:id="477" w:name="_Toc144974531"/>
      <w:r>
        <w:rPr>
          <w:rFonts w:hint="eastAsia" w:ascii="宋体" w:hAnsi="宋体" w:eastAsia="宋体" w:cs="宋体"/>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spacing w:line="420" w:lineRule="exact"/>
        <w:ind w:firstLine="420" w:firstLineChars="200"/>
        <w:jc w:val="left"/>
        <w:rPr>
          <w:rFonts w:ascii="宋体" w:hAnsi="宋体" w:cs="宋体"/>
          <w:szCs w:val="21"/>
        </w:rPr>
      </w:pPr>
      <w:r>
        <w:rPr>
          <w:rFonts w:hint="eastAsia" w:ascii="宋体" w:hAnsi="宋体" w:cs="宋体"/>
          <w:szCs w:val="21"/>
        </w:rPr>
        <w:t>6.1.1 评标由招标人依法组建的评标委员会负责。评标委员会由招标人或其委托的招标代理机构熟悉相关业务的代表，以及有关技术、经济等方面的专家组成。</w:t>
      </w:r>
    </w:p>
    <w:p>
      <w:pPr>
        <w:spacing w:line="420" w:lineRule="exact"/>
        <w:ind w:firstLine="420" w:firstLineChars="200"/>
        <w:jc w:val="left"/>
        <w:rPr>
          <w:rFonts w:ascii="宋体" w:hAnsi="宋体" w:cs="宋体"/>
          <w:szCs w:val="21"/>
        </w:rPr>
      </w:pPr>
      <w:r>
        <w:rPr>
          <w:rFonts w:hint="eastAsia" w:ascii="宋体" w:hAnsi="宋体" w:cs="宋体"/>
          <w:szCs w:val="21"/>
        </w:rPr>
        <w:t>6.1.2 评标委员会成员有下列情形之一的，应当回避：</w:t>
      </w:r>
    </w:p>
    <w:p>
      <w:pPr>
        <w:spacing w:line="420" w:lineRule="exact"/>
        <w:ind w:firstLine="420" w:firstLineChars="200"/>
        <w:jc w:val="left"/>
        <w:rPr>
          <w:rFonts w:ascii="宋体" w:hAnsi="宋体" w:cs="宋体"/>
          <w:szCs w:val="21"/>
        </w:rPr>
      </w:pPr>
      <w:r>
        <w:rPr>
          <w:rFonts w:hint="eastAsia" w:ascii="宋体" w:hAnsi="宋体" w:cs="宋体"/>
          <w:szCs w:val="21"/>
        </w:rPr>
        <w:t>（1）投标人或投标人主要负责人的近亲属；</w:t>
      </w:r>
    </w:p>
    <w:p>
      <w:pPr>
        <w:spacing w:line="420" w:lineRule="exact"/>
        <w:ind w:firstLine="420" w:firstLineChars="200"/>
        <w:jc w:val="left"/>
        <w:rPr>
          <w:rFonts w:ascii="宋体" w:hAnsi="宋体" w:cs="宋体"/>
          <w:szCs w:val="21"/>
        </w:rPr>
      </w:pPr>
      <w:r>
        <w:rPr>
          <w:rFonts w:hint="eastAsia" w:ascii="宋体" w:hAnsi="宋体" w:cs="宋体"/>
          <w:szCs w:val="21"/>
        </w:rPr>
        <w:t>（2）项目主管部门或者行政监督部门的人员；</w:t>
      </w:r>
    </w:p>
    <w:p>
      <w:pPr>
        <w:spacing w:line="420" w:lineRule="exact"/>
        <w:ind w:firstLine="420" w:firstLineChars="200"/>
        <w:jc w:val="left"/>
        <w:rPr>
          <w:rFonts w:ascii="宋体" w:hAnsi="宋体" w:cs="宋体"/>
          <w:szCs w:val="21"/>
        </w:rPr>
      </w:pPr>
      <w:r>
        <w:rPr>
          <w:rFonts w:hint="eastAsia" w:ascii="宋体" w:hAnsi="宋体" w:cs="宋体"/>
          <w:szCs w:val="21"/>
        </w:rPr>
        <w:t>（3）与投标人有经济利益关系；</w:t>
      </w:r>
    </w:p>
    <w:p>
      <w:pPr>
        <w:spacing w:line="420" w:lineRule="exact"/>
        <w:ind w:firstLine="420" w:firstLineChars="200"/>
        <w:jc w:val="left"/>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pPr>
        <w:spacing w:line="420" w:lineRule="exact"/>
        <w:ind w:firstLine="420" w:firstLineChars="200"/>
        <w:jc w:val="left"/>
        <w:rPr>
          <w:rFonts w:ascii="宋体" w:hAnsi="宋体" w:cs="宋体"/>
          <w:szCs w:val="21"/>
        </w:rPr>
      </w:pPr>
      <w:r>
        <w:rPr>
          <w:rFonts w:hint="eastAsia" w:ascii="宋体" w:hAnsi="宋体" w:cs="宋体"/>
          <w:szCs w:val="21"/>
        </w:rPr>
        <w:t>（5）与投标人有其他利害关系。</w:t>
      </w:r>
    </w:p>
    <w:p>
      <w:pPr>
        <w:spacing w:line="420" w:lineRule="exact"/>
        <w:ind w:firstLine="420" w:firstLineChars="200"/>
        <w:jc w:val="left"/>
        <w:rPr>
          <w:rFonts w:ascii="宋体" w:hAnsi="宋体" w:cs="宋体"/>
          <w:szCs w:val="21"/>
        </w:rPr>
      </w:pPr>
      <w:r>
        <w:rPr>
          <w:rFonts w:hint="eastAsia" w:ascii="宋体" w:hAnsi="宋体" w:cs="宋体"/>
          <w:szCs w:val="21"/>
        </w:rPr>
        <w:t>6.1.3评标过程中，评标委员会成员有回避事由、擅离职守或因健康等原因不能继续评标的， 招标人有权更换。被更换的评标委员会成员作出的评审结论无效，由更换后的评标委员会成员重新进行评审。</w:t>
      </w:r>
    </w:p>
    <w:p>
      <w:pPr>
        <w:pStyle w:val="6"/>
        <w:spacing w:line="420" w:lineRule="exact"/>
        <w:ind w:firstLine="422" w:firstLineChars="200"/>
        <w:rPr>
          <w:rFonts w:ascii="宋体" w:hAnsi="宋体" w:eastAsia="宋体" w:cs="宋体"/>
        </w:rPr>
      </w:pPr>
      <w:bookmarkStart w:id="478" w:name="_Toc78803354"/>
      <w:bookmarkStart w:id="479" w:name="_Toc35425087"/>
      <w:bookmarkStart w:id="480" w:name="_Toc35424921"/>
      <w:bookmarkStart w:id="481" w:name="_Toc324404848"/>
      <w:bookmarkStart w:id="482" w:name="_Toc296602453"/>
      <w:bookmarkStart w:id="483" w:name="_Toc144974532"/>
      <w:bookmarkStart w:id="484" w:name="_Toc15058886"/>
      <w:bookmarkStart w:id="485" w:name="_Toc152045564"/>
      <w:bookmarkStart w:id="486" w:name="_Toc12948"/>
      <w:bookmarkStart w:id="487" w:name="_Toc246996951"/>
      <w:bookmarkStart w:id="488" w:name="_Toc506107301"/>
      <w:bookmarkStart w:id="489" w:name="_Toc247085722"/>
      <w:bookmarkStart w:id="490" w:name="_Toc246996208"/>
      <w:bookmarkStart w:id="491" w:name="_Toc152042340"/>
      <w:bookmarkStart w:id="492" w:name="_Toc179632582"/>
      <w:r>
        <w:rPr>
          <w:rFonts w:hint="eastAsia" w:ascii="宋体" w:hAnsi="宋体" w:eastAsia="宋体" w:cs="宋体"/>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spacing w:line="420" w:lineRule="exact"/>
        <w:ind w:firstLine="420" w:firstLineChars="200"/>
        <w:jc w:val="left"/>
        <w:rPr>
          <w:rFonts w:ascii="宋体" w:hAnsi="宋体" w:cs="宋体"/>
          <w:szCs w:val="21"/>
        </w:rPr>
      </w:pPr>
      <w:r>
        <w:rPr>
          <w:rFonts w:hint="eastAsia" w:ascii="宋体" w:hAnsi="宋体" w:cs="宋体"/>
          <w:szCs w:val="21"/>
        </w:rPr>
        <w:t>评标活动遵循公平、公正、科学和择优的原则。</w:t>
      </w:r>
    </w:p>
    <w:p>
      <w:pPr>
        <w:pStyle w:val="6"/>
        <w:spacing w:line="420" w:lineRule="exact"/>
        <w:ind w:firstLine="422" w:firstLineChars="200"/>
        <w:rPr>
          <w:rFonts w:ascii="宋体" w:hAnsi="宋体" w:eastAsia="宋体" w:cs="宋体"/>
        </w:rPr>
      </w:pPr>
      <w:bookmarkStart w:id="493" w:name="_Toc246996209"/>
      <w:bookmarkStart w:id="494" w:name="_Toc247085723"/>
      <w:bookmarkStart w:id="495" w:name="_Toc14892"/>
      <w:bookmarkStart w:id="496" w:name="_Toc78803355"/>
      <w:bookmarkStart w:id="497" w:name="_Toc35425088"/>
      <w:bookmarkStart w:id="498" w:name="_Toc179632583"/>
      <w:bookmarkStart w:id="499" w:name="_Toc324404849"/>
      <w:bookmarkStart w:id="500" w:name="_Toc35424922"/>
      <w:bookmarkStart w:id="501" w:name="_Toc152042341"/>
      <w:bookmarkStart w:id="502" w:name="_Toc152045565"/>
      <w:bookmarkStart w:id="503" w:name="_Toc506107302"/>
      <w:bookmarkStart w:id="504" w:name="_Toc144974533"/>
      <w:bookmarkStart w:id="505" w:name="_Toc296602454"/>
      <w:bookmarkStart w:id="506" w:name="_Toc246996952"/>
      <w:bookmarkStart w:id="507" w:name="_Toc15058887"/>
      <w:r>
        <w:rPr>
          <w:rFonts w:hint="eastAsia" w:ascii="宋体" w:hAnsi="宋体" w:eastAsia="宋体" w:cs="宋体"/>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spacing w:line="420" w:lineRule="exact"/>
        <w:ind w:firstLine="420" w:firstLineChars="200"/>
        <w:jc w:val="left"/>
        <w:rPr>
          <w:rFonts w:ascii="宋体" w:hAnsi="宋体" w:cs="宋体"/>
          <w:szCs w:val="21"/>
        </w:rPr>
      </w:pPr>
      <w:bookmarkStart w:id="508" w:name="_Toc324404850"/>
      <w:bookmarkStart w:id="509" w:name="_Toc152042342"/>
      <w:bookmarkStart w:id="510" w:name="_Toc247085724"/>
      <w:bookmarkStart w:id="511" w:name="_Toc246996210"/>
      <w:bookmarkStart w:id="512" w:name="_Toc246996953"/>
      <w:bookmarkStart w:id="513" w:name="_Toc144974534"/>
      <w:bookmarkStart w:id="514" w:name="_Toc179632584"/>
      <w:bookmarkStart w:id="515" w:name="_Toc152045566"/>
      <w:r>
        <w:rPr>
          <w:rFonts w:hint="eastAsia" w:ascii="宋体" w:hAnsi="宋体" w:cs="宋体"/>
          <w:szCs w:val="21"/>
        </w:rPr>
        <w:t>6.3.1评标委员会按照第三章“评标办法”规定的方法、评审因素、标准和程序对投标文件进行评审。第三章“评标办法”没有规定的方法、评审因素和标准，不作为评标依据。</w:t>
      </w:r>
    </w:p>
    <w:p>
      <w:pPr>
        <w:spacing w:line="420" w:lineRule="exact"/>
        <w:ind w:firstLine="420" w:firstLineChars="200"/>
        <w:jc w:val="left"/>
        <w:rPr>
          <w:rFonts w:ascii="宋体" w:hAnsi="宋体" w:cs="宋体"/>
          <w:szCs w:val="21"/>
        </w:rPr>
      </w:pPr>
      <w:r>
        <w:rPr>
          <w:rFonts w:hint="eastAsia" w:ascii="宋体" w:hAnsi="宋体" w:cs="宋体"/>
          <w:szCs w:val="21"/>
        </w:rPr>
        <w:t>6.3.2评标完成后，评标委员会应向招标人提交书面评标报告和中标候选人名单。评标委员会推荐中标候选人的人数见投标人须知前附表。</w:t>
      </w:r>
    </w:p>
    <w:p>
      <w:pPr>
        <w:pStyle w:val="6"/>
        <w:spacing w:before="156" w:beforeLines="50" w:after="156" w:afterLines="50" w:line="420" w:lineRule="exact"/>
        <w:ind w:firstLine="482" w:firstLineChars="200"/>
        <w:rPr>
          <w:rFonts w:ascii="宋体" w:hAnsi="宋体" w:eastAsia="宋体" w:cs="宋体"/>
          <w:sz w:val="24"/>
          <w:szCs w:val="24"/>
        </w:rPr>
      </w:pPr>
      <w:bookmarkStart w:id="516" w:name="_Toc35425089"/>
      <w:bookmarkStart w:id="517" w:name="_Toc15058888"/>
      <w:bookmarkStart w:id="518" w:name="_Toc35424923"/>
      <w:bookmarkStart w:id="519" w:name="_Toc26182"/>
      <w:bookmarkStart w:id="520" w:name="_Toc78803356"/>
      <w:bookmarkStart w:id="521" w:name="_Toc506107303"/>
      <w:r>
        <w:rPr>
          <w:rFonts w:hint="eastAsia" w:ascii="宋体" w:hAnsi="宋体" w:eastAsia="宋体" w:cs="宋体"/>
          <w:sz w:val="24"/>
          <w:szCs w:val="24"/>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pStyle w:val="6"/>
        <w:spacing w:line="420" w:lineRule="exact"/>
        <w:ind w:firstLine="422" w:firstLineChars="200"/>
        <w:rPr>
          <w:rFonts w:ascii="宋体" w:hAnsi="宋体" w:eastAsia="宋体" w:cs="宋体"/>
        </w:rPr>
      </w:pPr>
      <w:bookmarkStart w:id="522" w:name="_Toc60061472"/>
      <w:bookmarkStart w:id="523" w:name="_Toc506107305"/>
      <w:bookmarkStart w:id="524" w:name="_Toc324404852"/>
      <w:bookmarkStart w:id="525" w:name="_Toc15058890"/>
      <w:bookmarkStart w:id="526" w:name="_Toc296602457"/>
      <w:bookmarkStart w:id="527" w:name="_Toc83301726"/>
      <w:bookmarkStart w:id="528" w:name="_Toc95223374"/>
      <w:bookmarkStart w:id="529" w:name="_Toc4204"/>
      <w:bookmarkStart w:id="530" w:name="_Toc506107306"/>
      <w:bookmarkStart w:id="531" w:name="_Toc179632586"/>
      <w:bookmarkStart w:id="532" w:name="_Toc324404853"/>
      <w:bookmarkStart w:id="533" w:name="_Toc78803360"/>
      <w:bookmarkStart w:id="534" w:name="_Toc246996212"/>
      <w:bookmarkStart w:id="535" w:name="_Toc152045568"/>
      <w:bookmarkStart w:id="536" w:name="_Toc246996955"/>
      <w:bookmarkStart w:id="537" w:name="_Toc296602458"/>
      <w:bookmarkStart w:id="538" w:name="_Toc15058891"/>
      <w:bookmarkStart w:id="539" w:name="_Toc14692"/>
      <w:bookmarkStart w:id="540" w:name="_Toc35425093"/>
      <w:bookmarkStart w:id="541" w:name="_Toc247085726"/>
      <w:bookmarkStart w:id="542" w:name="_Toc152042344"/>
      <w:bookmarkStart w:id="543" w:name="_Toc144974536"/>
      <w:bookmarkStart w:id="544" w:name="_Toc35424927"/>
      <w:r>
        <w:rPr>
          <w:rFonts w:hint="eastAsia" w:ascii="宋体" w:hAnsi="宋体" w:eastAsia="宋体" w:cs="宋体"/>
        </w:rPr>
        <w:t>7.1 中标候选人公示</w:t>
      </w:r>
      <w:bookmarkEnd w:id="522"/>
      <w:bookmarkEnd w:id="523"/>
      <w:bookmarkEnd w:id="524"/>
      <w:bookmarkEnd w:id="525"/>
      <w:bookmarkEnd w:id="526"/>
      <w:bookmarkEnd w:id="527"/>
      <w:bookmarkEnd w:id="528"/>
    </w:p>
    <w:p>
      <w:pPr>
        <w:spacing w:line="420" w:lineRule="exact"/>
        <w:ind w:firstLine="420" w:firstLineChars="200"/>
        <w:jc w:val="left"/>
        <w:rPr>
          <w:rFonts w:ascii="宋体" w:hAnsi="宋体" w:cs="宋体"/>
          <w:szCs w:val="21"/>
        </w:rPr>
      </w:pPr>
      <w:r>
        <w:rPr>
          <w:rFonts w:hint="eastAsia" w:ascii="宋体" w:hAnsi="宋体" w:cs="宋体"/>
          <w:szCs w:val="21"/>
        </w:rPr>
        <w:t>招标人在收到评标报告之日起3日内，按照投标人须知前附表规定的公示媒介和期限依法公示。中标候选人公示期不得少于3日。</w:t>
      </w:r>
    </w:p>
    <w:p>
      <w:pPr>
        <w:pStyle w:val="6"/>
        <w:spacing w:line="420" w:lineRule="exact"/>
        <w:ind w:firstLine="422" w:firstLineChars="200"/>
        <w:rPr>
          <w:rFonts w:ascii="宋体" w:hAnsi="宋体" w:eastAsia="宋体" w:cs="宋体"/>
        </w:rPr>
      </w:pPr>
      <w:r>
        <w:rPr>
          <w:rFonts w:hint="eastAsia" w:ascii="宋体" w:hAnsi="宋体" w:eastAsia="宋体" w:cs="宋体"/>
        </w:rPr>
        <w:t>7.2 评标结果异议</w:t>
      </w:r>
    </w:p>
    <w:p>
      <w:pPr>
        <w:spacing w:line="420" w:lineRule="exact"/>
        <w:ind w:firstLine="420" w:firstLineChars="200"/>
        <w:jc w:val="left"/>
        <w:rPr>
          <w:rFonts w:ascii="宋体" w:hAnsi="宋体" w:cs="宋体"/>
          <w:szCs w:val="21"/>
        </w:rPr>
      </w:pPr>
      <w:r>
        <w:rPr>
          <w:rFonts w:hint="eastAsia" w:ascii="宋体" w:hAnsi="宋体" w:cs="宋体"/>
          <w:szCs w:val="21"/>
        </w:rPr>
        <w:t>投标人或其他利害关系人对评标结果有异议的，应在中标候选人公示期内提出。招标人将在收到异议之日起3日内作出答复；作出答复前，将暂停招标投标活动。</w:t>
      </w:r>
    </w:p>
    <w:bookmarkEnd w:id="529"/>
    <w:p>
      <w:pPr>
        <w:pStyle w:val="6"/>
        <w:spacing w:line="420" w:lineRule="exact"/>
        <w:ind w:firstLine="422" w:firstLineChars="200"/>
        <w:rPr>
          <w:rFonts w:ascii="宋体" w:hAnsi="宋体" w:eastAsia="宋体" w:cs="宋体"/>
        </w:rPr>
      </w:pPr>
      <w:r>
        <w:rPr>
          <w:rFonts w:hint="eastAsia" w:ascii="宋体" w:hAnsi="宋体" w:eastAsia="宋体" w:cs="宋体"/>
        </w:rPr>
        <w:t>7.3 中标候选人履约能力审查</w:t>
      </w:r>
    </w:p>
    <w:p>
      <w:pPr>
        <w:spacing w:line="420" w:lineRule="exact"/>
        <w:ind w:firstLine="420" w:firstLineChars="200"/>
        <w:jc w:val="left"/>
        <w:rPr>
          <w:rFonts w:ascii="宋体" w:hAnsi="宋体" w:cs="宋体"/>
          <w:szCs w:val="21"/>
        </w:rPr>
      </w:pPr>
      <w:r>
        <w:rPr>
          <w:rFonts w:hint="eastAsia" w:ascii="宋体" w:hAnsi="宋体" w:cs="宋体"/>
          <w:szCs w:val="21"/>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Pr>
        <w:pStyle w:val="6"/>
        <w:spacing w:line="420" w:lineRule="exact"/>
        <w:ind w:firstLine="422" w:firstLineChars="200"/>
        <w:rPr>
          <w:rFonts w:ascii="宋体" w:hAnsi="宋体" w:eastAsia="宋体" w:cs="宋体"/>
        </w:rPr>
      </w:pPr>
      <w:bookmarkStart w:id="545" w:name="_Toc83301727"/>
      <w:bookmarkStart w:id="546" w:name="_Toc95223375"/>
      <w:bookmarkStart w:id="547" w:name="_Toc60061474"/>
      <w:bookmarkStart w:id="548" w:name="_Toc246996214"/>
      <w:bookmarkStart w:id="549" w:name="_Toc78803363"/>
      <w:bookmarkStart w:id="550" w:name="_Toc247085728"/>
      <w:bookmarkStart w:id="551" w:name="_Toc15058893"/>
      <w:bookmarkStart w:id="552" w:name="_Toc152045570"/>
      <w:bookmarkStart w:id="553" w:name="_Toc324404855"/>
      <w:bookmarkStart w:id="554" w:name="_Toc506107308"/>
      <w:bookmarkStart w:id="555" w:name="_Toc144974538"/>
      <w:bookmarkStart w:id="556" w:name="_Toc296602460"/>
      <w:bookmarkStart w:id="557" w:name="_Toc179632588"/>
      <w:bookmarkStart w:id="558" w:name="_Toc35425096"/>
      <w:bookmarkStart w:id="559" w:name="_Toc35424930"/>
      <w:bookmarkStart w:id="560" w:name="_Toc152042346"/>
      <w:bookmarkStart w:id="561" w:name="_Toc246996957"/>
      <w:bookmarkStart w:id="562" w:name="_Toc11010"/>
      <w:r>
        <w:rPr>
          <w:rFonts w:hint="eastAsia" w:ascii="宋体" w:hAnsi="宋体" w:eastAsia="宋体" w:cs="宋体"/>
        </w:rPr>
        <w:t>7.4 定标</w:t>
      </w:r>
      <w:bookmarkEnd w:id="545"/>
      <w:bookmarkEnd w:id="546"/>
    </w:p>
    <w:p>
      <w:pPr>
        <w:spacing w:line="420" w:lineRule="exact"/>
        <w:ind w:firstLine="420" w:firstLineChars="200"/>
        <w:jc w:val="left"/>
        <w:rPr>
          <w:rFonts w:ascii="宋体" w:hAnsi="宋体" w:cs="宋体"/>
          <w:szCs w:val="21"/>
        </w:rPr>
      </w:pPr>
      <w:r>
        <w:rPr>
          <w:rFonts w:hint="eastAsia" w:ascii="宋体" w:hAnsi="宋体" w:cs="宋体"/>
          <w:szCs w:val="21"/>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6"/>
        <w:spacing w:line="420" w:lineRule="exact"/>
        <w:ind w:firstLine="422" w:firstLineChars="200"/>
        <w:rPr>
          <w:rFonts w:ascii="宋体" w:hAnsi="宋体" w:eastAsia="宋体" w:cs="宋体"/>
        </w:rPr>
      </w:pPr>
      <w:bookmarkStart w:id="563" w:name="_Toc95223376"/>
      <w:bookmarkStart w:id="564" w:name="_Toc83301728"/>
      <w:r>
        <w:rPr>
          <w:rFonts w:hint="eastAsia" w:ascii="宋体" w:hAnsi="宋体" w:eastAsia="宋体" w:cs="宋体"/>
        </w:rPr>
        <w:t>7.5 中标通知</w:t>
      </w:r>
      <w:bookmarkEnd w:id="547"/>
      <w:bookmarkEnd w:id="563"/>
      <w:bookmarkEnd w:id="564"/>
    </w:p>
    <w:p>
      <w:pPr>
        <w:spacing w:line="420" w:lineRule="exact"/>
        <w:ind w:firstLine="420" w:firstLineChars="200"/>
        <w:jc w:val="left"/>
        <w:rPr>
          <w:rFonts w:ascii="宋体" w:hAnsi="宋体" w:cs="宋体"/>
          <w:szCs w:val="21"/>
        </w:rPr>
      </w:pPr>
      <w:r>
        <w:rPr>
          <w:rFonts w:hint="eastAsia" w:ascii="宋体" w:hAnsi="宋体" w:cs="宋体"/>
          <w:szCs w:val="21"/>
        </w:rPr>
        <w:t>在本招标文件规定的投标有效期内，招标人向中标人发出中标通知书，同时将中标结果通知未中标的投标人。</w:t>
      </w:r>
    </w:p>
    <w:p>
      <w:pPr>
        <w:pStyle w:val="6"/>
        <w:spacing w:line="420" w:lineRule="exact"/>
        <w:ind w:firstLine="422" w:firstLineChars="200"/>
        <w:rPr>
          <w:rFonts w:ascii="宋体" w:hAnsi="宋体" w:eastAsia="宋体" w:cs="宋体"/>
        </w:rPr>
      </w:pPr>
      <w:bookmarkStart w:id="565" w:name="_Toc95223377"/>
      <w:r>
        <w:rPr>
          <w:rFonts w:hint="eastAsia" w:ascii="宋体" w:hAnsi="宋体" w:eastAsia="宋体" w:cs="宋体"/>
        </w:rPr>
        <w:t>7.6 中标候选人公示</w:t>
      </w:r>
      <w:bookmarkEnd w:id="565"/>
    </w:p>
    <w:p>
      <w:pPr>
        <w:spacing w:line="420" w:lineRule="exact"/>
        <w:ind w:firstLine="420" w:firstLineChars="200"/>
        <w:jc w:val="left"/>
        <w:rPr>
          <w:rFonts w:ascii="宋体" w:hAnsi="宋体" w:cs="宋体"/>
          <w:szCs w:val="21"/>
        </w:rPr>
      </w:pPr>
      <w:r>
        <w:rPr>
          <w:rFonts w:hint="eastAsia" w:ascii="宋体" w:hAnsi="宋体" w:cs="宋体"/>
          <w:szCs w:val="21"/>
        </w:rPr>
        <w:t>招标人在确定中标人之日起3日内，按照投标人须知前附表规定的公示媒介和期限依法公示中标候选人公示。</w:t>
      </w:r>
    </w:p>
    <w:p>
      <w:pPr>
        <w:pStyle w:val="6"/>
        <w:spacing w:line="420" w:lineRule="exact"/>
        <w:ind w:firstLine="422" w:firstLineChars="200"/>
        <w:rPr>
          <w:rFonts w:ascii="宋体" w:hAnsi="宋体" w:eastAsia="宋体" w:cs="宋体"/>
        </w:rPr>
      </w:pPr>
      <w:bookmarkStart w:id="566" w:name="_Toc152045569"/>
      <w:bookmarkStart w:id="567" w:name="_Toc506107307"/>
      <w:bookmarkStart w:id="568" w:name="_Toc83301730"/>
      <w:bookmarkStart w:id="569" w:name="_Toc152042345"/>
      <w:bookmarkStart w:id="570" w:name="_Toc246996956"/>
      <w:bookmarkStart w:id="571" w:name="_Toc296602459"/>
      <w:bookmarkStart w:id="572" w:name="_Toc60061476"/>
      <w:bookmarkStart w:id="573" w:name="_Toc144974537"/>
      <w:bookmarkStart w:id="574" w:name="_Toc15058892"/>
      <w:bookmarkStart w:id="575" w:name="_Toc246996213"/>
      <w:bookmarkStart w:id="576" w:name="_Toc95223378"/>
      <w:bookmarkStart w:id="577" w:name="_Toc179632587"/>
      <w:bookmarkStart w:id="578" w:name="_Toc324404854"/>
      <w:bookmarkStart w:id="579" w:name="_Toc247085727"/>
      <w:r>
        <w:rPr>
          <w:rFonts w:hint="eastAsia" w:ascii="宋体" w:hAnsi="宋体" w:eastAsia="宋体" w:cs="宋体"/>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spacing w:line="420" w:lineRule="exact"/>
        <w:ind w:firstLine="420" w:firstLineChars="200"/>
        <w:jc w:val="left"/>
        <w:rPr>
          <w:rFonts w:ascii="宋体" w:hAnsi="宋体" w:cs="宋体"/>
          <w:szCs w:val="21"/>
        </w:rPr>
      </w:pPr>
      <w:r>
        <w:rPr>
          <w:rFonts w:hint="eastAsia" w:ascii="宋体" w:hAnsi="宋体" w:cs="宋体"/>
          <w:szCs w:val="21"/>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pPr>
        <w:spacing w:line="420" w:lineRule="exact"/>
        <w:ind w:firstLine="420" w:firstLineChars="200"/>
        <w:jc w:val="left"/>
        <w:rPr>
          <w:rFonts w:ascii="宋体" w:hAnsi="宋体" w:cs="宋体"/>
          <w:szCs w:val="21"/>
        </w:rPr>
      </w:pPr>
      <w:r>
        <w:rPr>
          <w:rFonts w:hint="eastAsia" w:ascii="宋体" w:hAnsi="宋体" w:cs="宋体"/>
          <w:szCs w:val="21"/>
        </w:rPr>
        <w:t>7.8.2 中标人不能按本章第7.8.1项要求提交履约担保的，视为放弃中标，给招标人造成的损失的，中标人应当予以赔偿。</w:t>
      </w:r>
    </w:p>
    <w:p>
      <w:pPr>
        <w:pStyle w:val="6"/>
        <w:spacing w:line="420" w:lineRule="exact"/>
        <w:ind w:firstLine="422" w:firstLineChars="200"/>
        <w:rPr>
          <w:rFonts w:ascii="宋体" w:hAnsi="宋体" w:eastAsia="宋体" w:cs="宋体"/>
        </w:rPr>
      </w:pPr>
      <w:bookmarkStart w:id="580" w:name="_Toc95223379"/>
      <w:bookmarkStart w:id="581" w:name="_Toc60061477"/>
      <w:bookmarkStart w:id="582" w:name="_Toc83301731"/>
      <w:r>
        <w:rPr>
          <w:rFonts w:hint="eastAsia" w:ascii="宋体" w:hAnsi="宋体" w:eastAsia="宋体" w:cs="宋体"/>
        </w:rPr>
        <w:t>7.9 签订合同</w:t>
      </w:r>
      <w:bookmarkEnd w:id="580"/>
      <w:bookmarkEnd w:id="581"/>
      <w:bookmarkEnd w:id="582"/>
    </w:p>
    <w:p>
      <w:pPr>
        <w:spacing w:line="420" w:lineRule="exact"/>
        <w:ind w:firstLine="420" w:firstLineChars="200"/>
        <w:jc w:val="left"/>
        <w:rPr>
          <w:rFonts w:ascii="宋体" w:hAnsi="宋体" w:cs="宋体"/>
          <w:szCs w:val="21"/>
        </w:rPr>
      </w:pPr>
      <w:r>
        <w:rPr>
          <w:rFonts w:hint="eastAsia" w:ascii="宋体" w:hAnsi="宋体" w:cs="宋体"/>
          <w:szCs w:val="21"/>
        </w:rPr>
        <w:t>7.9.1本招标工程的施工合同将授予按本须知第7.4款规定所确定的中标人。</w:t>
      </w:r>
    </w:p>
    <w:p>
      <w:pPr>
        <w:spacing w:line="420" w:lineRule="exact"/>
        <w:ind w:firstLine="420" w:firstLineChars="200"/>
        <w:jc w:val="left"/>
        <w:rPr>
          <w:rFonts w:ascii="宋体" w:hAnsi="宋体" w:cs="宋体"/>
          <w:szCs w:val="21"/>
        </w:rPr>
      </w:pPr>
      <w:r>
        <w:rPr>
          <w:rFonts w:hint="eastAsia" w:ascii="宋体" w:hAnsi="宋体" w:cs="宋体"/>
          <w:szCs w:val="21"/>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pPr>
        <w:spacing w:line="420" w:lineRule="exact"/>
        <w:ind w:firstLine="420" w:firstLineChars="200"/>
        <w:jc w:val="left"/>
        <w:rPr>
          <w:rFonts w:ascii="宋体" w:hAnsi="宋体" w:cs="宋体"/>
          <w:szCs w:val="21"/>
        </w:rPr>
      </w:pPr>
      <w:r>
        <w:rPr>
          <w:rFonts w:hint="eastAsia" w:ascii="宋体" w:hAnsi="宋体" w:cs="宋体"/>
          <w:szCs w:val="21"/>
        </w:rPr>
        <w:t>7.9.3 发出中标通知书后，招标人无正当理由拒签合同的，给中标人造成损失的，还应当赔偿损失。</w:t>
      </w:r>
    </w:p>
    <w:p>
      <w:pPr>
        <w:spacing w:line="420" w:lineRule="exact"/>
        <w:ind w:firstLine="420" w:firstLineChars="200"/>
        <w:jc w:val="left"/>
        <w:rPr>
          <w:rFonts w:ascii="宋体" w:hAnsi="宋体" w:cs="宋体"/>
          <w:szCs w:val="21"/>
        </w:rPr>
      </w:pPr>
      <w:r>
        <w:rPr>
          <w:rFonts w:hint="eastAsia" w:ascii="宋体" w:hAnsi="宋体" w:cs="宋体"/>
          <w:szCs w:val="21"/>
        </w:rPr>
        <w:t>7.9.4 除法定情形外，建设工程合同履行期间项目经理（建造师）不得更换。项目经理（建造师）确需变更的，应根据招标文件要求，变更后的项目经理（建造师）不低于投标文件中拟派项目经理（建造师）的资格条件。</w:t>
      </w:r>
    </w:p>
    <w:p>
      <w:pPr>
        <w:spacing w:line="420" w:lineRule="exact"/>
        <w:ind w:firstLine="420" w:firstLineChars="200"/>
        <w:jc w:val="left"/>
        <w:rPr>
          <w:rFonts w:ascii="宋体" w:hAnsi="宋体" w:cs="宋体"/>
          <w:szCs w:val="21"/>
        </w:rPr>
      </w:pPr>
      <w:r>
        <w:rPr>
          <w:rFonts w:hint="eastAsia" w:ascii="宋体" w:hAnsi="宋体" w:cs="宋体"/>
          <w:szCs w:val="21"/>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pStyle w:val="6"/>
        <w:spacing w:before="156" w:beforeLines="50" w:after="156" w:afterLines="50" w:line="420" w:lineRule="exact"/>
        <w:ind w:firstLine="422" w:firstLineChars="200"/>
        <w:rPr>
          <w:rFonts w:ascii="宋体" w:hAnsi="宋体" w:eastAsia="宋体" w:cs="宋体"/>
        </w:rPr>
      </w:pPr>
      <w:bookmarkStart w:id="583" w:name="_Toc152045571"/>
      <w:bookmarkStart w:id="584" w:name="_Toc179632589"/>
      <w:bookmarkStart w:id="585" w:name="_Toc83301732"/>
      <w:bookmarkStart w:id="586" w:name="_Toc144974539"/>
      <w:bookmarkStart w:id="587" w:name="_Toc152042347"/>
      <w:bookmarkStart w:id="588" w:name="_Toc95223381"/>
      <w:bookmarkStart w:id="589" w:name="_Toc60061478"/>
      <w:bookmarkStart w:id="590" w:name="_Toc25375"/>
      <w:bookmarkStart w:id="591" w:name="_Toc31686"/>
      <w:bookmarkStart w:id="592" w:name="_Toc35424931"/>
      <w:bookmarkStart w:id="593" w:name="_Toc26974"/>
      <w:bookmarkStart w:id="594" w:name="_Toc78803367"/>
      <w:bookmarkStart w:id="595" w:name="_Toc35425097"/>
      <w:bookmarkStart w:id="596" w:name="_Toc324404864"/>
      <w:bookmarkStart w:id="597" w:name="_Toc35424939"/>
      <w:bookmarkStart w:id="598" w:name="_Toc506107317"/>
      <w:bookmarkStart w:id="599" w:name="_Toc35425105"/>
      <w:bookmarkStart w:id="600" w:name="_Toc15058902"/>
      <w:bookmarkStart w:id="601" w:name="_Toc296602475"/>
      <w:r>
        <w:rPr>
          <w:rFonts w:hint="eastAsia" w:ascii="宋体" w:hAnsi="宋体" w:eastAsia="宋体" w:cs="宋体"/>
        </w:rPr>
        <w:t>8. 重新招标和不再招标</w:t>
      </w:r>
      <w:bookmarkEnd w:id="583"/>
      <w:bookmarkEnd w:id="584"/>
      <w:bookmarkEnd w:id="585"/>
      <w:bookmarkEnd w:id="586"/>
      <w:bookmarkEnd w:id="587"/>
      <w:bookmarkEnd w:id="588"/>
      <w:bookmarkEnd w:id="589"/>
    </w:p>
    <w:p>
      <w:pPr>
        <w:pStyle w:val="6"/>
        <w:spacing w:line="420" w:lineRule="exact"/>
        <w:ind w:firstLine="422" w:firstLineChars="200"/>
        <w:rPr>
          <w:rFonts w:ascii="宋体" w:hAnsi="宋体" w:eastAsia="宋体" w:cs="宋体"/>
        </w:rPr>
      </w:pPr>
      <w:bookmarkStart w:id="602" w:name="_Toc179632590"/>
      <w:bookmarkStart w:id="603" w:name="_Toc152045572"/>
      <w:bookmarkStart w:id="604" w:name="_Toc83301733"/>
      <w:bookmarkStart w:id="605" w:name="_Toc60061479"/>
      <w:bookmarkStart w:id="606" w:name="_Toc152042348"/>
      <w:bookmarkStart w:id="607" w:name="_Toc144974540"/>
      <w:bookmarkStart w:id="608" w:name="_Toc95223382"/>
      <w:r>
        <w:rPr>
          <w:rFonts w:hint="eastAsia" w:ascii="宋体" w:hAnsi="宋体" w:eastAsia="宋体" w:cs="宋体"/>
        </w:rPr>
        <w:t>8.1 重新招标</w:t>
      </w:r>
      <w:bookmarkEnd w:id="602"/>
      <w:bookmarkEnd w:id="603"/>
      <w:bookmarkEnd w:id="604"/>
      <w:bookmarkEnd w:id="605"/>
      <w:bookmarkEnd w:id="606"/>
      <w:bookmarkEnd w:id="607"/>
      <w:bookmarkEnd w:id="608"/>
    </w:p>
    <w:p>
      <w:pPr>
        <w:spacing w:line="420" w:lineRule="exact"/>
        <w:ind w:firstLine="420" w:firstLineChars="200"/>
        <w:jc w:val="left"/>
        <w:rPr>
          <w:rFonts w:ascii="宋体" w:hAnsi="宋体" w:cs="宋体"/>
          <w:szCs w:val="21"/>
        </w:rPr>
      </w:pPr>
      <w:r>
        <w:rPr>
          <w:rFonts w:hint="eastAsia" w:ascii="宋体" w:hAnsi="宋体" w:cs="宋体"/>
          <w:szCs w:val="21"/>
        </w:rPr>
        <w:t>依法必须招标的项目有下列情形之一的，招标人将重新招标：</w:t>
      </w:r>
    </w:p>
    <w:p>
      <w:pPr>
        <w:spacing w:line="420" w:lineRule="exact"/>
        <w:ind w:firstLine="420" w:firstLineChars="200"/>
        <w:jc w:val="left"/>
        <w:rPr>
          <w:rFonts w:ascii="宋体" w:hAnsi="宋体" w:cs="宋体"/>
          <w:szCs w:val="21"/>
        </w:rPr>
      </w:pPr>
      <w:r>
        <w:rPr>
          <w:rFonts w:hint="eastAsia" w:ascii="宋体" w:hAnsi="宋体" w:cs="宋体"/>
          <w:szCs w:val="21"/>
        </w:rPr>
        <w:t>（1）投标截止时间止，投标人少于3个的；</w:t>
      </w:r>
    </w:p>
    <w:p>
      <w:pPr>
        <w:spacing w:line="420" w:lineRule="exact"/>
        <w:ind w:firstLine="420" w:firstLineChars="200"/>
        <w:jc w:val="left"/>
        <w:rPr>
          <w:rFonts w:ascii="宋体" w:hAnsi="宋体" w:cs="宋体"/>
          <w:szCs w:val="21"/>
        </w:rPr>
      </w:pPr>
      <w:r>
        <w:rPr>
          <w:rFonts w:hint="eastAsia" w:ascii="宋体" w:hAnsi="宋体" w:cs="宋体"/>
          <w:szCs w:val="21"/>
        </w:rPr>
        <w:t>（2）经评标委员会评审后否决所有投标的；</w:t>
      </w:r>
    </w:p>
    <w:p>
      <w:pPr>
        <w:spacing w:line="420" w:lineRule="exact"/>
        <w:ind w:firstLine="420" w:firstLineChars="200"/>
        <w:jc w:val="left"/>
        <w:rPr>
          <w:rFonts w:ascii="宋体" w:hAnsi="宋体" w:cs="宋体"/>
          <w:szCs w:val="21"/>
        </w:rPr>
      </w:pPr>
      <w:r>
        <w:rPr>
          <w:rFonts w:hint="eastAsia" w:ascii="宋体" w:hAnsi="宋体" w:cs="宋体"/>
          <w:szCs w:val="21"/>
        </w:rPr>
        <w:t>（3）中标候选人均未与招标人签订合同的；</w:t>
      </w:r>
    </w:p>
    <w:p>
      <w:pPr>
        <w:spacing w:line="420" w:lineRule="exact"/>
        <w:ind w:firstLine="420" w:firstLineChars="200"/>
        <w:jc w:val="left"/>
        <w:rPr>
          <w:rFonts w:ascii="宋体" w:hAnsi="宋体" w:cs="宋体"/>
          <w:szCs w:val="21"/>
        </w:rPr>
      </w:pPr>
      <w:r>
        <w:rPr>
          <w:rFonts w:hint="eastAsia" w:ascii="宋体" w:hAnsi="宋体" w:cs="宋体"/>
          <w:szCs w:val="21"/>
        </w:rPr>
        <w:t>（4）法律、法规规定的其他情形。</w:t>
      </w:r>
    </w:p>
    <w:p>
      <w:pPr>
        <w:pStyle w:val="6"/>
        <w:spacing w:line="420" w:lineRule="exact"/>
        <w:ind w:firstLine="422" w:firstLineChars="200"/>
        <w:rPr>
          <w:rFonts w:ascii="宋体" w:hAnsi="宋体" w:eastAsia="宋体" w:cs="宋体"/>
        </w:rPr>
      </w:pPr>
      <w:bookmarkStart w:id="609" w:name="_Toc60061480"/>
      <w:bookmarkStart w:id="610" w:name="_Toc95223383"/>
      <w:bookmarkStart w:id="611" w:name="_Toc152042349"/>
      <w:bookmarkStart w:id="612" w:name="_Toc144974541"/>
      <w:bookmarkStart w:id="613" w:name="_Toc152045573"/>
      <w:bookmarkStart w:id="614" w:name="_Toc179632591"/>
      <w:bookmarkStart w:id="615" w:name="_Toc83301734"/>
      <w:r>
        <w:rPr>
          <w:rFonts w:hint="eastAsia" w:ascii="宋体" w:hAnsi="宋体" w:eastAsia="宋体" w:cs="宋体"/>
        </w:rPr>
        <w:t>8.2 不再招标</w:t>
      </w:r>
      <w:bookmarkEnd w:id="609"/>
      <w:bookmarkEnd w:id="610"/>
      <w:bookmarkEnd w:id="611"/>
      <w:bookmarkEnd w:id="612"/>
      <w:bookmarkEnd w:id="613"/>
      <w:bookmarkEnd w:id="614"/>
      <w:bookmarkEnd w:id="615"/>
    </w:p>
    <w:p>
      <w:pPr>
        <w:spacing w:line="420" w:lineRule="exact"/>
        <w:ind w:firstLine="420" w:firstLineChars="200"/>
        <w:jc w:val="left"/>
        <w:rPr>
          <w:rFonts w:ascii="宋体" w:hAnsi="宋体" w:cs="宋体"/>
          <w:szCs w:val="21"/>
        </w:rPr>
      </w:pPr>
      <w:r>
        <w:rPr>
          <w:rFonts w:hint="eastAsia" w:ascii="宋体" w:hAnsi="宋体" w:cs="宋体"/>
          <w:szCs w:val="21"/>
        </w:rPr>
        <w:t>重新招标后投标人仍少于3个或者所有投标被否决的，属于必须审批或核准的工程建设项目，经原审批或核准部门批准后不再进行招标。</w:t>
      </w:r>
    </w:p>
    <w:p>
      <w:pPr>
        <w:pStyle w:val="6"/>
        <w:spacing w:before="156" w:beforeLines="50" w:after="156" w:afterLines="50" w:line="420" w:lineRule="exact"/>
        <w:ind w:firstLine="422" w:firstLineChars="200"/>
        <w:rPr>
          <w:rFonts w:ascii="宋体" w:hAnsi="宋体" w:eastAsia="宋体" w:cs="宋体"/>
        </w:rPr>
      </w:pPr>
      <w:r>
        <w:rPr>
          <w:rFonts w:hint="eastAsia" w:ascii="宋体" w:hAnsi="宋体" w:eastAsia="宋体" w:cs="宋体"/>
        </w:rPr>
        <w:t>9. 纪律和监督</w:t>
      </w:r>
      <w:bookmarkEnd w:id="590"/>
      <w:bookmarkEnd w:id="591"/>
      <w:bookmarkEnd w:id="592"/>
      <w:bookmarkEnd w:id="593"/>
      <w:bookmarkEnd w:id="594"/>
      <w:bookmarkEnd w:id="595"/>
    </w:p>
    <w:p>
      <w:pPr>
        <w:pStyle w:val="6"/>
        <w:spacing w:line="420" w:lineRule="exact"/>
        <w:ind w:firstLine="422" w:firstLineChars="200"/>
        <w:rPr>
          <w:rFonts w:ascii="宋体" w:hAnsi="宋体" w:eastAsia="宋体" w:cs="宋体"/>
        </w:rPr>
      </w:pPr>
      <w:bookmarkStart w:id="616" w:name="_Toc15058895"/>
      <w:bookmarkStart w:id="617" w:name="_Toc2855"/>
      <w:bookmarkStart w:id="618" w:name="_Toc247085733"/>
      <w:bookmarkStart w:id="619" w:name="_Toc179632593"/>
      <w:bookmarkStart w:id="620" w:name="_Toc15607"/>
      <w:bookmarkStart w:id="621" w:name="_Toc144974543"/>
      <w:bookmarkStart w:id="622" w:name="_Toc506107310"/>
      <w:bookmarkStart w:id="623" w:name="_Toc296602462"/>
      <w:bookmarkStart w:id="624" w:name="_Toc324404857"/>
      <w:bookmarkStart w:id="625" w:name="_Toc152045575"/>
      <w:bookmarkStart w:id="626" w:name="_Toc152042351"/>
      <w:bookmarkStart w:id="627" w:name="_Toc35424932"/>
      <w:bookmarkStart w:id="628" w:name="_Toc78803368"/>
      <w:bookmarkStart w:id="629" w:name="_Toc35425098"/>
      <w:bookmarkStart w:id="630" w:name="_Toc296590983"/>
      <w:bookmarkStart w:id="631" w:name="_Toc246996962"/>
      <w:bookmarkStart w:id="632" w:name="_Toc246996219"/>
      <w:r>
        <w:rPr>
          <w:rFonts w:hint="eastAsia" w:ascii="宋体" w:hAnsi="宋体" w:eastAsia="宋体" w:cs="宋体"/>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spacing w:line="420" w:lineRule="exact"/>
        <w:ind w:firstLine="420" w:firstLineChars="200"/>
        <w:jc w:val="left"/>
        <w:rPr>
          <w:rFonts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pPr>
        <w:pStyle w:val="6"/>
        <w:spacing w:line="420" w:lineRule="exact"/>
        <w:ind w:firstLine="422" w:firstLineChars="200"/>
        <w:rPr>
          <w:rFonts w:ascii="宋体" w:hAnsi="宋体" w:eastAsia="宋体" w:cs="宋体"/>
        </w:rPr>
      </w:pPr>
      <w:bookmarkStart w:id="633" w:name="_Toc19779"/>
      <w:bookmarkStart w:id="634" w:name="_Toc35425099"/>
      <w:bookmarkStart w:id="635" w:name="_Toc32177"/>
      <w:bookmarkStart w:id="636" w:name="_Toc296602463"/>
      <w:bookmarkStart w:id="637" w:name="_Toc246996963"/>
      <w:bookmarkStart w:id="638" w:name="_Toc152042352"/>
      <w:bookmarkStart w:id="639" w:name="_Toc247085734"/>
      <w:bookmarkStart w:id="640" w:name="_Toc15058896"/>
      <w:bookmarkStart w:id="641" w:name="_Toc179632594"/>
      <w:bookmarkStart w:id="642" w:name="_Toc324404858"/>
      <w:bookmarkStart w:id="643" w:name="_Toc35424933"/>
      <w:bookmarkStart w:id="644" w:name="_Toc78803369"/>
      <w:bookmarkStart w:id="645" w:name="_Toc144974544"/>
      <w:bookmarkStart w:id="646" w:name="_Toc506107311"/>
      <w:bookmarkStart w:id="647" w:name="_Toc152045576"/>
      <w:bookmarkStart w:id="648" w:name="_Toc246996220"/>
      <w:r>
        <w:rPr>
          <w:rFonts w:hint="eastAsia" w:ascii="宋体" w:hAnsi="宋体" w:eastAsia="宋体" w:cs="宋体"/>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spacing w:line="420" w:lineRule="exact"/>
        <w:ind w:firstLine="420" w:firstLineChars="200"/>
        <w:jc w:val="left"/>
        <w:rPr>
          <w:rFonts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line="420" w:lineRule="exact"/>
        <w:ind w:firstLine="422" w:firstLineChars="200"/>
        <w:rPr>
          <w:rFonts w:ascii="宋体" w:hAnsi="宋体" w:eastAsia="宋体" w:cs="宋体"/>
        </w:rPr>
      </w:pPr>
      <w:bookmarkStart w:id="649" w:name="_Toc35424934"/>
      <w:bookmarkStart w:id="650" w:name="_Toc247085735"/>
      <w:bookmarkStart w:id="651" w:name="_Toc13043"/>
      <w:bookmarkStart w:id="652" w:name="_Toc35425100"/>
      <w:bookmarkStart w:id="653" w:name="_Toc246996221"/>
      <w:bookmarkStart w:id="654" w:name="_Toc78803370"/>
      <w:bookmarkStart w:id="655" w:name="_Toc152045577"/>
      <w:bookmarkStart w:id="656" w:name="_Toc152042353"/>
      <w:bookmarkStart w:id="657" w:name="_Toc246996964"/>
      <w:bookmarkStart w:id="658" w:name="_Toc506107312"/>
      <w:bookmarkStart w:id="659" w:name="_Toc15058897"/>
      <w:bookmarkStart w:id="660" w:name="_Toc324404859"/>
      <w:bookmarkStart w:id="661" w:name="_Toc296602464"/>
      <w:bookmarkStart w:id="662" w:name="_Toc144974545"/>
      <w:bookmarkStart w:id="663" w:name="_Toc12564"/>
      <w:bookmarkStart w:id="664" w:name="_Toc179632595"/>
      <w:r>
        <w:rPr>
          <w:rFonts w:hint="eastAsia" w:ascii="宋体" w:hAnsi="宋体" w:eastAsia="宋体" w:cs="宋体"/>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spacing w:line="420" w:lineRule="exact"/>
        <w:ind w:firstLine="420" w:firstLineChars="200"/>
        <w:jc w:val="left"/>
        <w:rPr>
          <w:rFonts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spacing w:line="420" w:lineRule="exact"/>
        <w:ind w:firstLine="422" w:firstLineChars="200"/>
        <w:rPr>
          <w:rFonts w:ascii="宋体" w:hAnsi="宋体" w:eastAsia="宋体" w:cs="宋体"/>
        </w:rPr>
      </w:pPr>
      <w:bookmarkStart w:id="665" w:name="_Toc18329"/>
      <w:bookmarkStart w:id="666" w:name="_Toc246996222"/>
      <w:bookmarkStart w:id="667" w:name="_Toc179632596"/>
      <w:bookmarkStart w:id="668" w:name="_Toc32214"/>
      <w:bookmarkStart w:id="669" w:name="_Toc152042354"/>
      <w:bookmarkStart w:id="670" w:name="_Toc246996965"/>
      <w:bookmarkStart w:id="671" w:name="_Toc35425101"/>
      <w:bookmarkStart w:id="672" w:name="_Toc506107313"/>
      <w:bookmarkStart w:id="673" w:name="_Toc35424935"/>
      <w:bookmarkStart w:id="674" w:name="_Toc15058898"/>
      <w:bookmarkStart w:id="675" w:name="_Toc296602465"/>
      <w:bookmarkStart w:id="676" w:name="_Toc78803371"/>
      <w:bookmarkStart w:id="677" w:name="_Toc247085736"/>
      <w:bookmarkStart w:id="678" w:name="_Toc324404860"/>
      <w:bookmarkStart w:id="679" w:name="_Toc152045578"/>
      <w:bookmarkStart w:id="680" w:name="_Toc144974546"/>
      <w:r>
        <w:rPr>
          <w:rFonts w:hint="eastAsia" w:ascii="宋体" w:hAnsi="宋体" w:eastAsia="宋体" w:cs="宋体"/>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spacing w:line="420" w:lineRule="exact"/>
        <w:ind w:firstLine="420" w:firstLineChars="200"/>
        <w:jc w:val="left"/>
        <w:rPr>
          <w:rFonts w:ascii="宋体" w:hAnsi="宋体" w:cs="宋体"/>
          <w:szCs w:val="21"/>
        </w:rPr>
      </w:pPr>
      <w:bookmarkStart w:id="681" w:name="_Toc152042355"/>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pPr>
        <w:pStyle w:val="6"/>
        <w:spacing w:line="420" w:lineRule="exact"/>
        <w:ind w:firstLine="422" w:firstLineChars="200"/>
        <w:rPr>
          <w:rFonts w:ascii="宋体" w:hAnsi="宋体" w:eastAsia="宋体" w:cs="宋体"/>
        </w:rPr>
      </w:pPr>
      <w:bookmarkStart w:id="682" w:name="_Toc246996966"/>
      <w:bookmarkStart w:id="683" w:name="_Toc15058899"/>
      <w:bookmarkStart w:id="684" w:name="_Toc324404861"/>
      <w:bookmarkStart w:id="685" w:name="_Toc247085737"/>
      <w:bookmarkStart w:id="686" w:name="_Toc246996223"/>
      <w:bookmarkStart w:id="687" w:name="_Toc2811"/>
      <w:bookmarkStart w:id="688" w:name="_Toc78803372"/>
      <w:bookmarkStart w:id="689" w:name="_Toc296602466"/>
      <w:bookmarkStart w:id="690" w:name="_Toc35424936"/>
      <w:bookmarkStart w:id="691" w:name="_Toc152042356"/>
      <w:bookmarkStart w:id="692" w:name="_Toc35425102"/>
      <w:bookmarkStart w:id="693" w:name="_Toc179632597"/>
      <w:bookmarkStart w:id="694" w:name="_Toc506107314"/>
      <w:bookmarkStart w:id="695" w:name="_Toc23607"/>
      <w:bookmarkStart w:id="696" w:name="_Toc152045579"/>
      <w:r>
        <w:rPr>
          <w:rFonts w:hint="eastAsia" w:ascii="宋体" w:hAnsi="宋体" w:eastAsia="宋体" w:cs="宋体"/>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spacing w:line="420" w:lineRule="exact"/>
        <w:ind w:firstLine="420" w:firstLineChars="200"/>
        <w:jc w:val="left"/>
        <w:rPr>
          <w:rFonts w:ascii="宋体" w:hAnsi="宋体" w:cs="宋体"/>
          <w:szCs w:val="21"/>
        </w:rPr>
      </w:pPr>
      <w:bookmarkStart w:id="697" w:name="_Toc78803373"/>
      <w:bookmarkStart w:id="698" w:name="_Toc324404862"/>
      <w:bookmarkStart w:id="699" w:name="_Toc152045580"/>
      <w:bookmarkStart w:id="700" w:name="_Toc152042357"/>
      <w:bookmarkStart w:id="701" w:name="_Toc246996967"/>
      <w:bookmarkStart w:id="702" w:name="_Toc506107315"/>
      <w:bookmarkStart w:id="703" w:name="_Toc179632598"/>
      <w:bookmarkStart w:id="704" w:name="_Toc20669"/>
      <w:bookmarkStart w:id="705" w:name="_Toc144974547"/>
      <w:bookmarkStart w:id="706" w:name="_Toc247085738"/>
      <w:bookmarkStart w:id="707" w:name="_Toc35425103"/>
      <w:bookmarkStart w:id="708" w:name="_Toc16463"/>
      <w:bookmarkStart w:id="709" w:name="_Toc246996224"/>
      <w:bookmarkStart w:id="710" w:name="_Toc31643"/>
      <w:bookmarkStart w:id="711" w:name="_Toc15058900"/>
      <w:bookmarkStart w:id="712" w:name="_Toc35424937"/>
      <w:r>
        <w:rPr>
          <w:rFonts w:hint="eastAsia" w:ascii="宋体" w:hAnsi="宋体" w:cs="宋体"/>
          <w:szCs w:val="21"/>
        </w:rPr>
        <w:t>9.5.1投标人或者其他利害关系人认为招标投标活动违反法律、法规和规章规定的，有权向相关行政监督部门投诉。投诉应当有明确的请求和必要的证明材料。</w:t>
      </w:r>
    </w:p>
    <w:p>
      <w:pPr>
        <w:spacing w:line="420" w:lineRule="exact"/>
        <w:ind w:firstLine="420" w:firstLineChars="200"/>
        <w:jc w:val="left"/>
        <w:rPr>
          <w:rFonts w:ascii="宋体" w:hAnsi="宋体" w:cs="宋体"/>
          <w:szCs w:val="21"/>
        </w:rPr>
      </w:pPr>
      <w:r>
        <w:rPr>
          <w:rFonts w:hint="eastAsia" w:ascii="宋体" w:hAnsi="宋体" w:cs="宋体"/>
          <w:szCs w:val="21"/>
        </w:rPr>
        <w:t>9.5.2投标人和其他利害关系人对招标文件、开标和评标结果事项投诉的，应当按照投标人须知的规定先向招标人提出异议。异议答复期间不计算在第9.5.1项规定的期限内。</w:t>
      </w:r>
    </w:p>
    <w:p>
      <w:pPr>
        <w:pStyle w:val="6"/>
        <w:spacing w:before="156" w:beforeLines="50" w:after="156" w:afterLines="50" w:line="420" w:lineRule="exact"/>
        <w:ind w:firstLine="422" w:firstLineChars="200"/>
        <w:rPr>
          <w:rFonts w:ascii="宋体" w:hAnsi="宋体" w:eastAsia="宋体" w:cs="宋体"/>
        </w:rPr>
      </w:pPr>
      <w:r>
        <w:rPr>
          <w:rFonts w:hint="eastAsia" w:ascii="宋体" w:hAnsi="宋体" w:eastAsia="宋体" w:cs="宋体"/>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spacing w:line="420" w:lineRule="exact"/>
        <w:ind w:firstLine="420" w:firstLineChars="200"/>
        <w:jc w:val="left"/>
        <w:rPr>
          <w:rFonts w:ascii="宋体" w:hAnsi="宋体" w:cs="宋体"/>
          <w:szCs w:val="21"/>
        </w:rPr>
      </w:pPr>
      <w:bookmarkStart w:id="713" w:name="_Toc15058901"/>
      <w:r>
        <w:rPr>
          <w:rFonts w:hint="eastAsia" w:ascii="宋体" w:hAnsi="宋体" w:cs="宋体"/>
          <w:szCs w:val="21"/>
        </w:rPr>
        <w:t>需要补充的其他内容：见投标人须知前附表。</w:t>
      </w:r>
      <w:bookmarkEnd w:id="713"/>
    </w:p>
    <w:p>
      <w:pPr>
        <w:spacing w:line="440" w:lineRule="exact"/>
        <w:jc w:val="left"/>
        <w:rPr>
          <w:rFonts w:ascii="宋体" w:hAnsi="宋体" w:cs="宋体"/>
          <w:szCs w:val="21"/>
        </w:rPr>
      </w:pPr>
    </w:p>
    <w:p>
      <w:pPr>
        <w:pageBreakBefore/>
        <w:spacing w:before="249" w:beforeLines="80" w:after="249" w:afterLines="80" w:line="440" w:lineRule="exact"/>
        <w:jc w:val="center"/>
        <w:outlineLvl w:val="1"/>
        <w:rPr>
          <w:rFonts w:ascii="宋体"/>
          <w:b/>
          <w:sz w:val="32"/>
          <w:szCs w:val="32"/>
        </w:rPr>
      </w:pPr>
      <w:bookmarkStart w:id="714" w:name="_Toc78803375"/>
      <w:r>
        <w:rPr>
          <w:rFonts w:hint="eastAsia" w:ascii="宋体"/>
          <w:b/>
          <w:sz w:val="32"/>
          <w:szCs w:val="32"/>
        </w:rPr>
        <w:t>第二章  资格审查</w:t>
      </w:r>
      <w:bookmarkEnd w:id="596"/>
      <w:r>
        <w:rPr>
          <w:rFonts w:hint="eastAsia" w:ascii="宋体"/>
          <w:b/>
          <w:sz w:val="32"/>
          <w:szCs w:val="32"/>
        </w:rPr>
        <w:t>办法</w:t>
      </w:r>
      <w:bookmarkEnd w:id="597"/>
      <w:bookmarkEnd w:id="598"/>
      <w:bookmarkEnd w:id="599"/>
      <w:bookmarkEnd w:id="600"/>
      <w:bookmarkEnd w:id="714"/>
    </w:p>
    <w:p>
      <w:pPr>
        <w:spacing w:before="156" w:beforeLines="50" w:after="156" w:afterLines="50" w:line="440" w:lineRule="exact"/>
        <w:jc w:val="center"/>
        <w:rPr>
          <w:rFonts w:ascii="宋体" w:hAnsi="宋体" w:cs="宋体"/>
          <w:b/>
          <w:bCs/>
          <w:sz w:val="28"/>
          <w:szCs w:val="22"/>
        </w:rPr>
      </w:pPr>
      <w:bookmarkStart w:id="715" w:name="_Toc324404865"/>
      <w:bookmarkStart w:id="716" w:name="_Toc506107318"/>
      <w:bookmarkStart w:id="717" w:name="_Toc35424940"/>
      <w:bookmarkStart w:id="718" w:name="_Toc15058903"/>
      <w:bookmarkStart w:id="719" w:name="_Toc35425106"/>
      <w:r>
        <w:rPr>
          <w:rFonts w:hint="eastAsia" w:ascii="宋体" w:hAnsi="宋体" w:cs="宋体"/>
          <w:b/>
          <w:bCs/>
          <w:sz w:val="28"/>
          <w:szCs w:val="22"/>
        </w:rPr>
        <w:t>资格审查办法前附表</w:t>
      </w:r>
      <w:bookmarkEnd w:id="715"/>
      <w:bookmarkEnd w:id="716"/>
      <w:bookmarkEnd w:id="717"/>
      <w:bookmarkEnd w:id="718"/>
      <w:bookmarkEnd w:id="719"/>
    </w:p>
    <w:p>
      <w:pPr>
        <w:spacing w:before="156" w:beforeLines="50" w:after="156" w:afterLines="50" w:line="440" w:lineRule="exact"/>
        <w:jc w:val="center"/>
        <w:rPr>
          <w:b/>
          <w:bCs/>
          <w:sz w:val="24"/>
        </w:rPr>
      </w:pPr>
      <w:r>
        <w:rPr>
          <w:rFonts w:hint="eastAsia"/>
          <w:b/>
          <w:bCs/>
          <w:sz w:val="24"/>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pPr>
              <w:spacing w:line="440" w:lineRule="exact"/>
              <w:jc w:val="center"/>
              <w:rPr>
                <w:rFonts w:ascii="宋体" w:hAnsi="宋体" w:cs="宋体"/>
                <w:b/>
                <w:bCs/>
                <w:szCs w:val="21"/>
              </w:rPr>
            </w:pPr>
            <w:r>
              <w:rPr>
                <w:rFonts w:hint="eastAsia" w:ascii="宋体" w:hAnsi="宋体" w:cs="宋体"/>
                <w:b/>
                <w:bCs/>
                <w:szCs w:val="21"/>
              </w:rPr>
              <w:t>序号</w:t>
            </w:r>
          </w:p>
        </w:tc>
        <w:tc>
          <w:tcPr>
            <w:tcW w:w="6183" w:type="dxa"/>
            <w:noWrap/>
            <w:vAlign w:val="center"/>
          </w:tcPr>
          <w:p>
            <w:pPr>
              <w:spacing w:line="440" w:lineRule="exact"/>
              <w:jc w:val="center"/>
              <w:rPr>
                <w:rFonts w:ascii="宋体" w:hAnsi="宋体" w:cs="宋体"/>
                <w:b/>
                <w:bCs/>
                <w:szCs w:val="21"/>
              </w:rPr>
            </w:pPr>
            <w:r>
              <w:rPr>
                <w:rFonts w:hint="eastAsia" w:ascii="宋体" w:hAnsi="宋体" w:cs="宋体"/>
                <w:b/>
                <w:bCs/>
                <w:szCs w:val="21"/>
              </w:rPr>
              <w:t>审查内容</w:t>
            </w:r>
          </w:p>
        </w:tc>
        <w:tc>
          <w:tcPr>
            <w:tcW w:w="1860" w:type="dxa"/>
            <w:noWrap/>
            <w:vAlign w:val="center"/>
          </w:tcPr>
          <w:p>
            <w:pPr>
              <w:spacing w:line="44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pPr>
              <w:spacing w:line="440" w:lineRule="exact"/>
              <w:jc w:val="center"/>
              <w:rPr>
                <w:rFonts w:ascii="宋体" w:hAnsi="宋体" w:cs="宋体"/>
                <w:szCs w:val="21"/>
              </w:rPr>
            </w:pPr>
            <w:r>
              <w:rPr>
                <w:rFonts w:hint="eastAsia" w:ascii="宋体" w:hAnsi="宋体" w:cs="宋体"/>
                <w:szCs w:val="21"/>
              </w:rPr>
              <w:t>1</w:t>
            </w:r>
          </w:p>
        </w:tc>
        <w:tc>
          <w:tcPr>
            <w:tcW w:w="1258" w:type="dxa"/>
            <w:vMerge w:val="restart"/>
            <w:noWrap/>
            <w:vAlign w:val="center"/>
          </w:tcPr>
          <w:p>
            <w:pPr>
              <w:spacing w:line="440" w:lineRule="exact"/>
              <w:jc w:val="center"/>
              <w:rPr>
                <w:rFonts w:ascii="宋体" w:hAnsi="宋体" w:cs="宋体"/>
                <w:b/>
                <w:bCs/>
                <w:szCs w:val="21"/>
              </w:rPr>
            </w:pPr>
            <w:r>
              <w:rPr>
                <w:rFonts w:hint="eastAsia" w:ascii="宋体" w:hAnsi="宋体" w:cs="宋体"/>
                <w:b/>
                <w:bCs/>
                <w:szCs w:val="21"/>
              </w:rPr>
              <w:t>审查资料</w:t>
            </w:r>
          </w:p>
        </w:tc>
        <w:tc>
          <w:tcPr>
            <w:tcW w:w="6183" w:type="dxa"/>
            <w:noWrap/>
            <w:vAlign w:val="center"/>
          </w:tcPr>
          <w:p>
            <w:pPr>
              <w:spacing w:line="440" w:lineRule="exact"/>
              <w:rPr>
                <w:rFonts w:ascii="宋体" w:hAnsi="宋体" w:cs="宋体"/>
                <w:szCs w:val="21"/>
              </w:rPr>
            </w:pPr>
            <w:r>
              <w:rPr>
                <w:rFonts w:hint="eastAsia" w:ascii="宋体" w:hAnsi="宋体" w:cs="宋体"/>
                <w:szCs w:val="21"/>
              </w:rPr>
              <w:t>法定代表人身份证明文件和本人有效身份证(或法定代表人授权委托书和委托代理人有效身份证)</w:t>
            </w:r>
          </w:p>
        </w:tc>
        <w:tc>
          <w:tcPr>
            <w:tcW w:w="1860" w:type="dxa"/>
            <w:noWrap/>
            <w:vAlign w:val="center"/>
          </w:tcPr>
          <w:p>
            <w:pPr>
              <w:spacing w:line="440" w:lineRule="exact"/>
              <w:jc w:val="center"/>
              <w:rPr>
                <w:rFonts w:ascii="宋体" w:hAnsi="宋体" w:cs="宋体"/>
                <w:b/>
                <w:szCs w:val="21"/>
              </w:rPr>
            </w:pPr>
            <w:r>
              <w:rPr>
                <w:rFonts w:hint="eastAsia" w:ascii="宋体" w:hAnsi="宋体" w:cs="宋体"/>
                <w:b/>
                <w:szCs w:val="21"/>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szCs w:val="21"/>
              </w:rPr>
            </w:pPr>
          </w:p>
        </w:tc>
        <w:tc>
          <w:tcPr>
            <w:tcW w:w="1258" w:type="dxa"/>
            <w:vMerge w:val="continue"/>
            <w:noWrap/>
            <w:vAlign w:val="center"/>
          </w:tcPr>
          <w:p>
            <w:pPr>
              <w:spacing w:line="440" w:lineRule="exact"/>
              <w:jc w:val="center"/>
              <w:rPr>
                <w:rFonts w:ascii="宋体" w:hAnsi="宋体" w:cs="宋体"/>
                <w:b/>
                <w:bCs/>
                <w:szCs w:val="21"/>
              </w:rPr>
            </w:pPr>
          </w:p>
        </w:tc>
        <w:tc>
          <w:tcPr>
            <w:tcW w:w="6183" w:type="dxa"/>
            <w:noWrap/>
            <w:vAlign w:val="center"/>
          </w:tcPr>
          <w:p>
            <w:pPr>
              <w:spacing w:line="440" w:lineRule="exact"/>
              <w:rPr>
                <w:rFonts w:ascii="宋体" w:hAnsi="宋体" w:cs="宋体"/>
                <w:szCs w:val="21"/>
              </w:rPr>
            </w:pPr>
            <w:r>
              <w:rPr>
                <w:rFonts w:hint="eastAsia" w:ascii="宋体" w:hAnsi="宋体" w:cs="宋体"/>
                <w:szCs w:val="21"/>
              </w:rPr>
              <w:t>诚信投标承诺书</w:t>
            </w:r>
          </w:p>
        </w:tc>
        <w:tc>
          <w:tcPr>
            <w:tcW w:w="1860" w:type="dxa"/>
            <w:vMerge w:val="restart"/>
            <w:noWrap/>
            <w:vAlign w:val="center"/>
          </w:tcPr>
          <w:p>
            <w:pPr>
              <w:spacing w:line="440" w:lineRule="exact"/>
              <w:jc w:val="center"/>
              <w:rPr>
                <w:rFonts w:ascii="宋体" w:hAnsi="宋体" w:cs="宋体"/>
                <w:b/>
                <w:szCs w:val="21"/>
              </w:rPr>
            </w:pPr>
            <w:r>
              <w:rPr>
                <w:rFonts w:hint="eastAsia" w:ascii="宋体" w:hAnsi="宋体" w:cs="宋体"/>
                <w:b/>
                <w:szCs w:val="21"/>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szCs w:val="21"/>
              </w:rPr>
            </w:pPr>
          </w:p>
        </w:tc>
        <w:tc>
          <w:tcPr>
            <w:tcW w:w="1258" w:type="dxa"/>
            <w:vMerge w:val="continue"/>
            <w:noWrap/>
            <w:vAlign w:val="center"/>
          </w:tcPr>
          <w:p>
            <w:pPr>
              <w:spacing w:line="440" w:lineRule="exact"/>
              <w:jc w:val="center"/>
              <w:rPr>
                <w:rFonts w:ascii="宋体" w:hAnsi="宋体" w:cs="宋体"/>
                <w:b/>
                <w:bCs/>
                <w:szCs w:val="21"/>
              </w:rPr>
            </w:pPr>
          </w:p>
        </w:tc>
        <w:tc>
          <w:tcPr>
            <w:tcW w:w="6183" w:type="dxa"/>
            <w:noWrap/>
            <w:vAlign w:val="center"/>
          </w:tcPr>
          <w:p>
            <w:pPr>
              <w:spacing w:line="440" w:lineRule="exact"/>
              <w:rPr>
                <w:rFonts w:ascii="宋体" w:hAnsi="宋体" w:cs="宋体"/>
                <w:szCs w:val="21"/>
              </w:rPr>
            </w:pPr>
            <w:r>
              <w:rPr>
                <w:rFonts w:hint="eastAsia" w:ascii="宋体" w:hAnsi="宋体" w:cs="宋体"/>
                <w:szCs w:val="21"/>
              </w:rPr>
              <w:t>企业法人营业执照</w:t>
            </w:r>
          </w:p>
        </w:tc>
        <w:tc>
          <w:tcPr>
            <w:tcW w:w="1860" w:type="dxa"/>
            <w:vMerge w:val="continue"/>
            <w:noWrap/>
            <w:vAlign w:val="center"/>
          </w:tcPr>
          <w:p>
            <w:pPr>
              <w:spacing w:line="440" w:lineRule="exac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szCs w:val="21"/>
              </w:rPr>
            </w:pPr>
          </w:p>
        </w:tc>
        <w:tc>
          <w:tcPr>
            <w:tcW w:w="1258" w:type="dxa"/>
            <w:vMerge w:val="continue"/>
            <w:noWrap/>
            <w:vAlign w:val="center"/>
          </w:tcPr>
          <w:p>
            <w:pPr>
              <w:spacing w:line="440" w:lineRule="exact"/>
              <w:jc w:val="center"/>
              <w:rPr>
                <w:rFonts w:ascii="宋体" w:hAnsi="宋体" w:cs="宋体"/>
                <w:b/>
                <w:bCs/>
                <w:szCs w:val="21"/>
              </w:rPr>
            </w:pPr>
          </w:p>
        </w:tc>
        <w:tc>
          <w:tcPr>
            <w:tcW w:w="6183" w:type="dxa"/>
            <w:noWrap/>
            <w:vAlign w:val="center"/>
          </w:tcPr>
          <w:p>
            <w:pPr>
              <w:spacing w:line="440" w:lineRule="exact"/>
              <w:rPr>
                <w:rFonts w:ascii="宋体" w:hAnsi="宋体" w:cs="宋体"/>
                <w:szCs w:val="21"/>
              </w:rPr>
            </w:pPr>
            <w:r>
              <w:rPr>
                <w:rFonts w:hint="eastAsia" w:ascii="宋体" w:hAnsi="宋体" w:cs="宋体"/>
                <w:szCs w:val="21"/>
              </w:rPr>
              <w:t>企业资质证书</w:t>
            </w:r>
          </w:p>
        </w:tc>
        <w:tc>
          <w:tcPr>
            <w:tcW w:w="1860" w:type="dxa"/>
            <w:vMerge w:val="continue"/>
            <w:noWrap/>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szCs w:val="21"/>
              </w:rPr>
            </w:pPr>
          </w:p>
        </w:tc>
        <w:tc>
          <w:tcPr>
            <w:tcW w:w="1258" w:type="dxa"/>
            <w:vMerge w:val="continue"/>
            <w:noWrap/>
            <w:vAlign w:val="center"/>
          </w:tcPr>
          <w:p>
            <w:pPr>
              <w:spacing w:line="440" w:lineRule="exact"/>
              <w:jc w:val="center"/>
              <w:rPr>
                <w:rFonts w:ascii="宋体" w:hAnsi="宋体" w:cs="宋体"/>
                <w:b/>
                <w:bCs/>
                <w:szCs w:val="21"/>
              </w:rPr>
            </w:pPr>
          </w:p>
        </w:tc>
        <w:tc>
          <w:tcPr>
            <w:tcW w:w="6183" w:type="dxa"/>
            <w:noWrap/>
          </w:tcPr>
          <w:p>
            <w:pPr>
              <w:adjustRightInd w:val="0"/>
              <w:snapToGrid w:val="0"/>
              <w:spacing w:line="400" w:lineRule="exact"/>
              <w:rPr>
                <w:rFonts w:ascii="宋体" w:hAnsi="宋体" w:cs="宋体"/>
                <w:szCs w:val="21"/>
              </w:rPr>
            </w:pPr>
            <w:r>
              <w:rPr>
                <w:rFonts w:hint="eastAsia" w:ascii="宋体" w:hAnsi="宋体" w:cs="宋体"/>
                <w:szCs w:val="21"/>
              </w:rPr>
              <w:t>项目经理的有效身份证、爆破作业人员许可证（作业类别：爆破工程技术人员高级/B或以上证书）</w:t>
            </w:r>
          </w:p>
        </w:tc>
        <w:tc>
          <w:tcPr>
            <w:tcW w:w="1860" w:type="dxa"/>
            <w:vMerge w:val="continue"/>
            <w:noWrap/>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pPr>
              <w:spacing w:line="440" w:lineRule="exact"/>
              <w:jc w:val="center"/>
              <w:rPr>
                <w:rFonts w:ascii="宋体" w:hAnsi="宋体" w:cs="宋体"/>
                <w:szCs w:val="21"/>
              </w:rPr>
            </w:pPr>
          </w:p>
        </w:tc>
        <w:tc>
          <w:tcPr>
            <w:tcW w:w="1258" w:type="dxa"/>
            <w:vMerge w:val="continue"/>
            <w:noWrap/>
            <w:vAlign w:val="center"/>
          </w:tcPr>
          <w:p>
            <w:pPr>
              <w:spacing w:line="440" w:lineRule="exact"/>
              <w:jc w:val="center"/>
              <w:rPr>
                <w:rFonts w:ascii="宋体" w:hAnsi="宋体" w:cs="宋体"/>
                <w:b/>
                <w:bCs/>
                <w:szCs w:val="21"/>
              </w:rPr>
            </w:pPr>
          </w:p>
        </w:tc>
        <w:tc>
          <w:tcPr>
            <w:tcW w:w="6183" w:type="dxa"/>
            <w:noWrap/>
          </w:tcPr>
          <w:p>
            <w:pPr>
              <w:spacing w:line="440" w:lineRule="exact"/>
              <w:rPr>
                <w:rFonts w:ascii="宋体" w:hAnsi="宋体" w:cs="宋体"/>
              </w:rPr>
            </w:pPr>
            <w:r>
              <w:rPr>
                <w:rFonts w:hint="eastAsia" w:ascii="宋体" w:hAnsi="宋体" w:cs="宋体"/>
                <w:szCs w:val="21"/>
              </w:rPr>
              <w:t>投标人的法定代表人(或委托代理人)和拟任项目经理</w:t>
            </w:r>
            <w:r>
              <w:rPr>
                <w:rFonts w:hint="eastAsia" w:ascii="宋体" w:hAnsi="宋体" w:cs="宋体"/>
                <w:szCs w:val="21"/>
                <w:highlight w:val="none"/>
              </w:rPr>
              <w:t>须</w:t>
            </w:r>
            <w:r>
              <w:rPr>
                <w:rFonts w:hint="eastAsia" w:ascii="宋体" w:hAnsi="宋体" w:cs="宋体"/>
                <w:szCs w:val="21"/>
              </w:rPr>
              <w:t>持有社保部门出具的本单位为其缴纳</w:t>
            </w:r>
            <w:r>
              <w:rPr>
                <w:rFonts w:hint="eastAsia" w:ascii="宋体" w:hAnsi="宋体" w:cs="宋体"/>
                <w:szCs w:val="21"/>
                <w:highlight w:val="none"/>
              </w:rPr>
              <w:t>的投标前近</w:t>
            </w:r>
            <w:r>
              <w:rPr>
                <w:rFonts w:hint="eastAsia" w:ascii="宋体" w:hAnsi="宋体" w:cs="宋体"/>
                <w:szCs w:val="21"/>
                <w:highlight w:val="none"/>
                <w:lang w:val="en-US" w:eastAsia="zh-CN"/>
              </w:rPr>
              <w:t>6</w:t>
            </w:r>
            <w:r>
              <w:rPr>
                <w:rFonts w:hint="eastAsia" w:ascii="宋体" w:hAnsi="宋体" w:cs="宋体"/>
                <w:szCs w:val="21"/>
                <w:highlight w:val="none"/>
              </w:rPr>
              <w:t>个月</w:t>
            </w:r>
            <w:r>
              <w:rPr>
                <w:rFonts w:hint="eastAsia" w:ascii="宋体" w:hAnsi="宋体" w:cs="宋体"/>
                <w:szCs w:val="21"/>
              </w:rPr>
              <w:t>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pPr>
              <w:spacing w:line="440" w:lineRule="exact"/>
              <w:rPr>
                <w:rFonts w:ascii="宋体" w:hAnsi="宋体" w:cs="宋体"/>
                <w:szCs w:val="21"/>
              </w:rPr>
            </w:pPr>
          </w:p>
        </w:tc>
      </w:tr>
    </w:tbl>
    <w:p>
      <w:pPr>
        <w:spacing w:line="440" w:lineRule="exact"/>
        <w:ind w:firstLine="422" w:firstLineChars="200"/>
        <w:jc w:val="left"/>
        <w:rPr>
          <w:rFonts w:ascii="宋体" w:hAnsi="宋体" w:cs="宋体"/>
          <w:b/>
          <w:bCs/>
          <w:szCs w:val="21"/>
        </w:rPr>
      </w:pPr>
      <w:r>
        <w:rPr>
          <w:rFonts w:hint="eastAsia" w:ascii="宋体" w:hAnsi="宋体" w:cs="宋体"/>
          <w:b/>
          <w:bCs/>
          <w:szCs w:val="21"/>
        </w:rPr>
        <w:t>重要提示：</w:t>
      </w:r>
    </w:p>
    <w:p>
      <w:pPr>
        <w:spacing w:line="440" w:lineRule="exact"/>
        <w:ind w:firstLine="422" w:firstLineChars="200"/>
        <w:jc w:val="left"/>
        <w:rPr>
          <w:rFonts w:ascii="宋体" w:hAnsi="宋体" w:cs="宋体"/>
          <w:b/>
          <w:bCs/>
          <w:szCs w:val="21"/>
        </w:rPr>
      </w:pPr>
      <w:r>
        <w:rPr>
          <w:rFonts w:hint="eastAsia" w:ascii="宋体" w:hAnsi="宋体" w:cs="宋体"/>
          <w:b/>
          <w:bCs/>
          <w:szCs w:val="21"/>
        </w:rPr>
        <w:t>（1）评标专家在检验电子投标文件过程中，如果由于投标人自身原因导致评标专家无法查看并检验电子投标文件中相关资料的，视为无效标处理。即使投标人将原件携带至现场的，同样按无效标处理。</w:t>
      </w:r>
    </w:p>
    <w:p>
      <w:pPr>
        <w:pStyle w:val="6"/>
        <w:spacing w:before="156" w:beforeLines="50" w:after="156" w:afterLines="50"/>
        <w:ind w:firstLine="422" w:firstLineChars="200"/>
        <w:rPr>
          <w:rFonts w:ascii="宋体" w:hAnsi="宋体" w:eastAsia="宋体" w:cs="宋体"/>
        </w:rPr>
      </w:pPr>
      <w:bookmarkStart w:id="720" w:name="_Toc35425108"/>
      <w:bookmarkStart w:id="721" w:name="_Toc15058909"/>
      <w:bookmarkStart w:id="722" w:name="_Toc12549"/>
      <w:bookmarkStart w:id="723" w:name="_Toc324404867"/>
      <w:bookmarkStart w:id="724" w:name="_Toc35424942"/>
      <w:bookmarkStart w:id="725" w:name="_Toc506107320"/>
      <w:bookmarkStart w:id="726" w:name="_Toc78803377"/>
      <w:r>
        <w:rPr>
          <w:rFonts w:hint="eastAsia" w:ascii="宋体" w:hAnsi="宋体" w:eastAsia="宋体" w:cs="宋体"/>
        </w:rPr>
        <w:t>2.审查办法</w:t>
      </w:r>
      <w:bookmarkEnd w:id="720"/>
      <w:bookmarkEnd w:id="721"/>
      <w:bookmarkEnd w:id="722"/>
      <w:bookmarkEnd w:id="723"/>
      <w:bookmarkEnd w:id="724"/>
      <w:bookmarkEnd w:id="725"/>
      <w:bookmarkEnd w:id="726"/>
    </w:p>
    <w:p>
      <w:pPr>
        <w:spacing w:line="440" w:lineRule="exact"/>
        <w:ind w:firstLine="420" w:firstLineChars="200"/>
        <w:jc w:val="left"/>
        <w:rPr>
          <w:rFonts w:ascii="宋体" w:hAnsi="宋体" w:cs="宋体"/>
          <w:szCs w:val="21"/>
        </w:rPr>
      </w:pPr>
      <w:r>
        <w:rPr>
          <w:rFonts w:hint="eastAsia" w:ascii="宋体" w:hAnsi="宋体" w:cs="宋体"/>
          <w:szCs w:val="21"/>
        </w:rPr>
        <w:t>由资格审查委员会（评标委员会）按资格审查办法前附表中资格审查必要合格条件评审表要求对投标人审查资料进行核验。</w:t>
      </w:r>
    </w:p>
    <w:p>
      <w:pPr>
        <w:pStyle w:val="6"/>
        <w:spacing w:before="156" w:beforeLines="50" w:after="156" w:afterLines="50"/>
        <w:ind w:firstLine="422" w:firstLineChars="200"/>
        <w:rPr>
          <w:rFonts w:ascii="宋体" w:hAnsi="宋体" w:eastAsia="宋体" w:cs="宋体"/>
        </w:rPr>
      </w:pPr>
      <w:bookmarkStart w:id="727" w:name="_Toc15058910"/>
      <w:bookmarkStart w:id="728" w:name="_Toc324404868"/>
      <w:bookmarkStart w:id="729" w:name="_Toc78803378"/>
      <w:bookmarkStart w:id="730" w:name="_Toc35425109"/>
      <w:bookmarkStart w:id="731" w:name="_Toc506107321"/>
      <w:bookmarkStart w:id="732" w:name="_Toc15626"/>
      <w:bookmarkStart w:id="733" w:name="_Toc35424943"/>
      <w:r>
        <w:rPr>
          <w:rFonts w:hint="eastAsia" w:ascii="宋体" w:hAnsi="宋体" w:eastAsia="宋体" w:cs="宋体"/>
        </w:rPr>
        <w:t>3.资格审查委员会和审查标准</w:t>
      </w:r>
      <w:bookmarkEnd w:id="727"/>
      <w:bookmarkEnd w:id="728"/>
      <w:bookmarkEnd w:id="729"/>
      <w:bookmarkEnd w:id="730"/>
      <w:bookmarkEnd w:id="731"/>
      <w:bookmarkEnd w:id="732"/>
      <w:bookmarkEnd w:id="733"/>
    </w:p>
    <w:p>
      <w:pPr>
        <w:spacing w:line="440" w:lineRule="exact"/>
        <w:ind w:firstLine="420" w:firstLineChars="200"/>
        <w:jc w:val="left"/>
        <w:rPr>
          <w:rFonts w:ascii="宋体" w:hAnsi="宋体" w:cs="宋体"/>
          <w:szCs w:val="21"/>
        </w:rPr>
      </w:pPr>
      <w:bookmarkStart w:id="734" w:name="_Toc15058911"/>
      <w:bookmarkStart w:id="735" w:name="_Toc35425110"/>
      <w:bookmarkStart w:id="736" w:name="_Toc10330"/>
      <w:bookmarkStart w:id="737" w:name="_Toc78803379"/>
      <w:bookmarkStart w:id="738" w:name="_Toc35424944"/>
      <w:bookmarkStart w:id="739" w:name="_Toc324404869"/>
      <w:bookmarkStart w:id="740" w:name="_Toc506107322"/>
      <w:r>
        <w:rPr>
          <w:rFonts w:hint="eastAsia" w:ascii="宋体" w:hAnsi="宋体" w:cs="宋体"/>
          <w:szCs w:val="21"/>
        </w:rPr>
        <w:t>3.1资格审查由招标人依法组建的资格审查委员会（或评标委员会）负责。审查标准见资格审查办法前附表。</w:t>
      </w:r>
    </w:p>
    <w:p>
      <w:pPr>
        <w:spacing w:line="440" w:lineRule="exact"/>
        <w:ind w:firstLine="420" w:firstLineChars="200"/>
        <w:jc w:val="left"/>
        <w:rPr>
          <w:rFonts w:ascii="宋体" w:hAnsi="宋体" w:cs="宋体"/>
          <w:szCs w:val="21"/>
        </w:rPr>
      </w:pPr>
      <w:r>
        <w:rPr>
          <w:rFonts w:hint="eastAsia" w:ascii="宋体" w:hAnsi="宋体" w:cs="宋体"/>
          <w:szCs w:val="21"/>
        </w:rPr>
        <w:t xml:space="preserve">3.2由资格审查委员会（评标委员会）按资格审查办法前附表要求对投标人的审查资料进行核验。投标申请人有下列情形之一的，其资格审查为不合格： </w:t>
      </w:r>
    </w:p>
    <w:p>
      <w:pPr>
        <w:spacing w:line="440" w:lineRule="exact"/>
        <w:ind w:firstLine="420" w:firstLineChars="200"/>
        <w:jc w:val="left"/>
        <w:rPr>
          <w:rFonts w:ascii="宋体" w:hAnsi="宋体" w:cs="宋体"/>
          <w:szCs w:val="21"/>
        </w:rPr>
      </w:pPr>
      <w:r>
        <w:rPr>
          <w:rFonts w:hint="eastAsia" w:ascii="宋体" w:hAnsi="宋体" w:cs="宋体"/>
          <w:szCs w:val="21"/>
        </w:rPr>
        <w:t>（1）未上传电子标书或电子标书经审查不合格；</w:t>
      </w:r>
    </w:p>
    <w:p>
      <w:pPr>
        <w:spacing w:line="440" w:lineRule="exact"/>
        <w:ind w:firstLine="420" w:firstLineChars="200"/>
        <w:jc w:val="left"/>
        <w:rPr>
          <w:rFonts w:ascii="宋体" w:hAnsi="宋体" w:cs="宋体"/>
          <w:szCs w:val="21"/>
        </w:rPr>
      </w:pPr>
      <w:r>
        <w:rPr>
          <w:rFonts w:hint="eastAsia" w:ascii="宋体" w:hAnsi="宋体" w:cs="宋体"/>
          <w:szCs w:val="21"/>
        </w:rPr>
        <w:t>（2）未按招标公告要求提交投标保证金的；</w:t>
      </w:r>
    </w:p>
    <w:p>
      <w:pPr>
        <w:spacing w:line="440" w:lineRule="exact"/>
        <w:ind w:firstLine="420" w:firstLineChars="200"/>
        <w:jc w:val="left"/>
        <w:rPr>
          <w:rFonts w:ascii="宋体" w:hAnsi="宋体" w:cs="宋体"/>
          <w:szCs w:val="21"/>
        </w:rPr>
      </w:pPr>
      <w:r>
        <w:rPr>
          <w:rFonts w:hint="eastAsia" w:ascii="宋体" w:hAnsi="宋体" w:cs="宋体"/>
          <w:szCs w:val="21"/>
        </w:rPr>
        <w:t>（3）法律、法规规定的其他情形。</w:t>
      </w:r>
    </w:p>
    <w:p>
      <w:pPr>
        <w:pStyle w:val="6"/>
        <w:spacing w:before="156" w:beforeLines="50" w:after="156" w:afterLines="50"/>
        <w:ind w:firstLine="422" w:firstLineChars="200"/>
        <w:rPr>
          <w:rFonts w:ascii="宋体" w:hAnsi="宋体" w:eastAsia="宋体" w:cs="宋体"/>
        </w:rPr>
      </w:pPr>
      <w:r>
        <w:rPr>
          <w:rFonts w:hint="eastAsia" w:ascii="宋体" w:hAnsi="宋体" w:eastAsia="宋体" w:cs="宋体"/>
        </w:rPr>
        <w:t>4.审查结果</w:t>
      </w:r>
      <w:bookmarkEnd w:id="734"/>
      <w:bookmarkEnd w:id="735"/>
      <w:bookmarkEnd w:id="736"/>
      <w:bookmarkEnd w:id="737"/>
      <w:bookmarkEnd w:id="738"/>
      <w:bookmarkEnd w:id="739"/>
      <w:bookmarkEnd w:id="740"/>
    </w:p>
    <w:p>
      <w:pPr>
        <w:spacing w:line="440" w:lineRule="exact"/>
        <w:ind w:firstLine="420" w:firstLineChars="200"/>
        <w:jc w:val="left"/>
        <w:rPr>
          <w:rFonts w:ascii="宋体" w:hAnsi="宋体" w:cs="宋体"/>
          <w:szCs w:val="21"/>
        </w:rPr>
      </w:pPr>
      <w:r>
        <w:rPr>
          <w:rFonts w:hint="eastAsia" w:ascii="宋体" w:hAnsi="宋体" w:cs="宋体"/>
        </w:rPr>
        <w:t>只有通过资格审查的投标人才能进入下一步的评标程序。</w:t>
      </w:r>
      <w:bookmarkStart w:id="741" w:name="_Toc506107323"/>
    </w:p>
    <w:p>
      <w:pPr>
        <w:pStyle w:val="5"/>
        <w:spacing w:before="156" w:beforeLines="50" w:after="156" w:afterLines="50"/>
        <w:rPr>
          <w:color w:val="auto"/>
          <w:highlight w:val="none"/>
        </w:rPr>
      </w:pPr>
      <w:bookmarkStart w:id="742" w:name="_Toc15058912"/>
      <w:bookmarkStart w:id="743" w:name="_Toc35424945"/>
      <w:bookmarkStart w:id="744" w:name="_Toc35425111"/>
      <w:r>
        <w:rPr>
          <w:rFonts w:hint="eastAsia"/>
        </w:rPr>
        <w:br w:type="page"/>
      </w:r>
      <w:bookmarkStart w:id="745" w:name="_Toc78803380"/>
      <w:r>
        <w:rPr>
          <w:rFonts w:hint="eastAsia" w:ascii="Arial" w:hAnsi="Arial"/>
          <w:color w:val="auto"/>
          <w:kern w:val="0"/>
          <w:sz w:val="32"/>
          <w:szCs w:val="32"/>
          <w:highlight w:val="none"/>
        </w:rPr>
        <w:t>第三章  评标办法</w:t>
      </w:r>
      <w:bookmarkEnd w:id="601"/>
      <w:bookmarkEnd w:id="741"/>
      <w:bookmarkEnd w:id="742"/>
      <w:bookmarkEnd w:id="743"/>
      <w:bookmarkEnd w:id="744"/>
      <w:bookmarkEnd w:id="745"/>
    </w:p>
    <w:p>
      <w:pPr>
        <w:pStyle w:val="2"/>
        <w:spacing w:before="156" w:beforeLines="50" w:after="156" w:afterLines="50" w:line="440" w:lineRule="exact"/>
        <w:ind w:left="0" w:leftChars="0" w:firstLine="0" w:firstLineChars="0"/>
        <w:jc w:val="center"/>
        <w:rPr>
          <w:b/>
          <w:bCs/>
          <w:color w:val="auto"/>
          <w:sz w:val="28"/>
          <w:szCs w:val="28"/>
          <w:highlight w:val="none"/>
        </w:rPr>
      </w:pPr>
      <w:bookmarkStart w:id="746" w:name="_Toc24628"/>
      <w:r>
        <w:rPr>
          <w:rFonts w:hint="eastAsia"/>
          <w:b/>
          <w:bCs/>
          <w:color w:val="auto"/>
          <w:sz w:val="28"/>
          <w:szCs w:val="28"/>
          <w:highlight w:val="none"/>
        </w:rPr>
        <w:t>（一）资信评分表（分值60分）</w:t>
      </w:r>
      <w:bookmarkEnd w:id="746"/>
    </w:p>
    <w:tbl>
      <w:tblPr>
        <w:tblStyle w:val="47"/>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40"/>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2"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040"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7535"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712"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204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企业实力（</w:t>
            </w:r>
            <w:r>
              <w:rPr>
                <w:rFonts w:hint="eastAsia" w:hAnsi="宋体" w:cs="宋体"/>
                <w:color w:val="auto"/>
                <w:szCs w:val="21"/>
                <w:highlight w:val="none"/>
                <w:lang w:val="en-US" w:eastAsia="zh-CN"/>
              </w:rPr>
              <w:t>25</w:t>
            </w:r>
            <w:r>
              <w:rPr>
                <w:rFonts w:hint="eastAsia" w:hAnsi="宋体" w:cs="宋体"/>
                <w:color w:val="auto"/>
                <w:szCs w:val="21"/>
                <w:highlight w:val="none"/>
              </w:rPr>
              <w:t>分）</w:t>
            </w:r>
          </w:p>
        </w:tc>
        <w:tc>
          <w:tcPr>
            <w:tcW w:w="753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1、投标人具有有效的矿山工程施工总承包一级资质的，得10分；投标人具有有效的矿山工程施工总承包二级资质的，得5分。提供企业资质证书复印件加盖投标单位公章。</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2、投标人具有有效的建筑施工企业安全生产许可证的，得2分。提供企业安全生产许可证证书复印件加盖投标单位公章。</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3、投标人具有金属非金属矿山采掘施工作业安全生产许可证的，得5分。提供企业安全生产许可证证书复印件加盖投标单位公章。</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4、投标人具有测绘资质（专业：工程测量）的，得</w:t>
            </w:r>
            <w:r>
              <w:rPr>
                <w:rFonts w:hint="eastAsia" w:hAnsi="宋体" w:cs="宋体"/>
                <w:color w:val="auto"/>
                <w:szCs w:val="21"/>
                <w:highlight w:val="none"/>
                <w:lang w:val="en-US" w:eastAsia="zh-CN"/>
              </w:rPr>
              <w:t>5</w:t>
            </w:r>
            <w:r>
              <w:rPr>
                <w:rFonts w:hint="eastAsia" w:hAnsi="宋体" w:cs="宋体"/>
                <w:color w:val="auto"/>
                <w:szCs w:val="21"/>
                <w:highlight w:val="none"/>
              </w:rPr>
              <w:t>分，提供证书复印件加盖投标单位公章。</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color w:val="auto"/>
                <w:highlight w:val="none"/>
              </w:rPr>
              <w:t>5、在中国裁判文书网及国家企业信用信息公示系统平台中企业无工程及劳务纠纷的，得3分。提供网站截图并</w:t>
            </w:r>
            <w:r>
              <w:rPr>
                <w:rFonts w:hint="eastAsia" w:hAnsi="宋体" w:cs="宋体"/>
                <w:color w:val="auto"/>
                <w:szCs w:val="21"/>
                <w:highlight w:val="none"/>
              </w:rPr>
              <w:t>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2" w:type="dxa"/>
            <w:vAlign w:val="center"/>
          </w:tcPr>
          <w:p>
            <w:pPr>
              <w:spacing w:line="440" w:lineRule="exact"/>
              <w:jc w:val="center"/>
              <w:rPr>
                <w:rFonts w:ascii="宋体" w:hAnsi="宋体" w:cs="宋体"/>
                <w:b/>
                <w:bCs/>
                <w:color w:val="auto"/>
                <w:szCs w:val="21"/>
                <w:highlight w:val="none"/>
              </w:rPr>
            </w:pPr>
            <w:bookmarkStart w:id="747" w:name="_Toc13112"/>
            <w:r>
              <w:rPr>
                <w:rFonts w:hint="eastAsia" w:ascii="宋体" w:hAnsi="宋体" w:cs="宋体"/>
                <w:b/>
                <w:bCs/>
                <w:color w:val="auto"/>
                <w:szCs w:val="21"/>
                <w:highlight w:val="none"/>
              </w:rPr>
              <w:t>2</w:t>
            </w:r>
          </w:p>
        </w:tc>
        <w:tc>
          <w:tcPr>
            <w:tcW w:w="204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拟派项目负责人</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（10分）</w:t>
            </w:r>
          </w:p>
        </w:tc>
        <w:tc>
          <w:tcPr>
            <w:tcW w:w="753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1、拟派的项目负责人具有在本单位注册的一级注册建造师（专业：矿业工程）得5分；提供注册证书复印件加盖投标单位公章。</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2、拟派的项目负责人具有高级采矿工程师得3分；提供职称证书复印件加盖投标单位公章。</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color w:val="auto"/>
                <w:highlight w:val="none"/>
              </w:rPr>
            </w:pPr>
            <w:r>
              <w:rPr>
                <w:rFonts w:hint="eastAsia" w:hAnsi="宋体" w:cs="宋体"/>
                <w:color w:val="auto"/>
                <w:szCs w:val="21"/>
                <w:highlight w:val="none"/>
              </w:rPr>
              <w:t>3、拟派的项目负责人具有中级（或以上）注册安全工程师资质得2分；提供资格证书复印件加盖投标单位公章。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2"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204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拟派的项目技术负责人（10分）</w:t>
            </w:r>
          </w:p>
        </w:tc>
        <w:tc>
          <w:tcPr>
            <w:tcW w:w="753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1.拟派的项目技术负责人具有在本单位注册的爆破作业人员许可证（高级/</w:t>
            </w:r>
            <w:r>
              <w:rPr>
                <w:rFonts w:hint="eastAsia" w:hAnsi="宋体" w:cs="宋体"/>
                <w:color w:val="auto"/>
                <w:szCs w:val="21"/>
                <w:highlight w:val="none"/>
                <w:lang w:val="en-US" w:eastAsia="zh-CN"/>
              </w:rPr>
              <w:t>A</w:t>
            </w:r>
            <w:r>
              <w:rPr>
                <w:rFonts w:hint="eastAsia" w:hAnsi="宋体" w:cs="宋体"/>
                <w:color w:val="auto"/>
                <w:szCs w:val="21"/>
                <w:highlight w:val="none"/>
              </w:rPr>
              <w:t>）</w:t>
            </w:r>
            <w:r>
              <w:rPr>
                <w:rFonts w:hint="eastAsia" w:hAnsi="宋体" w:cs="宋体"/>
                <w:color w:val="auto"/>
                <w:szCs w:val="21"/>
                <w:highlight w:val="none"/>
                <w:lang w:val="en-US" w:eastAsia="zh-CN"/>
              </w:rPr>
              <w:t>资格证</w:t>
            </w:r>
            <w:r>
              <w:rPr>
                <w:rFonts w:hint="eastAsia" w:hAnsi="宋体" w:cs="宋体"/>
                <w:color w:val="auto"/>
                <w:szCs w:val="21"/>
                <w:highlight w:val="none"/>
              </w:rPr>
              <w:t>得2分；同时提供：①爆破作业人员许可证（高级/</w:t>
            </w:r>
            <w:r>
              <w:rPr>
                <w:rFonts w:hint="eastAsia" w:hAnsi="宋体" w:cs="宋体"/>
                <w:color w:val="auto"/>
                <w:szCs w:val="21"/>
                <w:highlight w:val="none"/>
                <w:lang w:val="en-US" w:eastAsia="zh-CN"/>
              </w:rPr>
              <w:t>A</w:t>
            </w:r>
            <w:r>
              <w:rPr>
                <w:rFonts w:hint="eastAsia" w:hAnsi="宋体" w:cs="宋体"/>
                <w:color w:val="auto"/>
                <w:szCs w:val="21"/>
                <w:highlight w:val="none"/>
              </w:rPr>
              <w:t>）证书复印件加盖投标单位公章；②社保部门出具的本单位为其缴纳的投标前近</w:t>
            </w:r>
            <w:r>
              <w:rPr>
                <w:rFonts w:hint="eastAsia" w:hAnsi="宋体" w:cs="宋体"/>
                <w:color w:val="auto"/>
                <w:szCs w:val="21"/>
                <w:highlight w:val="none"/>
                <w:lang w:val="en-US" w:eastAsia="zh-CN"/>
              </w:rPr>
              <w:t>六</w:t>
            </w:r>
            <w:r>
              <w:rPr>
                <w:rFonts w:hint="eastAsia" w:hAnsi="宋体" w:cs="宋体"/>
                <w:color w:val="auto"/>
                <w:szCs w:val="21"/>
                <w:highlight w:val="none"/>
              </w:rPr>
              <w:t>个月连续的养老保险证明。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Ansi="宋体" w:cs="宋体"/>
                <w:color w:val="auto"/>
                <w:szCs w:val="21"/>
                <w:highlight w:val="none"/>
              </w:rPr>
            </w:pPr>
            <w:r>
              <w:rPr>
                <w:rFonts w:hint="eastAsia"/>
                <w:color w:val="auto"/>
                <w:highlight w:val="none"/>
              </w:rPr>
              <w:t>2.</w:t>
            </w:r>
            <w:r>
              <w:rPr>
                <w:rFonts w:hint="eastAsia" w:hAnsi="宋体" w:cs="宋体"/>
                <w:color w:val="auto"/>
                <w:szCs w:val="21"/>
                <w:highlight w:val="none"/>
              </w:rPr>
              <w:t>拟派的项目技术负责人具有高级采矿工程师职称得5分，提供职称证书复印件加盖投标单位公章；</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hAnsi="宋体" w:cs="宋体"/>
                <w:color w:val="auto"/>
                <w:szCs w:val="21"/>
                <w:highlight w:val="none"/>
              </w:rPr>
              <w:t>3.拟派的项目技术负责人</w:t>
            </w:r>
            <w:r>
              <w:rPr>
                <w:rFonts w:hint="eastAsia" w:hAnsi="宋体" w:cs="宋体"/>
                <w:color w:val="auto"/>
                <w:szCs w:val="21"/>
                <w:highlight w:val="none"/>
                <w:lang w:val="en-US" w:eastAsia="zh-CN"/>
              </w:rPr>
              <w:t>具有</w:t>
            </w:r>
            <w:r>
              <w:rPr>
                <w:rFonts w:hint="eastAsia" w:hAnsi="宋体" w:cs="宋体"/>
                <w:color w:val="auto"/>
                <w:szCs w:val="21"/>
                <w:highlight w:val="none"/>
              </w:rPr>
              <w:t>中级（或以上）注册安全工程师</w:t>
            </w:r>
            <w:r>
              <w:rPr>
                <w:rFonts w:hint="eastAsia" w:hAnsi="宋体" w:cs="宋体"/>
                <w:color w:val="auto"/>
                <w:szCs w:val="21"/>
                <w:highlight w:val="none"/>
                <w:lang w:eastAsia="zh-CN"/>
              </w:rPr>
              <w:t>（</w:t>
            </w:r>
            <w:r>
              <w:rPr>
                <w:rFonts w:hint="eastAsia" w:hAnsi="宋体" w:cs="宋体"/>
                <w:color w:val="auto"/>
                <w:szCs w:val="21"/>
                <w:highlight w:val="none"/>
                <w:lang w:val="en-US" w:eastAsia="zh-CN"/>
              </w:rPr>
              <w:t>金属非金属矿山安全）</w:t>
            </w:r>
            <w:r>
              <w:rPr>
                <w:rFonts w:hint="eastAsia" w:hAnsi="宋体" w:cs="宋体"/>
                <w:color w:val="auto"/>
                <w:szCs w:val="21"/>
                <w:highlight w:val="none"/>
              </w:rPr>
              <w:t>得3分，提供证书复印件加盖投标单位公章；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4</w:t>
            </w:r>
          </w:p>
        </w:tc>
        <w:tc>
          <w:tcPr>
            <w:tcW w:w="2040" w:type="dxa"/>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机械设备及安全环保投入（</w:t>
            </w:r>
            <w:r>
              <w:rPr>
                <w:rFonts w:hint="eastAsia" w:hAnsi="宋体" w:cs="宋体"/>
                <w:color w:val="auto"/>
                <w:szCs w:val="21"/>
                <w:highlight w:val="none"/>
                <w:lang w:val="en-US" w:eastAsia="zh-CN"/>
              </w:rPr>
              <w:t>5</w:t>
            </w:r>
            <w:r>
              <w:rPr>
                <w:rFonts w:hint="eastAsia" w:hAnsi="宋体" w:cs="宋体"/>
                <w:color w:val="auto"/>
                <w:szCs w:val="21"/>
                <w:highlight w:val="none"/>
              </w:rPr>
              <w:t>分）</w:t>
            </w:r>
          </w:p>
        </w:tc>
        <w:tc>
          <w:tcPr>
            <w:tcW w:w="753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Ansi="宋体" w:cs="宋体"/>
                <w:color w:val="auto"/>
                <w:szCs w:val="21"/>
                <w:highlight w:val="none"/>
              </w:rPr>
            </w:pPr>
            <w:r>
              <w:rPr>
                <w:rFonts w:hint="eastAsia" w:ascii="宋体" w:hAnsi="宋体" w:cs="宋体"/>
                <w:color w:val="auto"/>
                <w:szCs w:val="21"/>
                <w:highlight w:val="none"/>
              </w:rPr>
              <w:t>投标人自有自吸尘钻孔设备及符合环保要求的洒水车辆。（提供购置发票复印件加盖投标单位公章及城市车辆环保信息随车清单，提供的购置发票上所显示的单位名称必须与投标人名称保持一致，否则不予以认可）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12"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5</w:t>
            </w:r>
          </w:p>
        </w:tc>
        <w:tc>
          <w:tcPr>
            <w:tcW w:w="204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企业业绩（</w:t>
            </w:r>
            <w:r>
              <w:rPr>
                <w:rFonts w:hint="eastAsia" w:hAnsi="宋体" w:cs="宋体"/>
                <w:color w:val="auto"/>
                <w:szCs w:val="21"/>
                <w:highlight w:val="none"/>
                <w:lang w:val="en-US" w:eastAsia="zh-CN"/>
              </w:rPr>
              <w:t>10</w:t>
            </w:r>
            <w:r>
              <w:rPr>
                <w:rFonts w:hint="eastAsia" w:hAnsi="宋体" w:cs="宋体"/>
                <w:color w:val="auto"/>
                <w:szCs w:val="21"/>
                <w:highlight w:val="none"/>
              </w:rPr>
              <w:t>分）</w:t>
            </w:r>
          </w:p>
        </w:tc>
        <w:tc>
          <w:tcPr>
            <w:tcW w:w="753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021年1月1日至截止投标时间前（以合同签订时间为准）</w:t>
            </w:r>
            <w:r>
              <w:rPr>
                <w:rFonts w:hint="eastAsia" w:hAnsi="宋体" w:cs="宋体"/>
                <w:color w:val="auto"/>
                <w:szCs w:val="21"/>
                <w:highlight w:val="none"/>
              </w:rPr>
              <w:t>，投标人完成露天矿山年总开采量大于等于</w:t>
            </w:r>
            <w:r>
              <w:rPr>
                <w:rFonts w:hint="eastAsia" w:hAnsi="宋体" w:cs="宋体"/>
                <w:color w:val="auto"/>
                <w:szCs w:val="21"/>
                <w:highlight w:val="none"/>
                <w:lang w:val="en-US" w:eastAsia="zh-CN"/>
              </w:rPr>
              <w:t>900</w:t>
            </w:r>
            <w:r>
              <w:rPr>
                <w:rFonts w:hint="eastAsia" w:hAnsi="宋体" w:cs="宋体"/>
                <w:color w:val="auto"/>
                <w:szCs w:val="21"/>
                <w:highlight w:val="none"/>
              </w:rPr>
              <w:t>万吨</w:t>
            </w:r>
            <w:r>
              <w:rPr>
                <w:rFonts w:hint="eastAsia" w:hAnsi="宋体" w:cs="宋体"/>
                <w:color w:val="auto"/>
                <w:szCs w:val="21"/>
                <w:highlight w:val="none"/>
                <w:lang w:val="en-US" w:eastAsia="zh-CN"/>
              </w:rPr>
              <w:t>爆破</w:t>
            </w:r>
            <w:r>
              <w:rPr>
                <w:rFonts w:hint="eastAsia" w:hAnsi="宋体" w:cs="宋体"/>
                <w:color w:val="auto"/>
                <w:szCs w:val="21"/>
                <w:highlight w:val="none"/>
              </w:rPr>
              <w:t>业绩的</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开采量以采矿权证为准</w:t>
            </w:r>
            <w:r>
              <w:rPr>
                <w:rFonts w:hint="eastAsia" w:hAnsi="宋体" w:cs="宋体"/>
                <w:color w:val="auto"/>
                <w:szCs w:val="21"/>
                <w:highlight w:val="none"/>
                <w:lang w:eastAsia="zh-CN"/>
              </w:rPr>
              <w:t>）</w:t>
            </w:r>
            <w:r>
              <w:rPr>
                <w:rFonts w:hint="eastAsia" w:hAnsi="宋体" w:cs="宋体"/>
                <w:color w:val="auto"/>
                <w:szCs w:val="21"/>
                <w:highlight w:val="none"/>
              </w:rPr>
              <w:t>，得</w:t>
            </w:r>
            <w:r>
              <w:rPr>
                <w:rFonts w:hint="eastAsia" w:hAnsi="宋体" w:cs="宋体"/>
                <w:color w:val="auto"/>
                <w:szCs w:val="21"/>
                <w:highlight w:val="none"/>
                <w:lang w:val="en-US" w:eastAsia="zh-CN"/>
              </w:rPr>
              <w:t>8</w:t>
            </w:r>
            <w:r>
              <w:rPr>
                <w:rFonts w:hint="eastAsia" w:hAnsi="宋体" w:cs="宋体"/>
                <w:color w:val="auto"/>
                <w:szCs w:val="21"/>
                <w:highlight w:val="none"/>
              </w:rPr>
              <w:t>分，每超出100万吨增加1分，本项满分</w:t>
            </w:r>
            <w:r>
              <w:rPr>
                <w:rFonts w:hint="eastAsia" w:hAnsi="宋体" w:cs="宋体"/>
                <w:color w:val="auto"/>
                <w:szCs w:val="21"/>
                <w:highlight w:val="none"/>
                <w:lang w:val="en-US" w:eastAsia="zh-CN"/>
              </w:rPr>
              <w:t>10</w:t>
            </w:r>
            <w:r>
              <w:rPr>
                <w:rFonts w:hint="eastAsia" w:hAnsi="宋体" w:cs="宋体"/>
                <w:color w:val="auto"/>
                <w:szCs w:val="21"/>
                <w:highlight w:val="none"/>
              </w:rPr>
              <w:t>分。</w:t>
            </w:r>
            <w:bookmarkStart w:id="899" w:name="_GoBack"/>
            <w:bookmarkEnd w:id="899"/>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同时提供项目合同和有效的采矿权证（复印件加盖投标单位公章）及民爆信息系统网络服务平台中项目管理中合同备案的截图。</w:t>
            </w:r>
          </w:p>
        </w:tc>
      </w:tr>
    </w:tbl>
    <w:p>
      <w:pPr>
        <w:pStyle w:val="2"/>
        <w:spacing w:before="156" w:beforeLines="50" w:after="156" w:afterLines="50" w:line="440" w:lineRule="exact"/>
        <w:ind w:left="0" w:leftChars="0" w:firstLine="0" w:firstLineChars="0"/>
        <w:jc w:val="center"/>
        <w:rPr>
          <w:b/>
          <w:bCs/>
          <w:color w:val="auto"/>
          <w:sz w:val="28"/>
          <w:szCs w:val="28"/>
          <w:highlight w:val="none"/>
        </w:rPr>
      </w:pPr>
    </w:p>
    <w:p>
      <w:pPr>
        <w:pStyle w:val="2"/>
        <w:spacing w:before="156" w:beforeLines="50" w:after="156" w:afterLines="50" w:line="440" w:lineRule="exact"/>
        <w:ind w:left="0" w:leftChars="0" w:firstLine="0" w:firstLineChars="0"/>
        <w:jc w:val="center"/>
        <w:rPr>
          <w:b/>
          <w:bCs/>
          <w:color w:val="auto"/>
          <w:sz w:val="28"/>
          <w:szCs w:val="28"/>
          <w:highlight w:val="none"/>
        </w:rPr>
      </w:pPr>
      <w:r>
        <w:rPr>
          <w:rFonts w:hint="eastAsia"/>
          <w:b/>
          <w:bCs/>
          <w:color w:val="auto"/>
          <w:sz w:val="28"/>
          <w:szCs w:val="28"/>
          <w:highlight w:val="none"/>
        </w:rPr>
        <w:t>（二）技术标评审</w:t>
      </w:r>
      <w:bookmarkEnd w:id="747"/>
      <w:r>
        <w:rPr>
          <w:rFonts w:hint="eastAsia"/>
          <w:b/>
          <w:bCs/>
          <w:color w:val="auto"/>
          <w:sz w:val="28"/>
          <w:szCs w:val="28"/>
          <w:highlight w:val="none"/>
        </w:rPr>
        <w:t>（分值30分）</w:t>
      </w:r>
    </w:p>
    <w:tbl>
      <w:tblPr>
        <w:tblStyle w:val="47"/>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24"/>
        <w:gridCol w:w="1846"/>
        <w:gridCol w:w="5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6" w:type="dxa"/>
            <w:gridSpan w:val="2"/>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846"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673"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2" w:type="dxa"/>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024" w:type="dxa"/>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7519" w:type="dxa"/>
            <w:gridSpan w:val="2"/>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2"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024" w:type="dxa"/>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技术方案（30分）</w:t>
            </w:r>
          </w:p>
        </w:tc>
        <w:tc>
          <w:tcPr>
            <w:tcW w:w="7519" w:type="dxa"/>
            <w:gridSpan w:val="2"/>
            <w:vAlign w:val="center"/>
          </w:tcPr>
          <w:p>
            <w:pPr>
              <w:tabs>
                <w:tab w:val="right" w:leader="dot" w:pos="8306"/>
              </w:tabs>
              <w:spacing w:line="440" w:lineRule="exact"/>
              <w:jc w:val="left"/>
              <w:rPr>
                <w:b/>
                <w:bCs/>
                <w:color w:val="auto"/>
                <w:highlight w:val="none"/>
              </w:rPr>
            </w:pPr>
            <w:r>
              <w:rPr>
                <w:rFonts w:hint="eastAsia"/>
                <w:b/>
                <w:bCs/>
                <w:color w:val="auto"/>
                <w:highlight w:val="none"/>
              </w:rPr>
              <w:t>1、对项目整体认识分析与理解（10分）</w:t>
            </w:r>
          </w:p>
          <w:p>
            <w:pPr>
              <w:tabs>
                <w:tab w:val="right" w:leader="dot" w:pos="8306"/>
              </w:tabs>
              <w:spacing w:line="440" w:lineRule="exact"/>
              <w:jc w:val="left"/>
              <w:rPr>
                <w:color w:val="auto"/>
                <w:highlight w:val="none"/>
              </w:rPr>
            </w:pPr>
            <w:r>
              <w:rPr>
                <w:rFonts w:hint="eastAsia"/>
                <w:color w:val="auto"/>
                <w:highlight w:val="none"/>
              </w:rPr>
              <w:t>对项目所在区位、项目特点的整体认识，对报爆破范围、技术标准和建设规模的理解，对现状调查详细分析到位。评标委员会对此进行横向比较、综合打分，优秀得8＜F≤10分，良好得5＜F≤8分，一般得得0≤F≤5分，未提供的不得分。本条满分为10分。</w:t>
            </w:r>
          </w:p>
          <w:p>
            <w:pPr>
              <w:tabs>
                <w:tab w:val="right" w:leader="dot" w:pos="8306"/>
              </w:tabs>
              <w:spacing w:line="440" w:lineRule="exact"/>
              <w:jc w:val="left"/>
              <w:rPr>
                <w:b/>
                <w:bCs/>
                <w:color w:val="auto"/>
                <w:highlight w:val="none"/>
              </w:rPr>
            </w:pPr>
            <w:r>
              <w:rPr>
                <w:rFonts w:hint="eastAsia"/>
                <w:b/>
                <w:bCs/>
                <w:color w:val="auto"/>
                <w:highlight w:val="none"/>
              </w:rPr>
              <w:t>2、爆破方案（10分）</w:t>
            </w:r>
          </w:p>
          <w:p>
            <w:pPr>
              <w:tabs>
                <w:tab w:val="right" w:leader="dot" w:pos="8306"/>
              </w:tabs>
              <w:spacing w:line="440" w:lineRule="exact"/>
              <w:jc w:val="left"/>
              <w:rPr>
                <w:color w:val="auto"/>
                <w:highlight w:val="none"/>
              </w:rPr>
            </w:pPr>
            <w:r>
              <w:rPr>
                <w:rFonts w:hint="eastAsia"/>
                <w:color w:val="auto"/>
                <w:highlight w:val="none"/>
              </w:rPr>
              <w:t>投标人所提供的爆破方案，内容详细，满足实际需求，具有可行性，评标委员会对此进行横向比较、综合打分，优秀得8＜F≤10分，良好得5＜F≤8分，一般得得0≤F≤5分，未提供的不得分。本条满分为10分。</w:t>
            </w:r>
          </w:p>
          <w:p>
            <w:pPr>
              <w:tabs>
                <w:tab w:val="right" w:leader="dot" w:pos="8306"/>
              </w:tabs>
              <w:spacing w:line="440" w:lineRule="exact"/>
              <w:jc w:val="left"/>
              <w:rPr>
                <w:b/>
                <w:bCs/>
                <w:color w:val="auto"/>
                <w:highlight w:val="none"/>
              </w:rPr>
            </w:pPr>
            <w:r>
              <w:rPr>
                <w:rFonts w:hint="eastAsia"/>
                <w:b/>
                <w:bCs/>
                <w:color w:val="auto"/>
                <w:highlight w:val="none"/>
              </w:rPr>
              <w:t>3、资源配备计划（10分）</w:t>
            </w:r>
          </w:p>
          <w:p>
            <w:pPr>
              <w:tabs>
                <w:tab w:val="right" w:leader="dot" w:pos="8306"/>
              </w:tabs>
              <w:spacing w:line="440" w:lineRule="exact"/>
              <w:jc w:val="left"/>
              <w:rPr>
                <w:color w:val="auto"/>
                <w:highlight w:val="none"/>
              </w:rPr>
            </w:pPr>
            <w:r>
              <w:rPr>
                <w:rFonts w:hint="eastAsia"/>
                <w:color w:val="auto"/>
                <w:highlight w:val="none"/>
              </w:rPr>
              <w:t>投入的施工机械、设备、机具有详细计划且计划周密，设备数量、选型配置、进场数量、时间 合理、满足施工需要。评标委员会对此进行横向比较、综合打分，优秀得8＜F≤10分，良好得5＜F≤8分，一般得得0≤F≤5分，未提供的不得分。本条满分为10分。</w:t>
            </w:r>
          </w:p>
        </w:tc>
      </w:tr>
    </w:tbl>
    <w:p>
      <w:pPr>
        <w:spacing w:line="360" w:lineRule="auto"/>
      </w:pPr>
      <w:r>
        <w:rPr>
          <w:rFonts w:hint="eastAsia"/>
          <w:b/>
          <w:bCs/>
        </w:rPr>
        <w:t>注：</w:t>
      </w:r>
      <w:r>
        <w:rPr>
          <w:rFonts w:hint="eastAsia"/>
        </w:rPr>
        <w:t>1、该项由专家评委评审打分，以专家评委评分的算术平均值作为投标人的技术最终得分分值保留两位小数点，第三位四舍五入。</w:t>
      </w:r>
    </w:p>
    <w:p>
      <w:pPr>
        <w:pStyle w:val="28"/>
        <w:spacing w:before="93" w:beforeLines="30" w:after="93" w:afterLines="30" w:line="440" w:lineRule="exact"/>
        <w:ind w:left="420" w:leftChars="200" w:firstLine="0" w:firstLineChars="0"/>
        <w:jc w:val="center"/>
        <w:rPr>
          <w:b/>
          <w:sz w:val="28"/>
          <w:szCs w:val="21"/>
        </w:rPr>
      </w:pPr>
      <w:r>
        <w:rPr>
          <w:rFonts w:hint="eastAsia"/>
          <w:b/>
          <w:sz w:val="28"/>
          <w:szCs w:val="21"/>
        </w:rPr>
        <w:t>（三）商务标评审</w:t>
      </w:r>
    </w:p>
    <w:tbl>
      <w:tblPr>
        <w:tblStyle w:val="47"/>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2"/>
        <w:gridCol w:w="1848"/>
        <w:gridCol w:w="3802"/>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42" w:type="dxa"/>
            <w:gridSpan w:val="3"/>
            <w:noWrap/>
            <w:vAlign w:val="center"/>
          </w:tcPr>
          <w:p>
            <w:pPr>
              <w:spacing w:line="440" w:lineRule="exact"/>
              <w:jc w:val="center"/>
              <w:rPr>
                <w:rFonts w:ascii="宋体" w:hAnsi="宋体" w:cs="宋体"/>
                <w:b/>
                <w:bCs/>
                <w:szCs w:val="21"/>
              </w:rPr>
            </w:pPr>
            <w:r>
              <w:rPr>
                <w:rFonts w:hint="eastAsia" w:ascii="宋体" w:hAnsi="宋体" w:cs="宋体"/>
                <w:b/>
                <w:bCs/>
                <w:szCs w:val="21"/>
              </w:rPr>
              <w:t>序号</w:t>
            </w:r>
          </w:p>
        </w:tc>
        <w:tc>
          <w:tcPr>
            <w:tcW w:w="3802" w:type="dxa"/>
            <w:noWrap/>
            <w:vAlign w:val="center"/>
          </w:tcPr>
          <w:p>
            <w:pPr>
              <w:spacing w:line="440" w:lineRule="exact"/>
              <w:jc w:val="center"/>
              <w:rPr>
                <w:rFonts w:ascii="宋体" w:hAnsi="宋体" w:cs="宋体"/>
                <w:b/>
                <w:bCs/>
                <w:szCs w:val="21"/>
              </w:rPr>
            </w:pPr>
            <w:r>
              <w:rPr>
                <w:rFonts w:hint="eastAsia" w:ascii="宋体" w:hAnsi="宋体" w:cs="宋体"/>
                <w:b/>
                <w:bCs/>
                <w:szCs w:val="21"/>
              </w:rPr>
              <w:t>评审因素</w:t>
            </w:r>
          </w:p>
        </w:tc>
        <w:tc>
          <w:tcPr>
            <w:tcW w:w="3232" w:type="dxa"/>
            <w:noWrap/>
            <w:vAlign w:val="center"/>
          </w:tcPr>
          <w:p>
            <w:pPr>
              <w:spacing w:line="44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2" w:type="dxa"/>
            <w:vMerge w:val="restart"/>
            <w:noWrap/>
            <w:vAlign w:val="center"/>
          </w:tcPr>
          <w:p>
            <w:pPr>
              <w:spacing w:line="440" w:lineRule="exact"/>
              <w:jc w:val="center"/>
              <w:rPr>
                <w:rFonts w:ascii="宋体" w:hAnsi="宋体" w:cs="宋体"/>
                <w:szCs w:val="21"/>
              </w:rPr>
            </w:pPr>
            <w:r>
              <w:rPr>
                <w:rFonts w:hint="eastAsia" w:ascii="宋体" w:hAnsi="宋体" w:cs="宋体"/>
                <w:szCs w:val="21"/>
              </w:rPr>
              <w:t>1</w:t>
            </w:r>
          </w:p>
        </w:tc>
        <w:tc>
          <w:tcPr>
            <w:tcW w:w="1860" w:type="dxa"/>
            <w:gridSpan w:val="2"/>
            <w:vMerge w:val="restart"/>
            <w:noWrap/>
            <w:vAlign w:val="center"/>
          </w:tcPr>
          <w:p>
            <w:pPr>
              <w:spacing w:line="440" w:lineRule="exact"/>
              <w:jc w:val="center"/>
              <w:rPr>
                <w:rFonts w:ascii="宋体" w:hAnsi="宋体" w:cs="宋体"/>
                <w:szCs w:val="21"/>
              </w:rPr>
            </w:pPr>
            <w:r>
              <w:rPr>
                <w:rFonts w:hint="eastAsia" w:ascii="宋体" w:hAnsi="宋体" w:cs="宋体"/>
                <w:szCs w:val="21"/>
              </w:rPr>
              <w:t>形式评审标准</w:t>
            </w:r>
          </w:p>
        </w:tc>
        <w:tc>
          <w:tcPr>
            <w:tcW w:w="3802" w:type="dxa"/>
            <w:noWrap/>
            <w:vAlign w:val="center"/>
          </w:tcPr>
          <w:p>
            <w:pPr>
              <w:spacing w:line="440" w:lineRule="exact"/>
              <w:jc w:val="left"/>
              <w:rPr>
                <w:rFonts w:ascii="宋体" w:hAnsi="宋体" w:cs="宋体"/>
                <w:szCs w:val="21"/>
              </w:rPr>
            </w:pPr>
            <w:r>
              <w:rPr>
                <w:rFonts w:hint="eastAsia" w:ascii="宋体" w:hAnsi="宋体" w:cs="宋体"/>
                <w:szCs w:val="21"/>
              </w:rPr>
              <w:t>投标函签字盖章</w:t>
            </w:r>
          </w:p>
        </w:tc>
        <w:tc>
          <w:tcPr>
            <w:tcW w:w="3232" w:type="dxa"/>
            <w:noWrap/>
            <w:vAlign w:val="center"/>
          </w:tcPr>
          <w:p>
            <w:pPr>
              <w:spacing w:line="440" w:lineRule="exact"/>
              <w:jc w:val="left"/>
              <w:rPr>
                <w:rFonts w:ascii="宋体" w:hAnsi="宋体" w:cs="宋体"/>
                <w:szCs w:val="21"/>
              </w:rPr>
            </w:pPr>
            <w:r>
              <w:rPr>
                <w:rFonts w:hint="eastAsia" w:ascii="宋体" w:hAnsi="宋体" w:cs="宋体"/>
                <w:szCs w:val="21"/>
              </w:rPr>
              <w:t>有投标人及其法定代表人签字或盖章。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pPr>
              <w:spacing w:line="440" w:lineRule="exact"/>
              <w:rPr>
                <w:rFonts w:ascii="宋体" w:hAnsi="宋体" w:cs="宋体"/>
                <w:szCs w:val="21"/>
              </w:rPr>
            </w:pPr>
          </w:p>
        </w:tc>
        <w:tc>
          <w:tcPr>
            <w:tcW w:w="1860" w:type="dxa"/>
            <w:gridSpan w:val="2"/>
            <w:vMerge w:val="continue"/>
            <w:noWrap/>
          </w:tcPr>
          <w:p>
            <w:pPr>
              <w:spacing w:line="440" w:lineRule="exact"/>
              <w:rPr>
                <w:rFonts w:ascii="宋体" w:hAnsi="宋体" w:cs="宋体"/>
                <w:szCs w:val="21"/>
              </w:rPr>
            </w:pPr>
          </w:p>
        </w:tc>
        <w:tc>
          <w:tcPr>
            <w:tcW w:w="3802" w:type="dxa"/>
            <w:noWrap/>
            <w:vAlign w:val="center"/>
          </w:tcPr>
          <w:p>
            <w:pPr>
              <w:spacing w:line="440" w:lineRule="exact"/>
              <w:jc w:val="left"/>
              <w:rPr>
                <w:rFonts w:ascii="宋体" w:hAnsi="宋体" w:cs="宋体"/>
                <w:szCs w:val="21"/>
              </w:rPr>
            </w:pPr>
            <w:r>
              <w:rPr>
                <w:rFonts w:hint="eastAsia" w:ascii="宋体" w:hAnsi="宋体" w:cs="宋体"/>
                <w:szCs w:val="21"/>
              </w:rPr>
              <w:t>投标文件格式</w:t>
            </w:r>
          </w:p>
        </w:tc>
        <w:tc>
          <w:tcPr>
            <w:tcW w:w="3232" w:type="dxa"/>
            <w:noWrap/>
            <w:vAlign w:val="center"/>
          </w:tcPr>
          <w:p>
            <w:pPr>
              <w:spacing w:line="440" w:lineRule="exact"/>
              <w:jc w:val="left"/>
              <w:rPr>
                <w:rFonts w:ascii="宋体" w:hAnsi="宋体" w:cs="宋体"/>
                <w:szCs w:val="21"/>
              </w:rPr>
            </w:pPr>
            <w:r>
              <w:rPr>
                <w:rFonts w:hint="eastAsia" w:ascii="宋体" w:hAnsi="宋体" w:cs="宋体"/>
                <w:szCs w:val="21"/>
              </w:rPr>
              <w:t>符合第五章“投标文件格式”的要求。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pPr>
              <w:spacing w:line="440" w:lineRule="exact"/>
              <w:rPr>
                <w:rFonts w:ascii="宋体" w:hAnsi="宋体" w:cs="宋体"/>
                <w:szCs w:val="21"/>
              </w:rPr>
            </w:pPr>
          </w:p>
        </w:tc>
        <w:tc>
          <w:tcPr>
            <w:tcW w:w="1860" w:type="dxa"/>
            <w:gridSpan w:val="2"/>
            <w:vMerge w:val="continue"/>
            <w:noWrap/>
          </w:tcPr>
          <w:p>
            <w:pPr>
              <w:spacing w:line="440" w:lineRule="exact"/>
              <w:rPr>
                <w:rFonts w:ascii="宋体" w:hAnsi="宋体" w:cs="宋体"/>
                <w:szCs w:val="21"/>
              </w:rPr>
            </w:pPr>
          </w:p>
        </w:tc>
        <w:tc>
          <w:tcPr>
            <w:tcW w:w="3802" w:type="dxa"/>
            <w:noWrap/>
            <w:vAlign w:val="center"/>
          </w:tcPr>
          <w:p>
            <w:pPr>
              <w:spacing w:line="440" w:lineRule="exact"/>
              <w:jc w:val="left"/>
              <w:rPr>
                <w:rFonts w:ascii="宋体" w:hAnsi="宋体" w:cs="宋体"/>
                <w:szCs w:val="21"/>
              </w:rPr>
            </w:pPr>
            <w:r>
              <w:rPr>
                <w:rFonts w:hint="eastAsia" w:ascii="宋体" w:hAnsi="宋体" w:cs="宋体"/>
                <w:szCs w:val="21"/>
              </w:rPr>
              <w:t>商务标签字盖章</w:t>
            </w:r>
          </w:p>
        </w:tc>
        <w:tc>
          <w:tcPr>
            <w:tcW w:w="3232" w:type="dxa"/>
            <w:noWrap/>
            <w:vAlign w:val="center"/>
          </w:tcPr>
          <w:p>
            <w:pPr>
              <w:spacing w:line="440" w:lineRule="exact"/>
              <w:jc w:val="left"/>
              <w:rPr>
                <w:rFonts w:ascii="宋体" w:hAnsi="宋体" w:cs="宋体"/>
                <w:szCs w:val="21"/>
              </w:rPr>
            </w:pPr>
            <w:r>
              <w:rPr>
                <w:rFonts w:hint="eastAsia" w:ascii="宋体" w:hAnsi="宋体" w:cs="宋体"/>
                <w:szCs w:val="21"/>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pPr>
              <w:spacing w:line="440" w:lineRule="exact"/>
              <w:rPr>
                <w:rFonts w:ascii="宋体" w:hAnsi="宋体" w:cs="宋体"/>
                <w:szCs w:val="21"/>
              </w:rPr>
            </w:pPr>
          </w:p>
        </w:tc>
        <w:tc>
          <w:tcPr>
            <w:tcW w:w="1860" w:type="dxa"/>
            <w:gridSpan w:val="2"/>
            <w:vMerge w:val="continue"/>
            <w:noWrap/>
          </w:tcPr>
          <w:p>
            <w:pPr>
              <w:spacing w:line="440" w:lineRule="exact"/>
              <w:rPr>
                <w:rFonts w:ascii="宋体" w:hAnsi="宋体" w:cs="宋体"/>
                <w:szCs w:val="21"/>
              </w:rPr>
            </w:pPr>
          </w:p>
        </w:tc>
        <w:tc>
          <w:tcPr>
            <w:tcW w:w="3802" w:type="dxa"/>
            <w:noWrap/>
            <w:vAlign w:val="center"/>
          </w:tcPr>
          <w:p>
            <w:pPr>
              <w:spacing w:line="440" w:lineRule="exact"/>
              <w:jc w:val="left"/>
              <w:rPr>
                <w:rFonts w:ascii="宋体" w:hAnsi="宋体" w:cs="宋体"/>
                <w:szCs w:val="21"/>
              </w:rPr>
            </w:pPr>
            <w:r>
              <w:rPr>
                <w:rFonts w:hint="eastAsia" w:ascii="宋体" w:hAnsi="宋体" w:cs="宋体"/>
                <w:szCs w:val="21"/>
              </w:rPr>
              <w:t>报价唯一</w:t>
            </w:r>
          </w:p>
        </w:tc>
        <w:tc>
          <w:tcPr>
            <w:tcW w:w="3232" w:type="dxa"/>
            <w:noWrap/>
            <w:vAlign w:val="center"/>
          </w:tcPr>
          <w:p>
            <w:pPr>
              <w:spacing w:line="440" w:lineRule="exact"/>
              <w:jc w:val="left"/>
              <w:rPr>
                <w:rFonts w:ascii="宋体" w:hAnsi="宋体" w:cs="宋体"/>
                <w:szCs w:val="21"/>
              </w:rPr>
            </w:pPr>
            <w:r>
              <w:rPr>
                <w:rFonts w:hint="eastAsia" w:ascii="宋体" w:hAnsi="宋体" w:cs="宋体"/>
                <w:szCs w:val="21"/>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2" w:type="dxa"/>
            <w:vMerge w:val="restart"/>
            <w:noWrap/>
            <w:vAlign w:val="center"/>
          </w:tcPr>
          <w:p>
            <w:pPr>
              <w:spacing w:line="440" w:lineRule="exact"/>
              <w:jc w:val="center"/>
              <w:rPr>
                <w:rFonts w:ascii="宋体" w:hAnsi="宋体" w:cs="宋体"/>
                <w:szCs w:val="21"/>
              </w:rPr>
            </w:pPr>
            <w:r>
              <w:rPr>
                <w:rFonts w:hint="eastAsia" w:ascii="宋体" w:hAnsi="宋体" w:cs="宋体"/>
                <w:szCs w:val="21"/>
              </w:rPr>
              <w:t>2</w:t>
            </w:r>
          </w:p>
        </w:tc>
        <w:tc>
          <w:tcPr>
            <w:tcW w:w="1860" w:type="dxa"/>
            <w:gridSpan w:val="2"/>
            <w:vMerge w:val="restart"/>
            <w:noWrap/>
            <w:vAlign w:val="center"/>
          </w:tcPr>
          <w:p>
            <w:pPr>
              <w:spacing w:line="440" w:lineRule="exact"/>
              <w:rPr>
                <w:rFonts w:ascii="宋体" w:hAnsi="宋体" w:cs="宋体"/>
                <w:szCs w:val="21"/>
              </w:rPr>
            </w:pPr>
            <w:r>
              <w:rPr>
                <w:rFonts w:hint="eastAsia" w:ascii="宋体" w:hAnsi="宋体" w:cs="宋体"/>
                <w:szCs w:val="21"/>
              </w:rPr>
              <w:t>响应性评审标准</w:t>
            </w:r>
          </w:p>
        </w:tc>
        <w:tc>
          <w:tcPr>
            <w:tcW w:w="3802" w:type="dxa"/>
            <w:noWrap/>
            <w:vAlign w:val="center"/>
          </w:tcPr>
          <w:p>
            <w:pPr>
              <w:adjustRightInd w:val="0"/>
              <w:snapToGrid w:val="0"/>
              <w:spacing w:line="560" w:lineRule="exact"/>
              <w:jc w:val="left"/>
              <w:rPr>
                <w:rFonts w:ascii="宋体" w:hAnsi="宋体" w:cs="宋体"/>
                <w:szCs w:val="21"/>
              </w:rPr>
            </w:pPr>
            <w:r>
              <w:rPr>
                <w:rFonts w:hint="eastAsia" w:ascii="宋体" w:hAnsi="宋体"/>
                <w:szCs w:val="21"/>
              </w:rPr>
              <w:t>工期</w:t>
            </w:r>
          </w:p>
        </w:tc>
        <w:tc>
          <w:tcPr>
            <w:tcW w:w="3232" w:type="dxa"/>
            <w:noWrap/>
            <w:vAlign w:val="center"/>
          </w:tcPr>
          <w:p>
            <w:pPr>
              <w:adjustRightInd w:val="0"/>
              <w:snapToGrid w:val="0"/>
              <w:spacing w:line="560" w:lineRule="exact"/>
              <w:rPr>
                <w:rFonts w:ascii="宋体" w:hAnsi="宋体" w:cs="宋体"/>
                <w:szCs w:val="21"/>
              </w:rPr>
            </w:pPr>
            <w:r>
              <w:rPr>
                <w:rFonts w:hint="eastAsia" w:ascii="宋体" w:hAnsi="宋体"/>
                <w:szCs w:val="21"/>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pPr>
              <w:spacing w:line="440" w:lineRule="exact"/>
              <w:rPr>
                <w:rFonts w:ascii="宋体" w:hAnsi="宋体" w:cs="宋体"/>
                <w:szCs w:val="21"/>
              </w:rPr>
            </w:pPr>
          </w:p>
        </w:tc>
        <w:tc>
          <w:tcPr>
            <w:tcW w:w="1860" w:type="dxa"/>
            <w:gridSpan w:val="2"/>
            <w:vMerge w:val="continue"/>
            <w:noWrap/>
          </w:tcPr>
          <w:p>
            <w:pPr>
              <w:spacing w:line="440" w:lineRule="exact"/>
              <w:rPr>
                <w:rFonts w:ascii="宋体" w:hAnsi="宋体" w:cs="宋体"/>
                <w:szCs w:val="21"/>
              </w:rPr>
            </w:pPr>
          </w:p>
        </w:tc>
        <w:tc>
          <w:tcPr>
            <w:tcW w:w="3802" w:type="dxa"/>
            <w:noWrap/>
            <w:vAlign w:val="center"/>
          </w:tcPr>
          <w:p>
            <w:pPr>
              <w:adjustRightInd w:val="0"/>
              <w:snapToGrid w:val="0"/>
              <w:spacing w:line="560" w:lineRule="exact"/>
              <w:rPr>
                <w:rFonts w:ascii="宋体" w:hAnsi="宋体" w:cs="宋体"/>
                <w:szCs w:val="21"/>
              </w:rPr>
            </w:pPr>
            <w:r>
              <w:rPr>
                <w:rFonts w:hint="eastAsia" w:ascii="宋体" w:hAnsi="宋体"/>
                <w:szCs w:val="21"/>
              </w:rPr>
              <w:t>工程质量</w:t>
            </w:r>
          </w:p>
        </w:tc>
        <w:tc>
          <w:tcPr>
            <w:tcW w:w="3232" w:type="dxa"/>
            <w:noWrap/>
            <w:vAlign w:val="center"/>
          </w:tcPr>
          <w:p>
            <w:pPr>
              <w:adjustRightInd w:val="0"/>
              <w:snapToGrid w:val="0"/>
              <w:spacing w:line="560" w:lineRule="exact"/>
              <w:rPr>
                <w:rFonts w:ascii="宋体" w:hAnsi="宋体" w:cs="宋体"/>
                <w:szCs w:val="21"/>
              </w:rPr>
            </w:pPr>
            <w:r>
              <w:rPr>
                <w:rFonts w:hint="eastAsia" w:ascii="宋体" w:hAnsi="宋体"/>
                <w:szCs w:val="21"/>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2" w:type="dxa"/>
            <w:vMerge w:val="continue"/>
            <w:noWrap/>
          </w:tcPr>
          <w:p>
            <w:pPr>
              <w:spacing w:line="440" w:lineRule="exact"/>
              <w:rPr>
                <w:rFonts w:ascii="宋体" w:hAnsi="宋体" w:cs="宋体"/>
                <w:szCs w:val="21"/>
              </w:rPr>
            </w:pPr>
          </w:p>
        </w:tc>
        <w:tc>
          <w:tcPr>
            <w:tcW w:w="1860" w:type="dxa"/>
            <w:gridSpan w:val="2"/>
            <w:vMerge w:val="continue"/>
            <w:noWrap/>
          </w:tcPr>
          <w:p>
            <w:pPr>
              <w:spacing w:line="440" w:lineRule="exact"/>
              <w:rPr>
                <w:rFonts w:ascii="宋体" w:hAnsi="宋体" w:cs="宋体"/>
                <w:szCs w:val="21"/>
              </w:rPr>
            </w:pPr>
          </w:p>
        </w:tc>
        <w:tc>
          <w:tcPr>
            <w:tcW w:w="3802" w:type="dxa"/>
            <w:noWrap/>
            <w:vAlign w:val="center"/>
          </w:tcPr>
          <w:p>
            <w:pPr>
              <w:adjustRightInd w:val="0"/>
              <w:snapToGrid w:val="0"/>
              <w:spacing w:line="560" w:lineRule="exact"/>
              <w:rPr>
                <w:rFonts w:ascii="宋体" w:hAnsi="宋体" w:cs="宋体"/>
                <w:szCs w:val="21"/>
              </w:rPr>
            </w:pPr>
            <w:r>
              <w:rPr>
                <w:rFonts w:hint="eastAsia" w:ascii="宋体" w:hAnsi="宋体"/>
                <w:szCs w:val="21"/>
              </w:rPr>
              <w:t>投标有效期</w:t>
            </w:r>
          </w:p>
        </w:tc>
        <w:tc>
          <w:tcPr>
            <w:tcW w:w="3232" w:type="dxa"/>
            <w:noWrap/>
            <w:vAlign w:val="center"/>
          </w:tcPr>
          <w:p>
            <w:pPr>
              <w:adjustRightInd w:val="0"/>
              <w:snapToGrid w:val="0"/>
              <w:spacing w:line="560" w:lineRule="exact"/>
              <w:rPr>
                <w:rFonts w:ascii="宋体" w:hAnsi="宋体" w:cs="宋体"/>
                <w:szCs w:val="21"/>
              </w:rPr>
            </w:pPr>
            <w:r>
              <w:rPr>
                <w:rFonts w:hint="eastAsia" w:ascii="宋体" w:hAnsi="宋体"/>
                <w:szCs w:val="21"/>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94" w:type="dxa"/>
            <w:gridSpan w:val="2"/>
            <w:noWrap/>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1848" w:type="dxa"/>
            <w:noWrap/>
            <w:vAlign w:val="center"/>
          </w:tcPr>
          <w:p>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商务评分</w:t>
            </w:r>
          </w:p>
          <w:p>
            <w:pPr>
              <w:spacing w:line="44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10</w:t>
            </w:r>
            <w:r>
              <w:rPr>
                <w:rFonts w:ascii="宋体" w:hAnsi="宋体"/>
                <w:color w:val="auto"/>
                <w:szCs w:val="21"/>
                <w:highlight w:val="none"/>
              </w:rPr>
              <w:t>分）</w:t>
            </w:r>
          </w:p>
        </w:tc>
        <w:tc>
          <w:tcPr>
            <w:tcW w:w="3802" w:type="dxa"/>
            <w:noWrap/>
            <w:vAlign w:val="center"/>
          </w:tcPr>
          <w:p>
            <w:pPr>
              <w:pStyle w:val="2"/>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一、报价偏差率计算。</w:t>
            </w:r>
          </w:p>
          <w:p>
            <w:pPr>
              <w:pStyle w:val="2"/>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偏差率=|（投标报价-评标基准价）/评标基准价|×100%</w:t>
            </w:r>
          </w:p>
          <w:p>
            <w:pPr>
              <w:pStyle w:val="2"/>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二、报价得分计算。</w:t>
            </w:r>
          </w:p>
          <w:p>
            <w:pPr>
              <w:pStyle w:val="2"/>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pPr>
              <w:pStyle w:val="2"/>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①投标报价高于评标基准价的，投标报价得分=报价满分值-偏差率×100×1</w:t>
            </w:r>
          </w:p>
          <w:p>
            <w:pPr>
              <w:pStyle w:val="2"/>
              <w:adjustRightInd w:val="0"/>
              <w:snapToGrid w:val="0"/>
              <w:spacing w:line="440" w:lineRule="exact"/>
              <w:ind w:left="0" w:leftChars="0" w:firstLine="0" w:firstLineChars="0"/>
              <w:jc w:val="left"/>
              <w:rPr>
                <w:rFonts w:hAnsi="宋体"/>
                <w:color w:val="auto"/>
                <w:szCs w:val="21"/>
                <w:highlight w:val="none"/>
              </w:rPr>
            </w:pPr>
            <w:r>
              <w:rPr>
                <w:rFonts w:hint="eastAsia" w:hAnsi="宋体"/>
                <w:color w:val="auto"/>
                <w:szCs w:val="21"/>
                <w:highlight w:val="none"/>
              </w:rPr>
              <w:t>②投标报价低于评标基准价的，投标报价得分=报价满分值-偏差率×100×0.5</w:t>
            </w:r>
          </w:p>
          <w:p>
            <w:pPr>
              <w:pStyle w:val="2"/>
              <w:adjustRightInd w:val="0"/>
              <w:snapToGrid w:val="0"/>
              <w:spacing w:line="440" w:lineRule="exact"/>
              <w:ind w:left="0" w:leftChars="0" w:firstLine="0" w:firstLineChars="0"/>
              <w:jc w:val="left"/>
              <w:rPr>
                <w:rFonts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pPr>
              <w:adjustRightInd w:val="0"/>
              <w:snapToGrid w:val="0"/>
              <w:spacing w:line="440" w:lineRule="exact"/>
              <w:rPr>
                <w:color w:val="auto"/>
                <w:highlight w:val="none"/>
              </w:rPr>
            </w:pPr>
            <w:r>
              <w:rPr>
                <w:rFonts w:hint="eastAsia" w:ascii="宋体" w:hAnsi="宋体"/>
                <w:color w:val="auto"/>
                <w:szCs w:val="21"/>
                <w:highlight w:val="none"/>
              </w:rPr>
              <w:t>2、计算过程中，B值、评标基准价（F值）、偏差率、报价得分均保留两位小数，小数点后第三位四舍五入。</w:t>
            </w:r>
          </w:p>
        </w:tc>
        <w:tc>
          <w:tcPr>
            <w:tcW w:w="3232" w:type="dxa"/>
            <w:noWrap/>
            <w:vAlign w:val="center"/>
          </w:tcPr>
          <w:p>
            <w:pPr>
              <w:pStyle w:val="2"/>
              <w:adjustRightInd w:val="0"/>
              <w:snapToGrid w:val="0"/>
              <w:spacing w:line="440" w:lineRule="exact"/>
              <w:ind w:left="0" w:leftChars="0" w:firstLine="0" w:firstLineChars="0"/>
              <w:jc w:val="left"/>
              <w:rPr>
                <w:color w:val="auto"/>
                <w:highlight w:val="none"/>
              </w:rPr>
            </w:pPr>
            <w:r>
              <w:rPr>
                <w:rFonts w:hint="eastAsia" w:hAnsi="宋体" w:cs="宋体"/>
                <w:color w:val="auto"/>
                <w:szCs w:val="21"/>
                <w:highlight w:val="none"/>
              </w:rPr>
              <w:t>评标基准价F为通过详细评审的投标人投标报价的算术平均值B。</w:t>
            </w:r>
          </w:p>
        </w:tc>
      </w:tr>
    </w:tbl>
    <w:p>
      <w:pPr>
        <w:spacing w:line="400" w:lineRule="exact"/>
        <w:ind w:firstLine="422" w:firstLineChars="200"/>
        <w:rPr>
          <w:rFonts w:ascii="黑体" w:hAnsi="黑体" w:eastAsia="黑体" w:cs="黑体"/>
          <w:b/>
          <w:color w:val="auto"/>
          <w:szCs w:val="21"/>
          <w:highlight w:val="none"/>
        </w:rPr>
      </w:pPr>
      <w:bookmarkStart w:id="748" w:name="_Toc35424947"/>
      <w:bookmarkStart w:id="749" w:name="_Toc6491"/>
      <w:bookmarkStart w:id="750" w:name="_Toc35425113"/>
      <w:bookmarkStart w:id="751" w:name="_Toc246996975"/>
      <w:bookmarkStart w:id="752" w:name="_Toc152045589"/>
      <w:bookmarkStart w:id="753" w:name="_Toc506107324"/>
      <w:bookmarkStart w:id="754" w:name="_Toc324404872"/>
      <w:bookmarkStart w:id="755" w:name="_Toc152042366"/>
      <w:bookmarkStart w:id="756" w:name="_Toc15058913"/>
      <w:bookmarkStart w:id="757" w:name="_Toc246996232"/>
      <w:bookmarkStart w:id="758" w:name="_Toc144974556"/>
      <w:bookmarkStart w:id="759" w:name="_Toc78803381"/>
      <w:bookmarkStart w:id="760" w:name="_Toc247085747"/>
      <w:bookmarkStart w:id="761" w:name="_Toc179632607"/>
      <w:r>
        <w:rPr>
          <w:rFonts w:hint="eastAsia" w:ascii="黑体" w:hAnsi="黑体" w:eastAsia="黑体" w:cs="黑体"/>
          <w:b/>
          <w:color w:val="auto"/>
          <w:szCs w:val="21"/>
          <w:highlight w:val="none"/>
        </w:rPr>
        <w:t>商务标评审表注：</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（1）只有通过详细评审的有效投标人才能参加商务报价评分。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（2）本表所称投标报价是指按招标文件规定修正后的投标总报价（多算投标报价、多报费用不扣减）。</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（3）B值计算方法：通过详细评审的投标人投标报价的算术平均值。</w:t>
      </w:r>
    </w:p>
    <w:p>
      <w:pPr>
        <w:spacing w:line="400" w:lineRule="exact"/>
        <w:ind w:firstLine="420" w:firstLineChars="200"/>
        <w:rPr>
          <w:rFonts w:ascii="宋体" w:hAnsi="宋体" w:cs="宋体"/>
          <w:szCs w:val="21"/>
        </w:rPr>
      </w:pPr>
      <w:r>
        <w:rPr>
          <w:rFonts w:hint="eastAsia" w:ascii="宋体" w:hAnsi="宋体" w:cs="宋体"/>
          <w:color w:val="auto"/>
          <w:szCs w:val="21"/>
          <w:highlight w:val="none"/>
        </w:rPr>
        <w:t>（4）商务评分按总投标报价予以评审，爆破量暂按</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000000吨，最终结算以实际销售过磅量为准。</w:t>
      </w:r>
    </w:p>
    <w:p>
      <w:pPr>
        <w:pStyle w:val="6"/>
        <w:spacing w:before="156" w:beforeLines="50" w:after="156" w:afterLines="50" w:line="400" w:lineRule="exact"/>
        <w:ind w:firstLine="422" w:firstLineChars="200"/>
        <w:rPr>
          <w:rFonts w:ascii="宋体" w:hAnsi="宋体" w:eastAsia="宋体" w:cs="宋体"/>
        </w:rPr>
      </w:pPr>
      <w:r>
        <w:rPr>
          <w:rFonts w:hint="eastAsia" w:ascii="宋体" w:hAnsi="宋体" w:eastAsia="宋体" w:cs="宋体"/>
        </w:rPr>
        <w:t>1.评标方法</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spacing w:line="400" w:lineRule="exact"/>
        <w:ind w:firstLine="420" w:firstLineChars="200"/>
        <w:jc w:val="left"/>
        <w:rPr>
          <w:rFonts w:ascii="宋体" w:hAnsi="宋体" w:cs="宋体"/>
          <w:szCs w:val="21"/>
        </w:rPr>
      </w:pPr>
      <w:bookmarkStart w:id="762" w:name="_Toc15058914"/>
      <w:bookmarkStart w:id="763" w:name="_Toc506107325"/>
      <w:bookmarkStart w:id="764" w:name="_Toc35425114"/>
      <w:bookmarkStart w:id="765" w:name="_Toc324404873"/>
      <w:bookmarkStart w:id="766" w:name="_Toc11945"/>
      <w:bookmarkStart w:id="767" w:name="_Toc35424948"/>
      <w:bookmarkStart w:id="768" w:name="_Toc78803382"/>
      <w:bookmarkStart w:id="769" w:name="_Toc152045590"/>
      <w:bookmarkStart w:id="770" w:name="_Toc296602478"/>
      <w:bookmarkStart w:id="771" w:name="_Toc247085748"/>
      <w:bookmarkStart w:id="772" w:name="_Toc144974557"/>
      <w:bookmarkStart w:id="773" w:name="_Toc246996233"/>
      <w:bookmarkStart w:id="774" w:name="_Toc179632608"/>
      <w:bookmarkStart w:id="775" w:name="_Toc152042367"/>
      <w:bookmarkStart w:id="776" w:name="_Toc246996976"/>
      <w:r>
        <w:rPr>
          <w:rFonts w:hint="eastAsia" w:ascii="宋体" w:hAnsi="宋体" w:cs="宋体"/>
          <w:szCs w:val="21"/>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技术分高的优先；如技术分也相等，由招标人随机抽取确定排名。</w:t>
      </w:r>
    </w:p>
    <w:p>
      <w:pPr>
        <w:pStyle w:val="6"/>
        <w:spacing w:before="156" w:beforeLines="50" w:after="156" w:afterLines="50" w:line="400" w:lineRule="exact"/>
        <w:ind w:firstLine="422" w:firstLineChars="200"/>
        <w:rPr>
          <w:rFonts w:ascii="宋体" w:hAnsi="宋体" w:eastAsia="宋体" w:cs="宋体"/>
        </w:rPr>
      </w:pPr>
      <w:r>
        <w:rPr>
          <w:rFonts w:hint="eastAsia" w:ascii="宋体" w:hAnsi="宋体" w:eastAsia="宋体" w:cs="宋体"/>
        </w:rPr>
        <w:t>2.评标委员会的职责</w:t>
      </w:r>
      <w:bookmarkEnd w:id="762"/>
      <w:bookmarkEnd w:id="763"/>
      <w:bookmarkEnd w:id="764"/>
      <w:bookmarkEnd w:id="765"/>
      <w:bookmarkEnd w:id="766"/>
      <w:bookmarkEnd w:id="767"/>
      <w:bookmarkEnd w:id="768"/>
    </w:p>
    <w:p>
      <w:pPr>
        <w:spacing w:line="400" w:lineRule="exact"/>
        <w:ind w:firstLine="420" w:firstLineChars="200"/>
        <w:jc w:val="left"/>
        <w:rPr>
          <w:rFonts w:ascii="宋体" w:hAnsi="宋体" w:cs="宋体"/>
          <w:szCs w:val="21"/>
        </w:rPr>
      </w:pPr>
      <w:r>
        <w:rPr>
          <w:rFonts w:hint="eastAsia" w:ascii="宋体" w:hAnsi="宋体" w:cs="宋体"/>
          <w:szCs w:val="21"/>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400" w:lineRule="exact"/>
        <w:ind w:firstLine="420" w:firstLineChars="200"/>
        <w:jc w:val="left"/>
        <w:rPr>
          <w:rFonts w:ascii="宋体" w:hAnsi="宋体" w:cs="宋体"/>
          <w:szCs w:val="21"/>
        </w:rPr>
      </w:pPr>
      <w:bookmarkStart w:id="777" w:name="_Toc506107326"/>
      <w:bookmarkStart w:id="778" w:name="_Toc17377"/>
      <w:bookmarkStart w:id="779" w:name="_Toc35425115"/>
      <w:bookmarkStart w:id="780" w:name="_Toc324404874"/>
      <w:bookmarkStart w:id="781" w:name="_Toc15058915"/>
      <w:bookmarkStart w:id="782" w:name="_Toc35424949"/>
      <w:bookmarkStart w:id="783" w:name="_Toc78803384"/>
      <w:r>
        <w:rPr>
          <w:rFonts w:hint="eastAsia" w:ascii="宋体" w:hAnsi="宋体" w:cs="宋体"/>
          <w:szCs w:val="21"/>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6"/>
        <w:spacing w:before="156" w:beforeLines="50" w:after="156" w:afterLines="50" w:line="400" w:lineRule="exact"/>
        <w:ind w:firstLine="422" w:firstLineChars="200"/>
        <w:rPr>
          <w:rFonts w:ascii="宋体" w:hAnsi="宋体" w:eastAsia="宋体" w:cs="宋体"/>
        </w:rPr>
      </w:pPr>
      <w:r>
        <w:rPr>
          <w:rFonts w:hint="eastAsia" w:ascii="宋体" w:hAnsi="宋体" w:eastAsia="宋体" w:cs="宋体"/>
        </w:rPr>
        <w:t>3.评标程序</w:t>
      </w:r>
      <w:bookmarkEnd w:id="777"/>
      <w:bookmarkEnd w:id="778"/>
      <w:bookmarkEnd w:id="779"/>
      <w:bookmarkEnd w:id="780"/>
      <w:bookmarkEnd w:id="781"/>
      <w:bookmarkEnd w:id="782"/>
      <w:bookmarkEnd w:id="783"/>
    </w:p>
    <w:p>
      <w:pPr>
        <w:spacing w:line="400" w:lineRule="exact"/>
        <w:ind w:firstLine="420" w:firstLineChars="200"/>
        <w:jc w:val="left"/>
        <w:rPr>
          <w:rFonts w:ascii="宋体" w:hAnsi="宋体" w:cs="宋体"/>
          <w:szCs w:val="21"/>
        </w:rPr>
      </w:pPr>
      <w:r>
        <w:rPr>
          <w:rFonts w:hint="eastAsia" w:ascii="宋体" w:hAnsi="宋体" w:cs="宋体"/>
          <w:szCs w:val="21"/>
        </w:rPr>
        <w:t>评标先做准备工作，先进行资信评审，然后进行商务标评审。</w:t>
      </w:r>
    </w:p>
    <w:p>
      <w:pPr>
        <w:pStyle w:val="6"/>
        <w:spacing w:line="400" w:lineRule="exact"/>
        <w:ind w:firstLine="422" w:firstLineChars="200"/>
        <w:rPr>
          <w:rFonts w:ascii="宋体" w:hAnsi="宋体" w:eastAsia="宋体" w:cs="宋体"/>
        </w:rPr>
      </w:pPr>
      <w:bookmarkStart w:id="784" w:name="_Toc35424950"/>
      <w:bookmarkStart w:id="785" w:name="_Toc27389"/>
      <w:bookmarkStart w:id="786" w:name="_Toc35425116"/>
      <w:bookmarkStart w:id="787" w:name="_Toc78803385"/>
      <w:bookmarkStart w:id="788" w:name="_Toc15058916"/>
      <w:r>
        <w:rPr>
          <w:rFonts w:hint="eastAsia" w:ascii="宋体" w:hAnsi="宋体" w:eastAsia="宋体" w:cs="宋体"/>
        </w:rPr>
        <w:t>3.1评标准备工作</w:t>
      </w:r>
      <w:bookmarkEnd w:id="784"/>
      <w:bookmarkEnd w:id="785"/>
      <w:bookmarkEnd w:id="786"/>
      <w:bookmarkEnd w:id="787"/>
      <w:bookmarkEnd w:id="788"/>
    </w:p>
    <w:p>
      <w:pPr>
        <w:spacing w:line="400" w:lineRule="exact"/>
        <w:ind w:firstLine="420" w:firstLineChars="200"/>
        <w:jc w:val="left"/>
        <w:rPr>
          <w:rFonts w:ascii="宋体" w:hAnsi="宋体" w:cs="宋体"/>
          <w:szCs w:val="21"/>
        </w:rPr>
      </w:pPr>
      <w:r>
        <w:rPr>
          <w:rFonts w:hint="eastAsia" w:ascii="宋体" w:hAnsi="宋体" w:cs="宋体"/>
          <w:szCs w:val="21"/>
        </w:rPr>
        <w:t>评标委员会熟悉评标工作情况：</w:t>
      </w:r>
    </w:p>
    <w:p>
      <w:pPr>
        <w:spacing w:line="400" w:lineRule="exact"/>
        <w:ind w:firstLine="420" w:firstLineChars="200"/>
        <w:jc w:val="left"/>
        <w:rPr>
          <w:rFonts w:ascii="宋体" w:hAnsi="宋体" w:cs="宋体"/>
          <w:szCs w:val="21"/>
        </w:rPr>
      </w:pPr>
      <w:r>
        <w:rPr>
          <w:rFonts w:hint="eastAsia" w:ascii="宋体" w:hAnsi="宋体" w:cs="宋体"/>
          <w:szCs w:val="21"/>
        </w:rPr>
        <w:t>（1）阅读由招标人或者其委托的工程代理机构编制的招标项目情况材料。</w:t>
      </w:r>
    </w:p>
    <w:p>
      <w:pPr>
        <w:spacing w:line="400" w:lineRule="exact"/>
        <w:ind w:firstLine="420" w:firstLineChars="200"/>
        <w:jc w:val="left"/>
        <w:rPr>
          <w:rFonts w:ascii="宋体" w:hAnsi="宋体" w:cs="宋体"/>
          <w:szCs w:val="21"/>
        </w:rPr>
      </w:pPr>
      <w:r>
        <w:rPr>
          <w:rFonts w:hint="eastAsia" w:ascii="宋体" w:hAnsi="宋体" w:cs="宋体"/>
          <w:szCs w:val="21"/>
        </w:rPr>
        <w:t>（2）阅读、研究招标文件和相关评标资料，获取评标所需要的重要信息和数据，至少应了解和熟悉以下内容：招标项目的范围和性质，招标文件规定的主要技术要求、标准和商务条款。</w:t>
      </w:r>
    </w:p>
    <w:p>
      <w:pPr>
        <w:spacing w:line="400" w:lineRule="exact"/>
        <w:ind w:firstLine="420" w:firstLineChars="200"/>
        <w:jc w:val="left"/>
        <w:rPr>
          <w:rFonts w:ascii="宋体" w:hAnsi="宋体" w:cs="宋体"/>
          <w:szCs w:val="21"/>
        </w:rPr>
      </w:pPr>
      <w:r>
        <w:rPr>
          <w:rFonts w:hint="eastAsia" w:ascii="宋体" w:hAnsi="宋体" w:cs="宋体"/>
          <w:szCs w:val="21"/>
        </w:rPr>
        <w:t>（3）熟悉招标文件规定的评标标准和评标方法及在评标过程中需要考虑的相关因素。</w:t>
      </w:r>
    </w:p>
    <w:p>
      <w:pPr>
        <w:spacing w:line="400" w:lineRule="exact"/>
        <w:ind w:firstLine="420" w:firstLineChars="200"/>
        <w:jc w:val="left"/>
        <w:rPr>
          <w:rFonts w:ascii="宋体" w:hAnsi="宋体" w:cs="宋体"/>
          <w:szCs w:val="21"/>
        </w:rPr>
      </w:pPr>
      <w:r>
        <w:rPr>
          <w:rFonts w:hint="eastAsia" w:ascii="宋体" w:hAnsi="宋体" w:cs="宋体"/>
          <w:szCs w:val="21"/>
        </w:rPr>
        <w:t>（4）核对评标工作用表。</w:t>
      </w:r>
    </w:p>
    <w:p>
      <w:pPr>
        <w:pStyle w:val="6"/>
        <w:spacing w:line="400" w:lineRule="exact"/>
        <w:ind w:firstLine="422" w:firstLineChars="200"/>
        <w:rPr>
          <w:rFonts w:ascii="宋体" w:hAnsi="宋体" w:eastAsia="宋体" w:cs="宋体"/>
        </w:rPr>
      </w:pPr>
      <w:bookmarkStart w:id="789" w:name="_Toc35425117"/>
      <w:bookmarkStart w:id="790" w:name="_Toc78803386"/>
      <w:bookmarkStart w:id="791" w:name="_Toc15058917"/>
      <w:bookmarkStart w:id="792" w:name="_Toc1299"/>
      <w:bookmarkStart w:id="793" w:name="_Toc24650"/>
      <w:bookmarkStart w:id="794" w:name="_Toc35424951"/>
      <w:bookmarkStart w:id="795" w:name="_Toc15058919"/>
      <w:bookmarkStart w:id="796" w:name="_Toc35424954"/>
      <w:bookmarkStart w:id="797" w:name="_Toc324404875"/>
      <w:bookmarkStart w:id="798" w:name="_Toc12200"/>
      <w:bookmarkStart w:id="799" w:name="_Toc506107327"/>
      <w:bookmarkStart w:id="800" w:name="_Toc35425120"/>
      <w:r>
        <w:rPr>
          <w:rFonts w:hint="eastAsia" w:ascii="宋体" w:hAnsi="宋体" w:eastAsia="宋体" w:cs="宋体"/>
        </w:rPr>
        <w:t>3.2技术标评审</w:t>
      </w:r>
      <w:bookmarkEnd w:id="789"/>
      <w:bookmarkEnd w:id="790"/>
      <w:bookmarkEnd w:id="791"/>
      <w:bookmarkEnd w:id="792"/>
      <w:bookmarkEnd w:id="793"/>
      <w:bookmarkEnd w:id="794"/>
      <w:r>
        <w:rPr>
          <w:rFonts w:hint="eastAsia" w:ascii="宋体" w:hAnsi="宋体" w:eastAsia="宋体" w:cs="宋体"/>
        </w:rPr>
        <w:t xml:space="preserve"> </w:t>
      </w:r>
    </w:p>
    <w:p>
      <w:pPr>
        <w:spacing w:line="400" w:lineRule="exact"/>
        <w:ind w:firstLine="420" w:firstLineChars="200"/>
        <w:rPr>
          <w:rFonts w:ascii="宋体" w:hAnsi="宋体" w:cs="宋体"/>
          <w:szCs w:val="21"/>
        </w:rPr>
      </w:pPr>
      <w:r>
        <w:rPr>
          <w:rFonts w:hint="eastAsia" w:ascii="宋体" w:hAnsi="宋体" w:cs="宋体"/>
          <w:szCs w:val="21"/>
        </w:rPr>
        <w:t>详见技术标评审表。</w:t>
      </w:r>
    </w:p>
    <w:p>
      <w:pPr>
        <w:pStyle w:val="6"/>
        <w:spacing w:line="400" w:lineRule="exact"/>
        <w:ind w:firstLine="422" w:firstLineChars="200"/>
        <w:rPr>
          <w:rFonts w:ascii="宋体" w:hAnsi="宋体" w:eastAsia="宋体" w:cs="宋体"/>
        </w:rPr>
      </w:pPr>
      <w:bookmarkStart w:id="801" w:name="_Toc35425118"/>
      <w:bookmarkStart w:id="802" w:name="_Toc11990"/>
      <w:bookmarkStart w:id="803" w:name="_Toc35424952"/>
      <w:bookmarkStart w:id="804" w:name="_Toc17468"/>
      <w:bookmarkStart w:id="805" w:name="_Toc15058918"/>
      <w:bookmarkStart w:id="806" w:name="_Toc78803387"/>
      <w:r>
        <w:rPr>
          <w:rFonts w:hint="eastAsia" w:ascii="宋体" w:hAnsi="宋体" w:eastAsia="宋体" w:cs="宋体"/>
        </w:rPr>
        <w:t>3.3商务标评审</w:t>
      </w:r>
      <w:bookmarkEnd w:id="801"/>
      <w:bookmarkEnd w:id="802"/>
      <w:bookmarkEnd w:id="803"/>
      <w:bookmarkEnd w:id="804"/>
      <w:bookmarkEnd w:id="805"/>
      <w:bookmarkEnd w:id="806"/>
    </w:p>
    <w:p>
      <w:pPr>
        <w:spacing w:line="400" w:lineRule="exact"/>
        <w:ind w:firstLine="420" w:firstLineChars="200"/>
        <w:rPr>
          <w:rFonts w:ascii="宋体" w:hAnsi="宋体" w:cs="宋体"/>
          <w:szCs w:val="21"/>
        </w:rPr>
      </w:pPr>
      <w:r>
        <w:rPr>
          <w:rFonts w:hint="eastAsia" w:ascii="宋体" w:hAnsi="宋体" w:cs="宋体"/>
          <w:szCs w:val="21"/>
        </w:rPr>
        <w:t>详见商务标评审表。</w:t>
      </w:r>
    </w:p>
    <w:p>
      <w:pPr>
        <w:spacing w:line="400" w:lineRule="exact"/>
        <w:ind w:firstLine="422" w:firstLineChars="200"/>
        <w:jc w:val="left"/>
        <w:rPr>
          <w:rStyle w:val="198"/>
          <w:rFonts w:ascii="宋体" w:hAnsi="宋体" w:eastAsia="宋体" w:cs="宋体"/>
        </w:rPr>
      </w:pPr>
      <w:bookmarkStart w:id="807" w:name="_Toc26895"/>
      <w:bookmarkStart w:id="808" w:name="_Toc35425119"/>
      <w:bookmarkStart w:id="809" w:name="_Toc35424953"/>
      <w:bookmarkStart w:id="810" w:name="_Toc18087"/>
      <w:bookmarkStart w:id="811" w:name="_Toc78803388"/>
      <w:r>
        <w:rPr>
          <w:rStyle w:val="198"/>
          <w:rFonts w:hint="eastAsia" w:ascii="宋体" w:hAnsi="宋体" w:eastAsia="宋体" w:cs="宋体"/>
        </w:rPr>
        <w:t>3.4推荐中标候选人</w:t>
      </w:r>
      <w:bookmarkEnd w:id="807"/>
      <w:bookmarkEnd w:id="808"/>
      <w:bookmarkEnd w:id="809"/>
      <w:bookmarkEnd w:id="810"/>
      <w:bookmarkEnd w:id="811"/>
    </w:p>
    <w:p>
      <w:pPr>
        <w:spacing w:line="400" w:lineRule="exact"/>
        <w:ind w:firstLine="420" w:firstLineChars="200"/>
        <w:jc w:val="left"/>
        <w:rPr>
          <w:rFonts w:ascii="宋体" w:hAnsi="宋体" w:cs="宋体"/>
          <w:szCs w:val="21"/>
        </w:rPr>
      </w:pPr>
      <w:r>
        <w:rPr>
          <w:rFonts w:hint="eastAsia" w:ascii="宋体" w:hAnsi="宋体" w:cs="宋体"/>
          <w:szCs w:val="21"/>
        </w:rPr>
        <w:t>资信评审、技术标、商务标评审后，推荐</w:t>
      </w:r>
      <w:r>
        <w:rPr>
          <w:rFonts w:hint="eastAsia" w:ascii="宋体" w:hAnsi="宋体" w:cs="宋体"/>
          <w:szCs w:val="21"/>
          <w:u w:val="single"/>
        </w:rPr>
        <w:t>3</w:t>
      </w:r>
      <w:r>
        <w:rPr>
          <w:rFonts w:hint="eastAsia" w:ascii="宋体" w:hAnsi="宋体" w:cs="宋体"/>
          <w:szCs w:val="21"/>
        </w:rPr>
        <w:t>名中标候选人，并标明排序。</w:t>
      </w:r>
    </w:p>
    <w:p>
      <w:pPr>
        <w:pStyle w:val="6"/>
        <w:spacing w:before="156" w:beforeLines="50" w:after="156" w:afterLines="50" w:line="400" w:lineRule="exact"/>
        <w:ind w:firstLine="422" w:firstLineChars="200"/>
        <w:rPr>
          <w:rFonts w:ascii="宋体" w:hAnsi="宋体" w:eastAsia="宋体" w:cs="宋体"/>
        </w:rPr>
      </w:pPr>
      <w:bookmarkStart w:id="812" w:name="_Toc78803389"/>
      <w:r>
        <w:rPr>
          <w:rFonts w:hint="eastAsia" w:ascii="宋体" w:hAnsi="宋体" w:eastAsia="宋体" w:cs="宋体"/>
        </w:rPr>
        <w:t>4.评审内容</w:t>
      </w:r>
      <w:bookmarkEnd w:id="795"/>
      <w:bookmarkEnd w:id="796"/>
      <w:bookmarkEnd w:id="797"/>
      <w:bookmarkEnd w:id="798"/>
      <w:bookmarkEnd w:id="799"/>
      <w:bookmarkEnd w:id="800"/>
      <w:bookmarkEnd w:id="812"/>
    </w:p>
    <w:p>
      <w:pPr>
        <w:pStyle w:val="6"/>
        <w:spacing w:line="400" w:lineRule="exact"/>
        <w:ind w:firstLine="422" w:firstLineChars="200"/>
        <w:rPr>
          <w:rFonts w:ascii="宋体" w:hAnsi="宋体" w:eastAsia="宋体" w:cs="宋体"/>
        </w:rPr>
      </w:pPr>
      <w:bookmarkStart w:id="813" w:name="_Toc9630"/>
      <w:bookmarkStart w:id="814" w:name="_Toc78803390"/>
      <w:r>
        <w:rPr>
          <w:rFonts w:hint="eastAsia" w:ascii="宋体" w:hAnsi="宋体" w:eastAsia="宋体" w:cs="宋体"/>
        </w:rPr>
        <w:t>4.1</w:t>
      </w:r>
      <w:bookmarkEnd w:id="813"/>
      <w:bookmarkEnd w:id="814"/>
      <w:bookmarkStart w:id="815" w:name="_Toc3531"/>
      <w:bookmarkStart w:id="816" w:name="_Toc35425122"/>
      <w:bookmarkStart w:id="817" w:name="_Toc78803391"/>
      <w:bookmarkStart w:id="818" w:name="_Toc35424956"/>
      <w:bookmarkStart w:id="819" w:name="_Toc15058921"/>
      <w:bookmarkStart w:id="820" w:name="_Toc324404876"/>
      <w:r>
        <w:rPr>
          <w:rFonts w:hint="eastAsia" w:ascii="宋体" w:hAnsi="宋体" w:eastAsia="宋体" w:cs="宋体"/>
        </w:rPr>
        <w:t>商务标评审</w:t>
      </w:r>
      <w:bookmarkEnd w:id="815"/>
      <w:bookmarkEnd w:id="816"/>
      <w:bookmarkEnd w:id="817"/>
      <w:bookmarkEnd w:id="818"/>
      <w:bookmarkEnd w:id="819"/>
    </w:p>
    <w:p>
      <w:pPr>
        <w:spacing w:line="400" w:lineRule="exact"/>
        <w:ind w:firstLine="420" w:firstLineChars="200"/>
        <w:jc w:val="left"/>
        <w:rPr>
          <w:rFonts w:ascii="宋体" w:hAnsi="宋体" w:cs="宋体"/>
        </w:rPr>
      </w:pPr>
      <w:r>
        <w:rPr>
          <w:rFonts w:hint="eastAsia" w:ascii="宋体" w:hAnsi="宋体" w:cs="宋体"/>
        </w:rPr>
        <w:t>只有通过资信标、技术标评审的投标才能够进入本阶段评审。</w:t>
      </w:r>
    </w:p>
    <w:p>
      <w:pPr>
        <w:spacing w:line="400" w:lineRule="exact"/>
        <w:ind w:firstLine="420" w:firstLineChars="200"/>
        <w:jc w:val="left"/>
        <w:rPr>
          <w:rFonts w:ascii="宋体" w:hAnsi="宋体" w:cs="宋体"/>
        </w:rPr>
      </w:pPr>
      <w:r>
        <w:rPr>
          <w:rFonts w:hint="eastAsia" w:ascii="宋体" w:hAnsi="宋体" w:cs="宋体"/>
        </w:rPr>
        <w:t>4.1.1形式性评审标准：见商务标评审表。</w:t>
      </w:r>
    </w:p>
    <w:p>
      <w:pPr>
        <w:spacing w:line="400" w:lineRule="exact"/>
        <w:ind w:firstLine="420" w:firstLineChars="200"/>
        <w:jc w:val="left"/>
        <w:rPr>
          <w:rFonts w:ascii="宋体" w:hAnsi="宋体" w:cs="宋体"/>
        </w:rPr>
      </w:pPr>
      <w:r>
        <w:rPr>
          <w:rFonts w:hint="eastAsia" w:ascii="宋体" w:hAnsi="宋体" w:cs="宋体"/>
        </w:rPr>
        <w:t>4.1.2响应性评审标准：见商务标评审表。</w:t>
      </w:r>
    </w:p>
    <w:p>
      <w:pPr>
        <w:spacing w:line="400" w:lineRule="exact"/>
        <w:ind w:firstLine="420" w:firstLineChars="200"/>
        <w:jc w:val="left"/>
        <w:rPr>
          <w:rFonts w:ascii="宋体" w:hAnsi="宋体" w:cs="宋体"/>
        </w:rPr>
      </w:pPr>
      <w:r>
        <w:rPr>
          <w:rFonts w:hint="eastAsia" w:ascii="宋体" w:hAnsi="宋体" w:cs="宋体"/>
        </w:rPr>
        <w:t>评标委员会依据上述标准对投标文件进行初步评审。有一项不符合评审标准的，作无效投标处理。</w:t>
      </w:r>
    </w:p>
    <w:p>
      <w:pPr>
        <w:pStyle w:val="2"/>
        <w:spacing w:line="440" w:lineRule="exact"/>
        <w:ind w:left="0" w:leftChars="0" w:firstLine="420"/>
        <w:rPr>
          <w:rFonts w:hAnsi="宋体" w:cs="宋体"/>
        </w:rPr>
      </w:pPr>
      <w:bookmarkStart w:id="821" w:name="_Toc78803392"/>
      <w:bookmarkStart w:id="822" w:name="_Toc13125"/>
      <w:bookmarkStart w:id="823" w:name="_Toc35425123"/>
      <w:bookmarkStart w:id="824" w:name="_Toc506107328"/>
      <w:bookmarkStart w:id="825" w:name="_Toc35424957"/>
      <w:bookmarkStart w:id="826" w:name="_Toc15058922"/>
      <w:r>
        <w:rPr>
          <w:rFonts w:hint="eastAsia" w:hAnsi="宋体" w:cs="宋体"/>
          <w:szCs w:val="21"/>
        </w:rPr>
        <w:t>4.2.3</w:t>
      </w:r>
      <w:r>
        <w:rPr>
          <w:rFonts w:hint="eastAsia" w:hAnsi="宋体" w:cs="宋体"/>
        </w:rPr>
        <w:t>投标文件中的大写金额与小写金额不一致的，以大写金额为准。</w:t>
      </w:r>
    </w:p>
    <w:p>
      <w:pPr>
        <w:pStyle w:val="6"/>
        <w:spacing w:before="156" w:beforeLines="50" w:after="156" w:afterLines="50" w:line="400" w:lineRule="exact"/>
        <w:ind w:firstLine="422" w:firstLineChars="200"/>
        <w:rPr>
          <w:rFonts w:ascii="宋体" w:hAnsi="宋体" w:eastAsia="宋体" w:cs="宋体"/>
        </w:rPr>
      </w:pPr>
      <w:r>
        <w:rPr>
          <w:rFonts w:hint="eastAsia" w:ascii="宋体" w:hAnsi="宋体" w:eastAsia="宋体" w:cs="宋体"/>
        </w:rPr>
        <w:t>5.无效投标条款</w:t>
      </w:r>
      <w:bookmarkEnd w:id="820"/>
      <w:bookmarkEnd w:id="821"/>
      <w:bookmarkEnd w:id="822"/>
      <w:bookmarkEnd w:id="823"/>
      <w:bookmarkEnd w:id="824"/>
      <w:bookmarkEnd w:id="825"/>
      <w:bookmarkEnd w:id="826"/>
    </w:p>
    <w:p>
      <w:pPr>
        <w:spacing w:line="400" w:lineRule="exact"/>
        <w:ind w:firstLine="420" w:firstLineChars="200"/>
        <w:jc w:val="left"/>
        <w:rPr>
          <w:rFonts w:ascii="宋体" w:hAnsi="宋体" w:cs="宋体"/>
          <w:szCs w:val="21"/>
        </w:rPr>
      </w:pPr>
      <w:r>
        <w:rPr>
          <w:rFonts w:hint="eastAsia" w:ascii="宋体" w:hAnsi="宋体" w:cs="宋体"/>
          <w:szCs w:val="21"/>
        </w:rPr>
        <w:t>5.1投标人存在下列情形的的招标人将拒收投标文件：</w:t>
      </w:r>
    </w:p>
    <w:p>
      <w:pPr>
        <w:spacing w:line="400" w:lineRule="exact"/>
        <w:ind w:firstLine="420" w:firstLineChars="200"/>
        <w:jc w:val="left"/>
        <w:rPr>
          <w:rFonts w:ascii="宋体" w:hAnsi="宋体" w:cs="宋体"/>
          <w:szCs w:val="21"/>
        </w:rPr>
      </w:pPr>
      <w:r>
        <w:rPr>
          <w:rFonts w:hint="eastAsia" w:ascii="宋体" w:hAnsi="宋体" w:cs="宋体"/>
          <w:szCs w:val="21"/>
        </w:rPr>
        <w:t>（1）未在投标截止时间前通过邮箱递交有效电子投标文件的，投标将被拒绝。</w:t>
      </w:r>
    </w:p>
    <w:p>
      <w:pPr>
        <w:spacing w:line="400" w:lineRule="exact"/>
        <w:ind w:firstLine="420" w:firstLineChars="200"/>
        <w:jc w:val="left"/>
        <w:rPr>
          <w:rFonts w:ascii="宋体" w:hAnsi="宋体" w:cs="宋体"/>
          <w:szCs w:val="21"/>
        </w:rPr>
      </w:pPr>
      <w:r>
        <w:rPr>
          <w:rFonts w:hint="eastAsia" w:ascii="宋体" w:hAnsi="宋体" w:cs="宋体"/>
          <w:szCs w:val="21"/>
        </w:rPr>
        <w:t>5.2投标人有下列情形的，经评审后其投标作无效投标处理：</w:t>
      </w:r>
    </w:p>
    <w:p>
      <w:pPr>
        <w:spacing w:line="400" w:lineRule="exact"/>
        <w:ind w:firstLine="420" w:firstLineChars="200"/>
        <w:jc w:val="left"/>
        <w:rPr>
          <w:rFonts w:ascii="宋体" w:hAnsi="宋体" w:cs="宋体"/>
          <w:szCs w:val="21"/>
        </w:rPr>
      </w:pPr>
      <w:r>
        <w:rPr>
          <w:rFonts w:hint="eastAsia" w:ascii="宋体" w:hAnsi="宋体" w:cs="宋体"/>
          <w:szCs w:val="21"/>
        </w:rPr>
        <w:t>5.2.1商标评审</w:t>
      </w:r>
    </w:p>
    <w:p>
      <w:pPr>
        <w:spacing w:line="400" w:lineRule="exact"/>
        <w:ind w:firstLine="420" w:firstLineChars="200"/>
        <w:jc w:val="left"/>
        <w:rPr>
          <w:rFonts w:ascii="宋体" w:hAnsi="宋体" w:cs="宋体"/>
          <w:szCs w:val="21"/>
        </w:rPr>
      </w:pPr>
      <w:r>
        <w:rPr>
          <w:rFonts w:hint="eastAsia" w:ascii="宋体" w:hAnsi="宋体" w:cs="宋体"/>
          <w:szCs w:val="21"/>
        </w:rPr>
        <w:t>（1）评标委员会依据《商务标评审表》进行形式性评审和响应性评审。有一项不符合评审标准的，做无效投标处理；</w:t>
      </w:r>
    </w:p>
    <w:p>
      <w:pPr>
        <w:spacing w:line="400" w:lineRule="exact"/>
        <w:ind w:firstLine="420" w:firstLineChars="200"/>
        <w:jc w:val="left"/>
        <w:rPr>
          <w:rFonts w:ascii="宋体" w:hAnsi="宋体" w:cs="宋体"/>
          <w:szCs w:val="21"/>
        </w:rPr>
      </w:pPr>
      <w:r>
        <w:rPr>
          <w:rFonts w:hint="eastAsia" w:ascii="宋体" w:hAnsi="宋体" w:cs="宋体"/>
          <w:szCs w:val="21"/>
        </w:rPr>
        <w:t>（2）商务标详细评审标准中有任何一项不能通过评审的，作无效投标处理。</w:t>
      </w:r>
    </w:p>
    <w:p>
      <w:pPr>
        <w:spacing w:line="400" w:lineRule="exact"/>
        <w:ind w:firstLine="420" w:firstLineChars="200"/>
        <w:jc w:val="left"/>
        <w:rPr>
          <w:rFonts w:ascii="宋体" w:hAnsi="宋体" w:cs="宋体"/>
          <w:szCs w:val="21"/>
        </w:rPr>
      </w:pPr>
      <w:r>
        <w:rPr>
          <w:rFonts w:hint="eastAsia" w:ascii="宋体" w:hAnsi="宋体" w:cs="宋体"/>
          <w:szCs w:val="21"/>
        </w:rPr>
        <w:t>5.3其他无效投标情况：</w:t>
      </w:r>
    </w:p>
    <w:p>
      <w:pPr>
        <w:spacing w:line="400" w:lineRule="exact"/>
        <w:ind w:firstLine="420" w:firstLineChars="200"/>
        <w:jc w:val="left"/>
        <w:rPr>
          <w:rFonts w:ascii="宋体" w:hAnsi="宋体" w:cs="宋体"/>
          <w:szCs w:val="21"/>
        </w:rPr>
      </w:pPr>
      <w:r>
        <w:rPr>
          <w:rFonts w:hint="eastAsia" w:ascii="宋体" w:hAnsi="宋体" w:cs="宋体"/>
          <w:szCs w:val="21"/>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spacing w:line="400" w:lineRule="exact"/>
        <w:ind w:firstLine="420" w:firstLineChars="200"/>
        <w:jc w:val="left"/>
        <w:rPr>
          <w:rFonts w:ascii="宋体" w:hAnsi="宋体" w:cs="宋体"/>
          <w:szCs w:val="21"/>
        </w:rPr>
      </w:pPr>
      <w:r>
        <w:rPr>
          <w:rFonts w:hint="eastAsia" w:ascii="宋体" w:hAnsi="宋体" w:cs="宋体"/>
          <w:szCs w:val="21"/>
        </w:rPr>
        <w:t>（2）按第三章《评标方法》4.1.4条款修正错误的原则及方法调整或修正投标文件的投标报价，调整或修正的价格经投标人书面确认后具有约束力。投标人不接修正价格的，其投标将被拒绝。</w:t>
      </w:r>
    </w:p>
    <w:p>
      <w:pPr>
        <w:spacing w:line="400" w:lineRule="exact"/>
        <w:ind w:firstLine="420" w:firstLineChars="200"/>
        <w:jc w:val="left"/>
        <w:rPr>
          <w:rFonts w:ascii="宋体" w:hAnsi="宋体" w:cs="宋体"/>
          <w:szCs w:val="21"/>
        </w:rPr>
      </w:pPr>
      <w:r>
        <w:rPr>
          <w:rFonts w:hint="eastAsia" w:ascii="宋体" w:hAnsi="宋体" w:cs="宋体"/>
          <w:szCs w:val="21"/>
        </w:rPr>
        <w:t>（3）投标人有串通投标、视为串通投标、弄虚作假、行贿等违法行为。</w:t>
      </w:r>
    </w:p>
    <w:p>
      <w:pPr>
        <w:spacing w:line="400" w:lineRule="exact"/>
        <w:ind w:firstLine="420" w:firstLineChars="200"/>
        <w:jc w:val="left"/>
        <w:rPr>
          <w:rFonts w:ascii="宋体" w:hAnsi="宋体" w:cs="宋体"/>
          <w:szCs w:val="21"/>
        </w:rPr>
      </w:pPr>
      <w:r>
        <w:rPr>
          <w:rFonts w:hint="eastAsia" w:ascii="宋体" w:hAnsi="宋体" w:cs="宋体"/>
          <w:szCs w:val="21"/>
        </w:rPr>
        <w:t>（4）投标文件没有对招标文件的实质性要求和条件作出响应。</w:t>
      </w:r>
    </w:p>
    <w:p>
      <w:pPr>
        <w:spacing w:line="400" w:lineRule="exact"/>
        <w:ind w:firstLine="420" w:firstLineChars="200"/>
        <w:jc w:val="left"/>
        <w:rPr>
          <w:rFonts w:ascii="宋体" w:hAnsi="宋体" w:cs="宋体"/>
          <w:szCs w:val="21"/>
        </w:rPr>
      </w:pPr>
      <w:r>
        <w:rPr>
          <w:rFonts w:hint="eastAsia" w:ascii="宋体" w:hAnsi="宋体" w:cs="宋体"/>
          <w:szCs w:val="21"/>
        </w:rPr>
        <w:t>（5）未按规定的格式填写导致实质性内容不全以及实质上不响应，或者关键字迹模糊、无法辨认的。</w:t>
      </w:r>
    </w:p>
    <w:p>
      <w:pPr>
        <w:spacing w:line="400" w:lineRule="exact"/>
        <w:ind w:firstLine="420" w:firstLineChars="200"/>
        <w:jc w:val="left"/>
        <w:rPr>
          <w:rFonts w:ascii="宋体" w:hAnsi="宋体" w:cs="宋体"/>
          <w:szCs w:val="21"/>
        </w:rPr>
      </w:pPr>
      <w:r>
        <w:rPr>
          <w:rFonts w:hint="eastAsia" w:ascii="宋体" w:hAnsi="宋体" w:cs="宋体"/>
          <w:szCs w:val="21"/>
        </w:rPr>
        <w:t>（6）同一投标人提交两个以上不同的投标文件或者投标报价，但招标文件规定提交备选投标的除外。</w:t>
      </w:r>
    </w:p>
    <w:p>
      <w:pPr>
        <w:spacing w:line="400" w:lineRule="exact"/>
        <w:ind w:firstLine="420" w:firstLineChars="200"/>
        <w:jc w:val="left"/>
        <w:rPr>
          <w:rFonts w:ascii="宋体" w:hAnsi="宋体" w:cs="宋体"/>
          <w:szCs w:val="21"/>
        </w:rPr>
      </w:pPr>
      <w:r>
        <w:rPr>
          <w:rFonts w:hint="eastAsia" w:ascii="宋体" w:hAnsi="宋体" w:cs="宋体"/>
          <w:szCs w:val="21"/>
        </w:rPr>
        <w:t>（7）投标文件中存在招标人不能接受的其他实质性条件。</w:t>
      </w:r>
    </w:p>
    <w:p>
      <w:pPr>
        <w:spacing w:line="400" w:lineRule="exact"/>
        <w:ind w:firstLine="420" w:firstLineChars="200"/>
        <w:jc w:val="left"/>
        <w:rPr>
          <w:rFonts w:ascii="宋体" w:hAnsi="宋体" w:cs="宋体"/>
          <w:szCs w:val="21"/>
        </w:rPr>
      </w:pPr>
      <w:r>
        <w:rPr>
          <w:rFonts w:hint="eastAsia" w:ascii="宋体" w:hAnsi="宋体" w:cs="宋体"/>
          <w:szCs w:val="21"/>
        </w:rPr>
        <w:t>（8）投标文件中填报的拟任项目经理（建造师）与资格审查通过的项目经理（建造师）前后不一致的。</w:t>
      </w:r>
    </w:p>
    <w:p>
      <w:pPr>
        <w:spacing w:line="400" w:lineRule="exact"/>
        <w:ind w:firstLine="420" w:firstLineChars="200"/>
        <w:jc w:val="left"/>
        <w:rPr>
          <w:rFonts w:ascii="宋体" w:hAnsi="宋体" w:cs="宋体"/>
          <w:szCs w:val="21"/>
        </w:rPr>
      </w:pPr>
      <w:r>
        <w:rPr>
          <w:rFonts w:hint="eastAsia" w:ascii="宋体" w:hAnsi="宋体" w:cs="宋体"/>
          <w:szCs w:val="21"/>
        </w:rPr>
        <w:t>（9）投标人拒不按照要求对投标文件进行澄清、说明、补正的，或评标委员会根据招标文件的规定对招标文件的计算错误进行修正后，投标人不接受修正的投标报价的。</w:t>
      </w:r>
    </w:p>
    <w:p>
      <w:pPr>
        <w:spacing w:line="400" w:lineRule="exact"/>
        <w:ind w:firstLine="420" w:firstLineChars="200"/>
        <w:jc w:val="left"/>
        <w:rPr>
          <w:rFonts w:ascii="宋体" w:hAnsi="宋体" w:cs="宋体"/>
          <w:szCs w:val="21"/>
        </w:rPr>
      </w:pPr>
      <w:r>
        <w:rPr>
          <w:rFonts w:hint="eastAsia" w:ascii="宋体" w:hAnsi="宋体" w:cs="宋体"/>
          <w:szCs w:val="21"/>
        </w:rPr>
        <w:t>（10）投标人单方面出现其他投标人材料。</w:t>
      </w:r>
    </w:p>
    <w:p>
      <w:pPr>
        <w:spacing w:line="400" w:lineRule="exact"/>
        <w:ind w:firstLine="420" w:firstLineChars="200"/>
        <w:jc w:val="left"/>
        <w:rPr>
          <w:rFonts w:ascii="宋体" w:hAnsi="宋体" w:cs="宋体"/>
          <w:szCs w:val="21"/>
        </w:rPr>
      </w:pPr>
      <w:r>
        <w:rPr>
          <w:rFonts w:hint="eastAsia" w:ascii="宋体" w:hAnsi="宋体" w:cs="宋体"/>
          <w:szCs w:val="21"/>
        </w:rPr>
        <w:t>（11）投标人联系人或联系电话相同的。</w:t>
      </w:r>
    </w:p>
    <w:p>
      <w:pPr>
        <w:spacing w:line="400" w:lineRule="exact"/>
        <w:ind w:firstLine="420" w:firstLineChars="200"/>
        <w:jc w:val="left"/>
        <w:rPr>
          <w:rFonts w:ascii="宋体" w:hAnsi="宋体" w:cs="宋体"/>
          <w:szCs w:val="21"/>
        </w:rPr>
      </w:pPr>
      <w:r>
        <w:rPr>
          <w:rFonts w:hint="eastAsia" w:ascii="宋体" w:hAnsi="宋体" w:cs="宋体"/>
          <w:szCs w:val="21"/>
        </w:rPr>
        <w:t>（12）法律、法规规定的其他情形。</w:t>
      </w:r>
    </w:p>
    <w:p>
      <w:pPr>
        <w:pStyle w:val="6"/>
        <w:spacing w:before="156" w:beforeLines="50" w:after="156" w:afterLines="50" w:line="400" w:lineRule="exact"/>
        <w:ind w:firstLine="422" w:firstLineChars="200"/>
        <w:rPr>
          <w:rFonts w:ascii="宋体" w:hAnsi="宋体" w:eastAsia="宋体" w:cs="宋体"/>
        </w:rPr>
      </w:pPr>
      <w:bookmarkStart w:id="827" w:name="_Toc35424958"/>
      <w:bookmarkStart w:id="828" w:name="_Toc27846"/>
      <w:bookmarkStart w:id="829" w:name="_Toc324404877"/>
      <w:bookmarkStart w:id="830" w:name="_Toc78803393"/>
      <w:bookmarkStart w:id="831" w:name="_Toc15058923"/>
      <w:bookmarkStart w:id="832" w:name="_Toc35425124"/>
      <w:bookmarkStart w:id="833" w:name="_Toc506107329"/>
      <w:r>
        <w:rPr>
          <w:rFonts w:hint="eastAsia" w:ascii="宋体" w:hAnsi="宋体" w:eastAsia="宋体" w:cs="宋体"/>
        </w:rPr>
        <w:t>6.投标文件的澄清和补正</w:t>
      </w:r>
      <w:bookmarkEnd w:id="827"/>
      <w:bookmarkEnd w:id="828"/>
      <w:bookmarkEnd w:id="829"/>
      <w:bookmarkEnd w:id="830"/>
      <w:bookmarkEnd w:id="831"/>
      <w:bookmarkEnd w:id="832"/>
      <w:bookmarkEnd w:id="833"/>
    </w:p>
    <w:p>
      <w:pPr>
        <w:spacing w:line="400" w:lineRule="exact"/>
        <w:ind w:firstLine="420" w:firstLineChars="200"/>
        <w:jc w:val="left"/>
        <w:rPr>
          <w:rFonts w:ascii="宋体" w:hAnsi="宋体" w:cs="宋体"/>
          <w:szCs w:val="21"/>
        </w:rPr>
      </w:pPr>
      <w:r>
        <w:rPr>
          <w:rFonts w:hint="eastAsia" w:ascii="宋体" w:hAnsi="宋体" w:cs="宋体"/>
          <w:szCs w:val="21"/>
        </w:rPr>
        <w:t>6.1在评标过程中，评标委员会可以要求投标人对所提交的投标文件中不明确的内容进行书面澄清或说明，或者对细微偏差进行补正。评标委员会不接受投标人主动提出的澄清、说明或补正。</w:t>
      </w:r>
    </w:p>
    <w:p>
      <w:pPr>
        <w:spacing w:line="400" w:lineRule="exact"/>
        <w:ind w:firstLine="420" w:firstLineChars="200"/>
        <w:jc w:val="left"/>
        <w:rPr>
          <w:rFonts w:ascii="宋体" w:hAnsi="宋体" w:cs="宋体"/>
          <w:szCs w:val="21"/>
        </w:rPr>
      </w:pPr>
      <w:r>
        <w:rPr>
          <w:rFonts w:hint="eastAsia" w:ascii="宋体" w:hAnsi="宋体" w:cs="宋体"/>
          <w:szCs w:val="21"/>
        </w:rPr>
        <w:t>6.2澄清、说明和补正不得改变投标文件的实质性内容（算术性错误修正的除外）。投标人的书面澄清、说明和补正属于投标文件的组成部分。</w:t>
      </w:r>
    </w:p>
    <w:p>
      <w:pPr>
        <w:spacing w:line="400" w:lineRule="exact"/>
        <w:ind w:firstLine="420" w:firstLineChars="200"/>
        <w:jc w:val="left"/>
        <w:rPr>
          <w:rFonts w:ascii="宋体" w:hAnsi="宋体" w:cs="宋体"/>
          <w:szCs w:val="21"/>
        </w:rPr>
      </w:pPr>
      <w:r>
        <w:rPr>
          <w:rFonts w:hint="eastAsia" w:ascii="宋体" w:hAnsi="宋体" w:cs="宋体"/>
          <w:szCs w:val="21"/>
        </w:rPr>
        <w:t>6.3评标委员会对投标人提交的澄清、说明和补正有疑问的，可以要求投标人进一步澄清、说明或补正、直至满足评标委员会的要求。</w:t>
      </w:r>
    </w:p>
    <w:p>
      <w:pPr>
        <w:spacing w:line="400" w:lineRule="exact"/>
        <w:ind w:firstLine="420" w:firstLineChars="200"/>
        <w:jc w:val="left"/>
        <w:rPr>
          <w:rFonts w:ascii="宋体" w:hAnsi="宋体" w:cs="宋体"/>
          <w:szCs w:val="21"/>
        </w:rPr>
      </w:pPr>
      <w:r>
        <w:rPr>
          <w:rFonts w:hint="eastAsia" w:ascii="宋体" w:hAnsi="宋体" w:cs="宋体"/>
          <w:szCs w:val="21"/>
        </w:rPr>
        <w:t>按照投标文件规定进行澄清、补正后的投标报价经投标人的法定代表人或其委托代理人确认后即为该投标人的最终投标报价。投标人一旦中标，此报价即为中标价。</w:t>
      </w:r>
    </w:p>
    <w:p>
      <w:pPr>
        <w:pStyle w:val="6"/>
        <w:spacing w:before="156" w:beforeLines="50" w:after="156" w:afterLines="50" w:line="400" w:lineRule="exact"/>
        <w:ind w:firstLine="422" w:firstLineChars="200"/>
        <w:rPr>
          <w:rFonts w:ascii="宋体" w:hAnsi="宋体" w:eastAsia="宋体" w:cs="宋体"/>
        </w:rPr>
      </w:pPr>
      <w:bookmarkStart w:id="834" w:name="_Toc15058924"/>
      <w:bookmarkStart w:id="835" w:name="_Toc324404878"/>
      <w:bookmarkStart w:id="836" w:name="_Toc35424959"/>
      <w:bookmarkStart w:id="837" w:name="_Toc506107330"/>
      <w:bookmarkStart w:id="838" w:name="_Toc35425125"/>
      <w:bookmarkStart w:id="839" w:name="_Toc13990"/>
      <w:bookmarkStart w:id="840" w:name="_Toc78803394"/>
      <w:r>
        <w:rPr>
          <w:rFonts w:hint="eastAsia" w:ascii="宋体" w:hAnsi="宋体" w:eastAsia="宋体" w:cs="宋体"/>
        </w:rPr>
        <w:t>7.评分标准</w:t>
      </w:r>
      <w:bookmarkEnd w:id="834"/>
      <w:bookmarkEnd w:id="835"/>
      <w:bookmarkEnd w:id="836"/>
      <w:bookmarkEnd w:id="837"/>
      <w:bookmarkEnd w:id="838"/>
      <w:bookmarkEnd w:id="839"/>
      <w:bookmarkEnd w:id="840"/>
    </w:p>
    <w:p>
      <w:pPr>
        <w:spacing w:line="440" w:lineRule="exact"/>
        <w:ind w:firstLine="420" w:firstLineChars="200"/>
        <w:jc w:val="left"/>
        <w:rPr>
          <w:rFonts w:ascii="宋体" w:hAnsi="宋体" w:cs="宋体"/>
          <w:szCs w:val="21"/>
        </w:rPr>
      </w:pPr>
      <w:bookmarkStart w:id="841" w:name="_Toc324404879"/>
      <w:bookmarkStart w:id="842" w:name="_Toc78803395"/>
      <w:bookmarkStart w:id="843" w:name="_Toc506107331"/>
      <w:bookmarkStart w:id="844" w:name="_Toc35424960"/>
      <w:bookmarkStart w:id="845" w:name="_Toc15058925"/>
      <w:bookmarkStart w:id="846" w:name="_Toc35425126"/>
      <w:bookmarkStart w:id="847" w:name="_Toc22863"/>
      <w:r>
        <w:rPr>
          <w:rFonts w:hint="eastAsia" w:ascii="宋体" w:hAnsi="宋体" w:cs="宋体"/>
          <w:szCs w:val="21"/>
        </w:rPr>
        <w:t>商务标评分标准：见商务标评审表。</w:t>
      </w:r>
    </w:p>
    <w:p>
      <w:pPr>
        <w:spacing w:line="440" w:lineRule="exact"/>
        <w:ind w:firstLine="420" w:firstLineChars="200"/>
        <w:jc w:val="left"/>
        <w:rPr>
          <w:rFonts w:ascii="宋体" w:hAnsi="宋体" w:cs="宋体"/>
          <w:szCs w:val="21"/>
        </w:rPr>
      </w:pPr>
      <w:r>
        <w:rPr>
          <w:rFonts w:hint="eastAsia" w:ascii="宋体" w:hAnsi="宋体" w:cs="宋体"/>
          <w:szCs w:val="21"/>
        </w:rPr>
        <w:t>资信评分标准：见资信评分表。</w:t>
      </w:r>
    </w:p>
    <w:p>
      <w:pPr>
        <w:spacing w:line="440" w:lineRule="exact"/>
        <w:ind w:firstLine="420" w:firstLineChars="200"/>
        <w:jc w:val="left"/>
        <w:rPr>
          <w:rFonts w:ascii="宋体" w:hAnsi="宋体" w:cs="宋体"/>
          <w:szCs w:val="21"/>
        </w:rPr>
      </w:pPr>
      <w:r>
        <w:rPr>
          <w:rFonts w:hint="eastAsia" w:ascii="宋体" w:hAnsi="宋体" w:cs="宋体"/>
          <w:szCs w:val="21"/>
        </w:rPr>
        <w:t>技术评分标准：见技术评分表。</w:t>
      </w:r>
    </w:p>
    <w:p>
      <w:pPr>
        <w:pStyle w:val="6"/>
        <w:spacing w:before="156" w:beforeLines="50" w:after="156" w:afterLines="50" w:line="400" w:lineRule="exact"/>
        <w:ind w:firstLine="422" w:firstLineChars="200"/>
        <w:rPr>
          <w:rFonts w:ascii="宋体" w:hAnsi="宋体" w:eastAsia="宋体" w:cs="宋体"/>
        </w:rPr>
      </w:pPr>
      <w:r>
        <w:rPr>
          <w:rFonts w:hint="eastAsia" w:ascii="宋体" w:hAnsi="宋体" w:eastAsia="宋体" w:cs="宋体"/>
        </w:rPr>
        <w:t>8.评审结果</w:t>
      </w:r>
      <w:bookmarkEnd w:id="841"/>
      <w:bookmarkEnd w:id="842"/>
      <w:bookmarkEnd w:id="843"/>
      <w:bookmarkEnd w:id="844"/>
      <w:bookmarkEnd w:id="845"/>
      <w:bookmarkEnd w:id="846"/>
      <w:bookmarkEnd w:id="847"/>
    </w:p>
    <w:p>
      <w:pPr>
        <w:spacing w:line="400" w:lineRule="exact"/>
        <w:ind w:firstLine="420" w:firstLineChars="200"/>
        <w:jc w:val="left"/>
        <w:rPr>
          <w:rFonts w:ascii="宋体" w:hAnsi="宋体" w:cs="宋体"/>
          <w:szCs w:val="21"/>
        </w:rPr>
      </w:pPr>
      <w:r>
        <w:rPr>
          <w:rFonts w:hint="eastAsia" w:ascii="宋体" w:hAnsi="宋体" w:cs="宋体"/>
          <w:szCs w:val="21"/>
        </w:rPr>
        <w:t>8.1除投标人须知前附表授权直接确定中标人外，评标委员会按照总得分由高到低顺序推荐中标候选人。</w:t>
      </w:r>
    </w:p>
    <w:p>
      <w:pPr>
        <w:spacing w:line="400" w:lineRule="exact"/>
        <w:ind w:firstLine="420" w:firstLineChars="200"/>
        <w:jc w:val="left"/>
        <w:rPr>
          <w:rFonts w:ascii="宋体" w:hAnsi="宋体" w:cs="宋体"/>
          <w:szCs w:val="21"/>
        </w:rPr>
      </w:pPr>
      <w:r>
        <w:rPr>
          <w:rFonts w:hint="eastAsia" w:ascii="宋体" w:hAnsi="宋体" w:cs="宋体"/>
          <w:szCs w:val="21"/>
        </w:rPr>
        <w:t>8.2评标委员会完成评标后，应当向招标人提交书面评标报告。评标报告应当如实记载以下内容：</w:t>
      </w:r>
    </w:p>
    <w:p>
      <w:pPr>
        <w:spacing w:line="380" w:lineRule="exact"/>
        <w:ind w:firstLine="420" w:firstLineChars="200"/>
        <w:jc w:val="left"/>
        <w:rPr>
          <w:rFonts w:ascii="宋体" w:hAnsi="宋体" w:cs="宋体"/>
          <w:szCs w:val="21"/>
        </w:rPr>
      </w:pPr>
      <w:r>
        <w:rPr>
          <w:rFonts w:hint="eastAsia" w:ascii="宋体" w:hAnsi="宋体" w:cs="宋体"/>
          <w:szCs w:val="21"/>
        </w:rPr>
        <w:t>（1）基本情况和数据表。</w:t>
      </w:r>
    </w:p>
    <w:p>
      <w:pPr>
        <w:spacing w:line="380" w:lineRule="exact"/>
        <w:ind w:firstLine="420" w:firstLineChars="200"/>
        <w:jc w:val="left"/>
        <w:rPr>
          <w:rFonts w:ascii="宋体" w:hAnsi="宋体" w:cs="宋体"/>
          <w:szCs w:val="21"/>
        </w:rPr>
      </w:pPr>
      <w:r>
        <w:rPr>
          <w:rFonts w:hint="eastAsia" w:ascii="宋体" w:hAnsi="宋体" w:cs="宋体"/>
          <w:szCs w:val="21"/>
        </w:rPr>
        <w:t>（2）评标委员会成员名单。</w:t>
      </w:r>
    </w:p>
    <w:p>
      <w:pPr>
        <w:spacing w:line="380" w:lineRule="exact"/>
        <w:ind w:firstLine="420" w:firstLineChars="200"/>
        <w:jc w:val="left"/>
        <w:rPr>
          <w:rFonts w:ascii="宋体" w:hAnsi="宋体" w:cs="宋体"/>
          <w:szCs w:val="21"/>
        </w:rPr>
      </w:pPr>
      <w:r>
        <w:rPr>
          <w:rFonts w:hint="eastAsia" w:ascii="宋体" w:hAnsi="宋体" w:cs="宋体"/>
          <w:szCs w:val="21"/>
        </w:rPr>
        <w:t>（3）开标记录。</w:t>
      </w:r>
    </w:p>
    <w:p>
      <w:pPr>
        <w:spacing w:line="380" w:lineRule="exact"/>
        <w:ind w:firstLine="420" w:firstLineChars="200"/>
        <w:jc w:val="left"/>
        <w:rPr>
          <w:rFonts w:ascii="宋体" w:hAnsi="宋体" w:cs="宋体"/>
          <w:szCs w:val="21"/>
        </w:rPr>
      </w:pPr>
      <w:r>
        <w:rPr>
          <w:rFonts w:hint="eastAsia" w:ascii="宋体" w:hAnsi="宋体" w:cs="宋体"/>
          <w:szCs w:val="21"/>
        </w:rPr>
        <w:t>（4）符合要求的投标人一览表。</w:t>
      </w:r>
    </w:p>
    <w:p>
      <w:pPr>
        <w:spacing w:line="380" w:lineRule="exact"/>
        <w:ind w:firstLine="420" w:firstLineChars="200"/>
        <w:jc w:val="left"/>
        <w:rPr>
          <w:rFonts w:ascii="宋体" w:hAnsi="宋体" w:cs="宋体"/>
          <w:szCs w:val="21"/>
        </w:rPr>
      </w:pPr>
      <w:r>
        <w:rPr>
          <w:rFonts w:hint="eastAsia" w:ascii="宋体" w:hAnsi="宋体" w:cs="宋体"/>
          <w:szCs w:val="21"/>
        </w:rPr>
        <w:t>（5）否决投标情况说明。</w:t>
      </w:r>
    </w:p>
    <w:p>
      <w:pPr>
        <w:spacing w:line="380" w:lineRule="exact"/>
        <w:ind w:firstLine="420" w:firstLineChars="200"/>
        <w:jc w:val="left"/>
        <w:rPr>
          <w:rFonts w:ascii="宋体" w:hAnsi="宋体" w:cs="宋体"/>
          <w:szCs w:val="21"/>
        </w:rPr>
      </w:pPr>
      <w:r>
        <w:rPr>
          <w:rFonts w:hint="eastAsia" w:ascii="宋体" w:hAnsi="宋体" w:cs="宋体"/>
          <w:szCs w:val="21"/>
        </w:rPr>
        <w:t>（6）评标标准、评标方法或者评标因素。</w:t>
      </w:r>
    </w:p>
    <w:p>
      <w:pPr>
        <w:spacing w:line="380" w:lineRule="exact"/>
        <w:ind w:firstLine="420" w:firstLineChars="200"/>
        <w:jc w:val="left"/>
        <w:rPr>
          <w:rFonts w:ascii="宋体" w:hAnsi="宋体" w:cs="宋体"/>
          <w:szCs w:val="21"/>
        </w:rPr>
      </w:pPr>
      <w:r>
        <w:rPr>
          <w:rFonts w:hint="eastAsia" w:ascii="宋体" w:hAnsi="宋体" w:cs="宋体"/>
          <w:szCs w:val="21"/>
        </w:rPr>
        <w:t>（7）评标情况一览表。</w:t>
      </w:r>
    </w:p>
    <w:p>
      <w:pPr>
        <w:spacing w:line="380" w:lineRule="exact"/>
        <w:ind w:firstLine="420" w:firstLineChars="200"/>
        <w:jc w:val="left"/>
        <w:rPr>
          <w:rFonts w:ascii="宋体" w:hAnsi="宋体" w:cs="宋体"/>
          <w:szCs w:val="21"/>
        </w:rPr>
      </w:pPr>
      <w:r>
        <w:rPr>
          <w:rFonts w:hint="eastAsia" w:ascii="宋体" w:hAnsi="宋体" w:cs="宋体"/>
          <w:szCs w:val="21"/>
        </w:rPr>
        <w:t>（8）经评审的投标人排序。</w:t>
      </w:r>
    </w:p>
    <w:p>
      <w:pPr>
        <w:spacing w:line="380" w:lineRule="exact"/>
        <w:ind w:firstLine="420" w:firstLineChars="200"/>
        <w:jc w:val="left"/>
        <w:rPr>
          <w:rFonts w:ascii="宋体" w:hAnsi="宋体" w:cs="宋体"/>
          <w:szCs w:val="21"/>
        </w:rPr>
      </w:pPr>
      <w:r>
        <w:rPr>
          <w:rFonts w:hint="eastAsia" w:ascii="宋体" w:hAnsi="宋体" w:cs="宋体"/>
          <w:szCs w:val="21"/>
        </w:rPr>
        <w:t>（9）推荐的中标候选人名单与签订合同前要处理的事宜。</w:t>
      </w:r>
    </w:p>
    <w:p>
      <w:pPr>
        <w:spacing w:line="380" w:lineRule="exact"/>
        <w:ind w:firstLine="420" w:firstLineChars="200"/>
        <w:jc w:val="left"/>
        <w:rPr>
          <w:rFonts w:ascii="宋体" w:hAnsi="宋体" w:cs="宋体"/>
          <w:szCs w:val="21"/>
        </w:rPr>
      </w:pPr>
      <w:r>
        <w:rPr>
          <w:rFonts w:hint="eastAsia" w:ascii="宋体" w:hAnsi="宋体" w:cs="宋体"/>
          <w:szCs w:val="21"/>
        </w:rPr>
        <w:t>（10）澄清、说明、补正事项纪要。</w:t>
      </w:r>
    </w:p>
    <w:p>
      <w:pPr>
        <w:spacing w:line="380" w:lineRule="exact"/>
        <w:ind w:firstLine="420" w:firstLineChars="200"/>
        <w:jc w:val="left"/>
        <w:rPr>
          <w:rFonts w:ascii="宋体" w:hAnsi="宋体" w:cs="宋体"/>
          <w:szCs w:val="21"/>
        </w:rPr>
      </w:pPr>
      <w:r>
        <w:rPr>
          <w:rFonts w:hint="eastAsia" w:ascii="宋体" w:hAnsi="宋体" w:cs="宋体"/>
          <w:szCs w:val="21"/>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80" w:lineRule="exact"/>
        <w:ind w:firstLine="420" w:firstLineChars="200"/>
        <w:jc w:val="left"/>
        <w:rPr>
          <w:rFonts w:ascii="宋体" w:hAnsi="宋体" w:cs="宋体"/>
          <w:szCs w:val="21"/>
        </w:rPr>
      </w:pPr>
      <w:r>
        <w:rPr>
          <w:rFonts w:hint="eastAsia" w:ascii="宋体" w:hAnsi="宋体" w:cs="宋体"/>
          <w:szCs w:val="21"/>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6"/>
        <w:spacing w:before="156" w:beforeLines="50" w:after="156" w:afterLines="50" w:line="400" w:lineRule="exact"/>
        <w:ind w:firstLine="422" w:firstLineChars="200"/>
        <w:rPr>
          <w:rFonts w:ascii="宋体" w:hAnsi="宋体" w:eastAsia="宋体" w:cs="宋体"/>
        </w:rPr>
      </w:pPr>
      <w:bookmarkStart w:id="848" w:name="_Toc1576"/>
      <w:bookmarkStart w:id="849" w:name="_Toc78803396"/>
      <w:bookmarkStart w:id="850" w:name="_Toc35424961"/>
      <w:bookmarkStart w:id="851" w:name="_Toc35425127"/>
      <w:bookmarkStart w:id="852" w:name="_Toc324404880"/>
      <w:bookmarkStart w:id="853" w:name="_Toc15058926"/>
      <w:bookmarkStart w:id="854" w:name="_Toc506107332"/>
      <w:r>
        <w:rPr>
          <w:rFonts w:hint="eastAsia" w:ascii="宋体" w:hAnsi="宋体" w:eastAsia="宋体" w:cs="宋体"/>
        </w:rPr>
        <w:t>9.其他</w:t>
      </w:r>
      <w:bookmarkEnd w:id="848"/>
      <w:bookmarkEnd w:id="849"/>
      <w:bookmarkEnd w:id="850"/>
      <w:bookmarkEnd w:id="851"/>
      <w:bookmarkEnd w:id="852"/>
      <w:bookmarkEnd w:id="853"/>
      <w:bookmarkEnd w:id="854"/>
    </w:p>
    <w:bookmarkEnd w:id="769"/>
    <w:bookmarkEnd w:id="770"/>
    <w:bookmarkEnd w:id="771"/>
    <w:bookmarkEnd w:id="772"/>
    <w:bookmarkEnd w:id="773"/>
    <w:bookmarkEnd w:id="774"/>
    <w:bookmarkEnd w:id="775"/>
    <w:bookmarkEnd w:id="776"/>
    <w:p>
      <w:pPr>
        <w:spacing w:line="360" w:lineRule="exact"/>
        <w:ind w:firstLine="420" w:firstLineChars="200"/>
        <w:jc w:val="left"/>
        <w:rPr>
          <w:rFonts w:ascii="宋体" w:hAnsi="宋体" w:cs="宋体"/>
          <w:szCs w:val="21"/>
        </w:rPr>
      </w:pPr>
      <w:bookmarkStart w:id="855" w:name="_Toc15058927"/>
      <w:bookmarkStart w:id="856" w:name="_Toc506107333"/>
      <w:bookmarkStart w:id="857" w:name="_Toc35425128"/>
      <w:bookmarkStart w:id="858" w:name="_Toc35424962"/>
      <w:bookmarkStart w:id="859" w:name="_Toc152045767"/>
      <w:bookmarkStart w:id="860" w:name="_Toc144974826"/>
      <w:bookmarkStart w:id="861" w:name="_Toc179632785"/>
      <w:bookmarkStart w:id="862" w:name="_Toc152042546"/>
      <w:r>
        <w:rPr>
          <w:rFonts w:hint="eastAsia" w:ascii="宋体" w:hAnsi="宋体" w:cs="宋体"/>
          <w:szCs w:val="21"/>
        </w:rPr>
        <w:t>投标人提供的与投标文件有关的各类证书、证明、文件、资料等的真实性、合法性由投标人负全责。</w:t>
      </w:r>
    </w:p>
    <w:p/>
    <w:p>
      <w:r>
        <w:rPr>
          <w:rFonts w:hint="eastAsia"/>
        </w:rPr>
        <w:br w:type="page"/>
      </w:r>
      <w:bookmarkStart w:id="863" w:name="_Toc78803397"/>
    </w:p>
    <w:bookmarkEnd w:id="855"/>
    <w:bookmarkEnd w:id="856"/>
    <w:bookmarkEnd w:id="857"/>
    <w:bookmarkEnd w:id="858"/>
    <w:bookmarkEnd w:id="863"/>
    <w:p>
      <w:pPr>
        <w:pStyle w:val="5"/>
      </w:pPr>
      <w:r>
        <w:rPr>
          <w:rFonts w:hint="eastAsia" w:ascii="Arial" w:hAnsi="Arial"/>
          <w:kern w:val="0"/>
          <w:sz w:val="32"/>
          <w:szCs w:val="32"/>
        </w:rPr>
        <w:t xml:space="preserve"> </w:t>
      </w:r>
    </w:p>
    <w:p>
      <w:pPr>
        <w:pStyle w:val="5"/>
        <w:rPr>
          <w:color w:val="auto"/>
          <w:highlight w:val="none"/>
        </w:rPr>
      </w:pPr>
      <w:bookmarkStart w:id="864" w:name="_Toc29976"/>
      <w:bookmarkStart w:id="865" w:name="_Toc29074"/>
      <w:r>
        <w:rPr>
          <w:rFonts w:hint="eastAsia"/>
          <w:color w:val="auto"/>
          <w:sz w:val="36"/>
          <w:szCs w:val="36"/>
          <w:highlight w:val="none"/>
        </w:rPr>
        <w:t>第四章 合同主要条款及部分格式</w:t>
      </w:r>
      <w:bookmarkEnd w:id="864"/>
      <w:bookmarkEnd w:id="865"/>
      <w:r>
        <w:rPr>
          <w:rFonts w:hint="eastAsia"/>
          <w:color w:val="auto"/>
          <w:sz w:val="36"/>
          <w:szCs w:val="36"/>
          <w:highlight w:val="none"/>
        </w:rPr>
        <w:t>（仅供参考）</w:t>
      </w:r>
    </w:p>
    <w:p>
      <w:pPr>
        <w:pStyle w:val="2"/>
        <w:ind w:left="0" w:leftChars="0" w:firstLine="0" w:firstLineChars="0"/>
        <w:rPr>
          <w:color w:val="auto"/>
          <w:highlight w:val="none"/>
        </w:rPr>
      </w:pPr>
      <w:bookmarkStart w:id="866" w:name="_Toc484173786"/>
      <w:bookmarkStart w:id="867" w:name="_Toc25898"/>
      <w:bookmarkStart w:id="868" w:name="_Toc15058931"/>
      <w:bookmarkStart w:id="869" w:name="_Toc506107337"/>
      <w:r>
        <w:rPr>
          <w:rFonts w:hint="eastAsia" w:hAnsi="宋体" w:cs="Arial"/>
          <w:color w:val="auto"/>
          <w:kern w:val="0"/>
          <w:szCs w:val="21"/>
          <w:highlight w:val="none"/>
          <w:shd w:val="clear" w:color="auto" w:fill="FFFFFF"/>
        </w:rPr>
        <w:t>甲</w:t>
      </w:r>
      <w:r>
        <w:rPr>
          <w:rFonts w:hint="eastAsia"/>
          <w:color w:val="auto"/>
          <w:highlight w:val="none"/>
        </w:rPr>
        <w:t>方：                           （简称甲方）</w:t>
      </w:r>
    </w:p>
    <w:p>
      <w:pPr>
        <w:pStyle w:val="2"/>
        <w:ind w:left="0" w:leftChars="0" w:firstLine="0" w:firstLineChars="0"/>
        <w:rPr>
          <w:color w:val="auto"/>
          <w:highlight w:val="none"/>
        </w:rPr>
      </w:pPr>
      <w:r>
        <w:rPr>
          <w:rFonts w:hint="eastAsia"/>
          <w:color w:val="auto"/>
          <w:highlight w:val="none"/>
        </w:rPr>
        <w:t xml:space="preserve">乙方：                          </w:t>
      </w:r>
      <w:r>
        <w:rPr>
          <w:rFonts w:hint="eastAsia"/>
          <w:color w:val="auto"/>
          <w:highlight w:val="none"/>
          <w:lang w:val="en-US" w:eastAsia="zh-CN"/>
        </w:rPr>
        <w:t xml:space="preserve"> </w:t>
      </w:r>
      <w:r>
        <w:rPr>
          <w:rFonts w:hint="eastAsia"/>
          <w:color w:val="auto"/>
          <w:highlight w:val="none"/>
        </w:rPr>
        <w:t>（简称乙方）</w:t>
      </w:r>
    </w:p>
    <w:p>
      <w:pPr>
        <w:pStyle w:val="2"/>
        <w:ind w:left="0" w:leftChars="0" w:firstLine="0" w:firstLineChars="0"/>
        <w:rPr>
          <w:color w:val="auto"/>
          <w:highlight w:val="none"/>
        </w:rPr>
      </w:pPr>
      <w:r>
        <w:rPr>
          <w:rFonts w:hint="eastAsia"/>
          <w:color w:val="auto"/>
          <w:highlight w:val="none"/>
        </w:rPr>
        <w:t>安徽省全椒县马塘湖整合矿区建筑石料用灰岩矿爆破服务项目经公开招标后，确定由（乙方）承担本项目施工，经双方协商达成如下协议：</w:t>
      </w:r>
    </w:p>
    <w:p>
      <w:pPr>
        <w:pStyle w:val="2"/>
        <w:ind w:left="0" w:leftChars="0" w:firstLine="0" w:firstLineChars="0"/>
        <w:rPr>
          <w:color w:val="auto"/>
          <w:highlight w:val="none"/>
        </w:rPr>
      </w:pPr>
      <w:r>
        <w:rPr>
          <w:rFonts w:hint="eastAsia"/>
          <w:color w:val="auto"/>
          <w:highlight w:val="none"/>
        </w:rPr>
        <w:t>一、项目名称：安徽省全椒县马塘湖整合矿区建筑石料用灰岩矿爆破服务项目</w:t>
      </w:r>
    </w:p>
    <w:p>
      <w:pPr>
        <w:pStyle w:val="2"/>
        <w:ind w:left="0" w:leftChars="0" w:firstLine="0" w:firstLineChars="0"/>
        <w:rPr>
          <w:rFonts w:hint="default"/>
          <w:color w:val="auto"/>
          <w:highlight w:val="none"/>
          <w:lang w:val="en-US"/>
        </w:rPr>
      </w:pPr>
      <w:r>
        <w:rPr>
          <w:rFonts w:hint="eastAsia"/>
          <w:color w:val="auto"/>
          <w:highlight w:val="none"/>
        </w:rPr>
        <w:t>二、合同工期：</w:t>
      </w:r>
      <w:r>
        <w:rPr>
          <w:rFonts w:hint="eastAsia" w:ascii="宋体" w:hAnsi="宋体" w:cs="宋体"/>
          <w:color w:val="auto"/>
          <w:szCs w:val="21"/>
          <w:highlight w:val="none"/>
          <w:lang w:val="en-US" w:eastAsia="zh-CN"/>
        </w:rPr>
        <w:t>暂定</w:t>
      </w:r>
      <w:r>
        <w:rPr>
          <w:rFonts w:hint="eastAsia" w:ascii="宋体" w:hAnsi="宋体" w:cs="宋体"/>
          <w:color w:val="auto"/>
          <w:szCs w:val="21"/>
          <w:highlight w:val="none"/>
        </w:rPr>
        <w:t>一年。从合同签订之日起计算。</w:t>
      </w:r>
      <w:r>
        <w:rPr>
          <w:rFonts w:hint="eastAsia" w:hAnsi="宋体" w:cs="Arial"/>
          <w:color w:val="auto"/>
          <w:kern w:val="0"/>
          <w:szCs w:val="21"/>
          <w:highlight w:val="none"/>
          <w:shd w:val="clear" w:color="auto" w:fill="FFFFFF"/>
        </w:rPr>
        <w:t>合同期满后，乙方经甲方考核合格</w:t>
      </w:r>
      <w:r>
        <w:rPr>
          <w:rFonts w:hint="eastAsia" w:hAnsi="宋体" w:cs="Arial"/>
          <w:color w:val="auto"/>
          <w:kern w:val="0"/>
          <w:szCs w:val="21"/>
          <w:highlight w:val="none"/>
          <w:shd w:val="clear" w:color="auto" w:fill="FFFFFF"/>
          <w:lang w:val="en-US" w:eastAsia="zh-CN"/>
        </w:rPr>
        <w:t>后</w:t>
      </w:r>
      <w:r>
        <w:rPr>
          <w:rFonts w:hint="eastAsia" w:hAnsi="宋体" w:cs="Arial"/>
          <w:color w:val="auto"/>
          <w:kern w:val="0"/>
          <w:szCs w:val="21"/>
          <w:highlight w:val="none"/>
          <w:shd w:val="clear" w:color="auto" w:fill="FFFFFF"/>
        </w:rPr>
        <w:t>，</w:t>
      </w:r>
      <w:r>
        <w:rPr>
          <w:rFonts w:hint="eastAsia" w:hAnsi="宋体" w:cs="Arial"/>
          <w:color w:val="auto"/>
          <w:kern w:val="0"/>
          <w:szCs w:val="21"/>
          <w:highlight w:val="none"/>
          <w:shd w:val="clear" w:color="auto" w:fill="FFFFFF"/>
          <w:lang w:val="en-US" w:eastAsia="zh-CN"/>
        </w:rPr>
        <w:t>经双方协商一致可续</w:t>
      </w:r>
      <w:r>
        <w:rPr>
          <w:rFonts w:hint="eastAsia" w:hAnsi="宋体" w:cs="Arial"/>
          <w:color w:val="auto"/>
          <w:kern w:val="0"/>
          <w:szCs w:val="21"/>
          <w:highlight w:val="none"/>
          <w:shd w:val="clear" w:color="auto" w:fill="FFFFFF"/>
        </w:rPr>
        <w:t>签合同</w:t>
      </w:r>
      <w:r>
        <w:rPr>
          <w:rFonts w:hint="eastAsia" w:hAnsi="宋体" w:cs="Arial"/>
          <w:color w:val="auto"/>
          <w:kern w:val="0"/>
          <w:szCs w:val="21"/>
          <w:highlight w:val="none"/>
          <w:shd w:val="clear" w:color="auto" w:fill="FFFFFF"/>
          <w:lang w:eastAsia="zh-CN"/>
        </w:rPr>
        <w:t>。</w:t>
      </w:r>
    </w:p>
    <w:p>
      <w:pPr>
        <w:pStyle w:val="2"/>
        <w:ind w:left="0" w:leftChars="0" w:firstLine="0" w:firstLineChars="0"/>
        <w:rPr>
          <w:color w:val="auto"/>
          <w:highlight w:val="none"/>
        </w:rPr>
      </w:pPr>
      <w:r>
        <w:rPr>
          <w:rFonts w:hint="eastAsia"/>
          <w:color w:val="auto"/>
          <w:highlight w:val="none"/>
        </w:rPr>
        <w:t>三、本合同价款采用单价合同。</w:t>
      </w:r>
    </w:p>
    <w:p>
      <w:pPr>
        <w:pStyle w:val="2"/>
        <w:ind w:left="0" w:leftChars="0" w:firstLine="0" w:firstLineChars="0"/>
        <w:rPr>
          <w:color w:val="auto"/>
          <w:highlight w:val="none"/>
        </w:rPr>
      </w:pPr>
      <w:r>
        <w:rPr>
          <w:rFonts w:hint="eastAsia"/>
          <w:color w:val="auto"/>
          <w:highlight w:val="none"/>
        </w:rPr>
        <w:t>四、本项目中标综合单价：</w:t>
      </w:r>
      <w:r>
        <w:rPr>
          <w:rFonts w:hint="eastAsia"/>
          <w:color w:val="auto"/>
          <w:highlight w:val="none"/>
          <w:u w:val="single"/>
        </w:rPr>
        <w:t xml:space="preserve">      </w:t>
      </w:r>
      <w:r>
        <w:rPr>
          <w:rFonts w:hint="eastAsia"/>
          <w:color w:val="auto"/>
          <w:highlight w:val="none"/>
        </w:rPr>
        <w:t>元/吨。结算总价=中标综合单价*最终实际销售过磅量</w:t>
      </w:r>
    </w:p>
    <w:p>
      <w:pPr>
        <w:pStyle w:val="2"/>
        <w:ind w:left="0" w:leftChars="0" w:firstLine="0" w:firstLineChars="0"/>
        <w:rPr>
          <w:color w:val="auto"/>
          <w:highlight w:val="none"/>
        </w:rPr>
      </w:pPr>
      <w:r>
        <w:rPr>
          <w:rFonts w:hint="eastAsia"/>
          <w:color w:val="auto"/>
          <w:highlight w:val="none"/>
        </w:rPr>
        <w:t>五、付款方式：进度款：按照施工进度（以实际</w:t>
      </w:r>
      <w:r>
        <w:rPr>
          <w:rFonts w:hint="eastAsia" w:ascii="宋体" w:hAnsi="宋体" w:cs="宋体"/>
          <w:color w:val="auto"/>
          <w:szCs w:val="21"/>
          <w:highlight w:val="none"/>
          <w:lang w:val="en-US" w:eastAsia="zh-CN"/>
        </w:rPr>
        <w:t>销售</w:t>
      </w:r>
      <w:r>
        <w:rPr>
          <w:rFonts w:hint="eastAsia"/>
          <w:color w:val="auto"/>
          <w:highlight w:val="none"/>
        </w:rPr>
        <w:t>过磅量为准）每月15日支付上月已审批的技术服务费。</w:t>
      </w:r>
    </w:p>
    <w:p>
      <w:pPr>
        <w:pStyle w:val="2"/>
        <w:ind w:left="0" w:leftChars="0" w:firstLine="0" w:firstLineChars="0"/>
      </w:pPr>
      <w:r>
        <w:rPr>
          <w:rFonts w:hint="eastAsia"/>
        </w:rPr>
        <w:t>六、乙方必须按照规定给参与本项目所有施工人员购买相关保险，若发生任何安全事故，所有责任及损失全部由乙方自行承担。</w:t>
      </w:r>
    </w:p>
    <w:p>
      <w:pPr>
        <w:pStyle w:val="2"/>
        <w:ind w:left="0" w:leftChars="0" w:firstLine="0" w:firstLineChars="0"/>
        <w:rPr>
          <w:rFonts w:hAnsi="宋体" w:cs="Arial"/>
          <w:color w:val="000000"/>
          <w:kern w:val="0"/>
          <w:szCs w:val="21"/>
          <w:shd w:val="clear" w:color="auto" w:fill="FFFFFF"/>
        </w:rPr>
      </w:pPr>
      <w:r>
        <w:rPr>
          <w:rFonts w:hint="eastAsia"/>
        </w:rPr>
        <w:t>七、</w:t>
      </w:r>
      <w:r>
        <w:rPr>
          <w:rFonts w:hint="eastAsia" w:hAnsi="宋体" w:cs="Arial"/>
          <w:color w:val="000000"/>
          <w:kern w:val="0"/>
          <w:szCs w:val="21"/>
          <w:shd w:val="clear" w:color="auto" w:fill="FFFFFF"/>
        </w:rPr>
        <w:t>乙方应加强安全教育，完善劳动保护措施。由此产生的安全事故及所有后果，由乙方负责并自行承担所有经济损失</w:t>
      </w:r>
    </w:p>
    <w:p>
      <w:pPr>
        <w:pStyle w:val="2"/>
        <w:ind w:left="0" w:leftChars="0" w:firstLine="0" w:firstLineChars="0"/>
        <w:rPr>
          <w:rFonts w:hAnsi="宋体" w:cs="Arial"/>
          <w:color w:val="000000"/>
          <w:kern w:val="0"/>
          <w:szCs w:val="21"/>
          <w:shd w:val="clear" w:color="auto" w:fill="FFFFFF"/>
        </w:rPr>
      </w:pPr>
      <w:r>
        <w:rPr>
          <w:rFonts w:hint="eastAsia" w:hAnsi="宋体" w:cs="Arial"/>
          <w:color w:val="000000"/>
          <w:kern w:val="0"/>
          <w:szCs w:val="21"/>
          <w:shd w:val="clear" w:color="auto" w:fill="FFFFFF"/>
        </w:rPr>
        <w:t>八、其他相关要求:</w:t>
      </w:r>
    </w:p>
    <w:p>
      <w:pPr>
        <w:pStyle w:val="2"/>
        <w:ind w:left="0" w:leftChars="0" w:firstLine="0" w:firstLineChars="0"/>
        <w:rPr>
          <w:rFonts w:hAnsi="宋体" w:cs="Arial"/>
          <w:color w:val="000000"/>
          <w:kern w:val="0"/>
          <w:szCs w:val="21"/>
          <w:shd w:val="clear" w:color="auto" w:fill="FFFFFF"/>
        </w:rPr>
      </w:pPr>
      <w:r>
        <w:rPr>
          <w:rFonts w:hint="eastAsia" w:hAnsi="宋体" w:cs="Arial"/>
          <w:color w:val="000000"/>
          <w:kern w:val="0"/>
          <w:szCs w:val="21"/>
          <w:shd w:val="clear" w:color="auto" w:fill="FFFFFF"/>
        </w:rPr>
        <w:t>（1）中标人在合同签订后15日历天内完成当地公安部门备案手续，否则招标人有权解除合同，没收履约保证金。</w:t>
      </w:r>
    </w:p>
    <w:p>
      <w:pPr>
        <w:pStyle w:val="2"/>
        <w:ind w:left="0" w:leftChars="0" w:firstLine="0" w:firstLineChars="0"/>
        <w:rPr>
          <w:rFonts w:hAnsi="宋体" w:cs="Arial"/>
          <w:color w:val="000000"/>
          <w:kern w:val="0"/>
          <w:szCs w:val="21"/>
          <w:shd w:val="clear" w:color="auto" w:fill="FFFFFF"/>
        </w:rPr>
      </w:pPr>
      <w:r>
        <w:rPr>
          <w:rFonts w:hint="eastAsia" w:hAnsi="宋体" w:cs="Arial"/>
          <w:color w:val="000000"/>
          <w:kern w:val="0"/>
          <w:szCs w:val="21"/>
          <w:shd w:val="clear" w:color="auto" w:fill="FFFFFF"/>
        </w:rPr>
        <w:t>（2）本项目不得转包，否则取消其中标资格。</w:t>
      </w:r>
    </w:p>
    <w:p>
      <w:pPr>
        <w:pStyle w:val="2"/>
        <w:ind w:left="0" w:leftChars="0" w:firstLine="0" w:firstLineChars="0"/>
        <w:rPr>
          <w:rFonts w:hAnsi="宋体" w:cs="Arial"/>
          <w:color w:val="000000"/>
          <w:kern w:val="0"/>
          <w:szCs w:val="21"/>
          <w:shd w:val="clear" w:color="auto" w:fill="FFFFFF"/>
        </w:rPr>
      </w:pPr>
      <w:r>
        <w:rPr>
          <w:rFonts w:hint="eastAsia" w:hAnsi="宋体" w:cs="Arial"/>
          <w:color w:val="000000"/>
          <w:kern w:val="0"/>
          <w:szCs w:val="21"/>
          <w:shd w:val="clear" w:color="auto" w:fill="FFFFFF"/>
        </w:rPr>
        <w:t>（3）中标单位的派驻项目负责人、安全员必须每日签到，保证日工作时间不少于8小时，未经批准，不得随意离开工地，否则按1000元/日的罚款，由招标人从履约保证金中扣除。</w:t>
      </w:r>
    </w:p>
    <w:p>
      <w:pPr>
        <w:pStyle w:val="2"/>
        <w:ind w:left="0" w:leftChars="0" w:firstLine="0" w:firstLineChars="0"/>
        <w:rPr>
          <w:rFonts w:hAnsi="宋体" w:cs="Arial"/>
          <w:color w:val="000000"/>
          <w:kern w:val="0"/>
          <w:szCs w:val="21"/>
          <w:shd w:val="clear" w:color="auto" w:fill="FFFFFF"/>
        </w:rPr>
      </w:pPr>
      <w:r>
        <w:rPr>
          <w:rFonts w:hint="eastAsia" w:hAnsi="宋体" w:cs="Arial"/>
          <w:color w:val="000000"/>
          <w:kern w:val="0"/>
          <w:szCs w:val="21"/>
          <w:shd w:val="clear" w:color="auto" w:fill="FFFFFF"/>
        </w:rPr>
        <w:t>（4）中标人进场开展工作前，必须向业主单位提交爆破实施方案、安全爆破方案，经批准后方可实施。</w:t>
      </w:r>
    </w:p>
    <w:p>
      <w:pPr>
        <w:pStyle w:val="2"/>
        <w:ind w:left="0" w:leftChars="0" w:firstLine="0" w:firstLineChars="0"/>
        <w:rPr>
          <w:rFonts w:hAnsi="宋体" w:cs="Arial"/>
          <w:color w:val="000000"/>
          <w:kern w:val="0"/>
          <w:szCs w:val="21"/>
          <w:shd w:val="clear" w:color="auto" w:fill="FFFFFF"/>
        </w:rPr>
      </w:pPr>
      <w:r>
        <w:rPr>
          <w:rFonts w:hint="eastAsia" w:hAnsi="宋体" w:cs="Arial"/>
          <w:color w:val="000000"/>
          <w:kern w:val="0"/>
          <w:szCs w:val="21"/>
          <w:shd w:val="clear" w:color="auto" w:fill="FFFFFF"/>
        </w:rPr>
        <w:t>（5）中标人应加强安全教育，完善劳动保护措施。由此产生的安全事故及所有后果，由中标人负责并自行承担所有经济损失。</w:t>
      </w:r>
    </w:p>
    <w:p>
      <w:pPr>
        <w:pStyle w:val="2"/>
        <w:ind w:left="0" w:leftChars="0" w:firstLine="0" w:firstLineChars="0"/>
        <w:rPr>
          <w:rFonts w:hAnsi="宋体" w:cs="Arial"/>
          <w:color w:val="000000"/>
          <w:kern w:val="0"/>
          <w:szCs w:val="21"/>
          <w:shd w:val="clear" w:color="auto" w:fill="FFFFFF"/>
        </w:rPr>
      </w:pPr>
      <w:r>
        <w:rPr>
          <w:rFonts w:hint="eastAsia" w:hAnsi="宋体" w:cs="Arial"/>
          <w:color w:val="000000"/>
          <w:kern w:val="0"/>
          <w:szCs w:val="21"/>
          <w:shd w:val="clear" w:color="auto" w:fill="FFFFFF"/>
        </w:rPr>
        <w:t>（6）中标人必须按照规定给参与本项目所有施工人员购买相关保险，若发生任何安全事故，所有责任及损失全部由中标人自行承担。</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000000"/>
          <w:kern w:val="0"/>
          <w:szCs w:val="21"/>
          <w:shd w:val="clear" w:color="auto" w:fill="FFFFFF"/>
        </w:rPr>
        <w:t>（7）投标人在开标前自行踏勘项目爆破现场，充分熟知爆破物现状，在施工过程中，中标人必须按照招标人要求进行爆破，所有机械设备费用、措施费、人工费、材料费</w:t>
      </w:r>
      <w:r>
        <w:rPr>
          <w:rFonts w:hint="eastAsia" w:hAnsi="宋体" w:cs="Arial"/>
          <w:color w:val="auto"/>
          <w:kern w:val="0"/>
          <w:szCs w:val="21"/>
          <w:highlight w:val="none"/>
          <w:shd w:val="clear" w:color="auto" w:fill="FFFFFF"/>
        </w:rPr>
        <w:t>、机械进出场费用及使用费、技术组织费等所有费用全部由中标人自行承担，招标人不再另行支付任何费用，中标单位配备铲车、压路机等机械设备驻场满足本项目使用需求。</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（8）本项目所有的炸药、雷管、连接器材等材料均有中标人负责购买实施，合同期内，材料价格上涨风险因素由中标人自行承担，招标人不再另行支付任何费用，各投标人谨慎报价。</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（9）有关验收要求：</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①项目质量验收：每次爆破后是否存在盲炮，炮根及大块的处理（爆破后任何一边的长度小于75cm，超过75cm的大块需进行机械二次破碎），在靠近最终边坡时，需采取预裂爆破或光面爆破等控制爆破的方式进行爆破处理，保证形成良好的最终边坡面。</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②针对施工中的需要测量的项目，要能提供及时的测量服务，可以出具相关测量数据及证明报告。</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安全文明施工要求：遵守《金属非金属矿山全规程》（GB16423-20</w:t>
      </w:r>
      <w:r>
        <w:rPr>
          <w:rFonts w:hAnsi="宋体" w:cs="Arial"/>
          <w:color w:val="auto"/>
          <w:kern w:val="0"/>
          <w:szCs w:val="21"/>
          <w:highlight w:val="none"/>
          <w:shd w:val="clear" w:color="auto" w:fill="FFFFFF"/>
        </w:rPr>
        <w:t>20</w:t>
      </w:r>
      <w:r>
        <w:rPr>
          <w:rFonts w:hint="eastAsia" w:hAnsi="宋体" w:cs="Arial"/>
          <w:color w:val="auto"/>
          <w:kern w:val="0"/>
          <w:szCs w:val="21"/>
          <w:highlight w:val="none"/>
          <w:shd w:val="clear" w:color="auto" w:fill="FFFFFF"/>
        </w:rPr>
        <w:t>）、爆破安全规程（GB6722-2014），现行安全生产施工要求。</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（11）材料设备性能及使用要求：</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①材料及设备性能必须符合国家、行业现行规范及要求。</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②投标人中标后所提供的材料不符合规范及招标文件要求的，招标人有权要求更换，并由投标人承担由此产生的各种费用。如因材料不合格而造成的返工等各种经济损失，均由投标人自行承担。</w:t>
      </w:r>
    </w:p>
    <w:p>
      <w:pPr>
        <w:pStyle w:val="2"/>
        <w:numPr>
          <w:ilvl w:val="0"/>
          <w:numId w:val="0"/>
        </w:numPr>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（11）</w:t>
      </w:r>
      <w:r>
        <w:rPr>
          <w:rFonts w:hint="eastAsia" w:ascii="宋体" w:hAnsi="宋体" w:cs="宋体"/>
          <w:color w:val="auto"/>
          <w:szCs w:val="21"/>
          <w:highlight w:val="none"/>
          <w:lang w:eastAsia="zh-CN"/>
        </w:rPr>
        <w:t>施工过程中，</w:t>
      </w:r>
      <w:r>
        <w:rPr>
          <w:rFonts w:hint="eastAsia" w:ascii="宋体" w:hAnsi="宋体" w:cs="宋体"/>
          <w:color w:val="auto"/>
          <w:szCs w:val="21"/>
          <w:highlight w:val="none"/>
          <w:lang w:val="en-US" w:eastAsia="zh-CN"/>
        </w:rPr>
        <w:t>中标人必须</w:t>
      </w:r>
      <w:r>
        <w:rPr>
          <w:rFonts w:hint="eastAsia" w:ascii="宋体" w:hAnsi="宋体" w:cs="宋体"/>
          <w:color w:val="auto"/>
          <w:szCs w:val="21"/>
          <w:highlight w:val="none"/>
          <w:lang w:eastAsia="zh-CN"/>
        </w:rPr>
        <w:t>严格执行国家及地方针对环保、禁噪、防尘、防护等措施，必须满足当地行政主管部门相关规定及要求，</w:t>
      </w:r>
      <w:r>
        <w:rPr>
          <w:rFonts w:hint="eastAsia" w:ascii="宋体" w:hAnsi="宋体" w:cs="宋体"/>
          <w:color w:val="auto"/>
          <w:szCs w:val="21"/>
          <w:highlight w:val="none"/>
          <w:lang w:val="en-US" w:eastAsia="zh-CN"/>
        </w:rPr>
        <w:t>因钻孔、爆破等导致的扬尘，中标人</w:t>
      </w:r>
      <w:r>
        <w:rPr>
          <w:rFonts w:hint="eastAsia" w:ascii="宋体" w:hAnsi="宋体" w:eastAsia="宋体" w:cs="宋体"/>
          <w:color w:val="auto"/>
          <w:szCs w:val="21"/>
          <w:highlight w:val="none"/>
        </w:rPr>
        <w:t>必须做到洒水抑</w:t>
      </w:r>
      <w:r>
        <w:rPr>
          <w:rFonts w:hint="eastAsia" w:hAnsi="宋体" w:cs="宋体"/>
          <w:color w:val="auto"/>
          <w:szCs w:val="21"/>
          <w:highlight w:val="none"/>
          <w:lang w:val="en-US" w:eastAsia="zh-CN"/>
        </w:rPr>
        <w:t>尘</w:t>
      </w:r>
      <w:r>
        <w:rPr>
          <w:rFonts w:hint="eastAsia" w:ascii="宋体" w:hAnsi="宋体" w:eastAsia="宋体" w:cs="宋体"/>
          <w:color w:val="auto"/>
          <w:szCs w:val="21"/>
          <w:highlight w:val="none"/>
        </w:rPr>
        <w:t>，定期进行工地扬尘防治达标自评，切实做好自查自纠工作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所有费用含在投标报价中，招标人不再另行支付任何费用。</w:t>
      </w:r>
    </w:p>
    <w:p>
      <w:pPr>
        <w:pStyle w:val="2"/>
        <w:numPr>
          <w:ilvl w:val="0"/>
          <w:numId w:val="0"/>
        </w:numPr>
        <w:ind w:leftChars="0"/>
        <w:rPr>
          <w:rFonts w:hint="eastAsia" w:hAnsi="宋体" w:eastAsia="宋体" w:cs="Arial"/>
          <w:color w:val="auto"/>
          <w:kern w:val="0"/>
          <w:szCs w:val="21"/>
          <w:highlight w:val="none"/>
          <w:shd w:val="clear" w:color="auto" w:fill="FFFFFF"/>
          <w:lang w:eastAsia="zh-CN"/>
        </w:rPr>
      </w:pPr>
      <w:r>
        <w:rPr>
          <w:rFonts w:hint="eastAsia" w:hAnsi="宋体" w:cs="Arial"/>
          <w:color w:val="auto"/>
          <w:kern w:val="0"/>
          <w:szCs w:val="21"/>
          <w:highlight w:val="none"/>
          <w:shd w:val="clear" w:color="auto" w:fill="FFFFFF"/>
        </w:rPr>
        <w:t>九、合同期满后，乙方经甲方考核合格，</w:t>
      </w:r>
      <w:r>
        <w:rPr>
          <w:rFonts w:hint="eastAsia" w:hAnsi="宋体" w:cs="Arial"/>
          <w:color w:val="auto"/>
          <w:kern w:val="0"/>
          <w:szCs w:val="21"/>
          <w:highlight w:val="none"/>
          <w:shd w:val="clear" w:color="auto" w:fill="FFFFFF"/>
          <w:lang w:val="en-US" w:eastAsia="zh-CN"/>
        </w:rPr>
        <w:t>经双方协商一致可续</w:t>
      </w:r>
      <w:r>
        <w:rPr>
          <w:rFonts w:hint="eastAsia" w:hAnsi="宋体" w:cs="Arial"/>
          <w:color w:val="auto"/>
          <w:kern w:val="0"/>
          <w:szCs w:val="21"/>
          <w:highlight w:val="none"/>
          <w:shd w:val="clear" w:color="auto" w:fill="FFFFFF"/>
        </w:rPr>
        <w:t>签合同</w:t>
      </w:r>
      <w:r>
        <w:rPr>
          <w:rFonts w:hint="eastAsia" w:hAnsi="宋体" w:cs="Arial"/>
          <w:color w:val="auto"/>
          <w:kern w:val="0"/>
          <w:szCs w:val="21"/>
          <w:highlight w:val="none"/>
          <w:shd w:val="clear" w:color="auto" w:fill="FFFFFF"/>
          <w:lang w:eastAsia="zh-CN"/>
        </w:rPr>
        <w:t>。</w:t>
      </w:r>
    </w:p>
    <w:p>
      <w:pPr>
        <w:pStyle w:val="2"/>
        <w:ind w:left="0" w:leftChars="0" w:firstLine="0" w:firstLineChars="0"/>
        <w:rPr>
          <w:rFonts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十、其他内容合同另行约定。</w:t>
      </w:r>
    </w:p>
    <w:p>
      <w:pPr>
        <w:pStyle w:val="2"/>
        <w:ind w:left="0" w:leftChars="0" w:firstLine="0" w:firstLineChars="0"/>
        <w:rPr>
          <w:rFonts w:hAnsi="宋体" w:cs="Arial"/>
          <w:color w:val="000000"/>
          <w:kern w:val="0"/>
          <w:szCs w:val="21"/>
          <w:shd w:val="clear" w:color="auto" w:fill="FFFFFF"/>
        </w:rPr>
      </w:pPr>
      <w:r>
        <w:rPr>
          <w:rFonts w:hint="eastAsia" w:hAnsi="宋体" w:cs="Arial"/>
          <w:color w:val="000000"/>
          <w:kern w:val="0"/>
          <w:szCs w:val="21"/>
          <w:shd w:val="clear" w:color="auto" w:fill="FFFFFF"/>
        </w:rPr>
        <w:t>十一、本协议一式   份，甲、乙方各执    份，双方签字（章）生效。</w:t>
      </w:r>
    </w:p>
    <w:p>
      <w:pPr>
        <w:pStyle w:val="2"/>
        <w:ind w:left="0" w:leftChars="0" w:firstLine="0" w:firstLineChars="0"/>
        <w:rPr>
          <w:rFonts w:hAnsi="宋体" w:cs="Arial"/>
          <w:color w:val="000000"/>
          <w:kern w:val="0"/>
          <w:szCs w:val="21"/>
          <w:shd w:val="clear" w:color="auto" w:fill="FFFFFF"/>
        </w:rPr>
      </w:pPr>
    </w:p>
    <w:p>
      <w:pPr>
        <w:widowControl/>
        <w:shd w:val="solid" w:color="FFFFFF" w:fill="auto"/>
        <w:spacing w:line="440" w:lineRule="exact"/>
        <w:ind w:firstLine="480"/>
        <w:jc w:val="left"/>
        <w:rPr>
          <w:rFonts w:ascii="宋体" w:hAnsi="宋体" w:cs="Arial"/>
          <w:kern w:val="0"/>
          <w:szCs w:val="21"/>
          <w:shd w:val="clear" w:color="auto" w:fill="FFFFFF"/>
        </w:rPr>
      </w:pPr>
    </w:p>
    <w:p>
      <w:pPr>
        <w:widowControl/>
        <w:shd w:val="solid" w:color="FFFFFF" w:fill="auto"/>
        <w:spacing w:line="440" w:lineRule="exact"/>
        <w:ind w:firstLine="480"/>
        <w:jc w:val="left"/>
        <w:rPr>
          <w:rFonts w:ascii="宋体" w:hAnsi="宋体" w:cs="Arial"/>
          <w:kern w:val="0"/>
          <w:szCs w:val="21"/>
          <w:shd w:val="clear" w:color="auto" w:fill="FFFFFF"/>
        </w:rPr>
      </w:pPr>
      <w:r>
        <w:rPr>
          <w:rFonts w:hint="eastAsia" w:ascii="宋体" w:hAnsi="宋体" w:cs="Arial"/>
          <w:kern w:val="0"/>
          <w:szCs w:val="21"/>
          <w:shd w:val="clear" w:color="auto" w:fill="FFFFFF"/>
        </w:rPr>
        <w:t>甲方（公章）：                      乙方（公章）：</w:t>
      </w:r>
    </w:p>
    <w:p>
      <w:pPr>
        <w:widowControl/>
        <w:shd w:val="solid" w:color="FFFFFF" w:fill="auto"/>
        <w:spacing w:line="440" w:lineRule="exact"/>
        <w:ind w:firstLine="480"/>
        <w:jc w:val="left"/>
        <w:rPr>
          <w:rFonts w:ascii="宋体" w:hAnsi="宋体" w:cs="Arial"/>
          <w:kern w:val="0"/>
          <w:szCs w:val="21"/>
          <w:shd w:val="clear" w:color="auto" w:fill="FFFFFF"/>
        </w:rPr>
      </w:pPr>
      <w:r>
        <w:rPr>
          <w:rFonts w:hint="eastAsia" w:ascii="宋体" w:hAnsi="宋体" w:cs="Arial"/>
          <w:kern w:val="0"/>
          <w:szCs w:val="21"/>
          <w:shd w:val="clear" w:color="auto" w:fill="FFFFFF"/>
        </w:rPr>
        <w:t>甲方代表：                          乙方法定代表人或委托代理人：</w:t>
      </w:r>
    </w:p>
    <w:p>
      <w:pPr>
        <w:widowControl/>
        <w:shd w:val="solid" w:color="FFFFFF" w:fill="auto"/>
        <w:spacing w:line="440" w:lineRule="exact"/>
        <w:ind w:firstLine="480"/>
        <w:jc w:val="left"/>
        <w:rPr>
          <w:rFonts w:ascii="宋体" w:hAnsi="宋体" w:cs="Arial"/>
          <w:b/>
          <w:color w:val="000000"/>
          <w:kern w:val="0"/>
          <w:szCs w:val="21"/>
          <w:shd w:val="clear" w:color="auto" w:fill="FFFFFF"/>
        </w:rPr>
      </w:pPr>
      <w:r>
        <w:rPr>
          <w:rFonts w:hint="eastAsia" w:ascii="宋体" w:hAnsi="宋体" w:cs="Arial"/>
          <w:kern w:val="0"/>
          <w:szCs w:val="21"/>
          <w:shd w:val="clear" w:color="auto" w:fill="FFFFFF"/>
        </w:rPr>
        <w:t xml:space="preserve">日期：                              日期：    </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 w:val="32"/>
          <w:szCs w:val="32"/>
        </w:rPr>
      </w:pPr>
    </w:p>
    <w:bookmarkEnd w:id="866"/>
    <w:bookmarkEnd w:id="867"/>
    <w:bookmarkEnd w:id="868"/>
    <w:bookmarkEnd w:id="869"/>
    <w:p>
      <w:pPr>
        <w:spacing w:line="360" w:lineRule="auto"/>
        <w:jc w:val="center"/>
        <w:rPr>
          <w:rFonts w:ascii="仿宋_GB2312" w:eastAsia="仿宋_GB2312"/>
          <w:b/>
          <w:sz w:val="28"/>
          <w:szCs w:val="28"/>
        </w:rPr>
      </w:pPr>
    </w:p>
    <w:bookmarkEnd w:id="859"/>
    <w:bookmarkEnd w:id="860"/>
    <w:bookmarkEnd w:id="861"/>
    <w:bookmarkEnd w:id="862"/>
    <w:p>
      <w:pPr>
        <w:rPr>
          <w:bCs/>
          <w:szCs w:val="32"/>
        </w:rPr>
      </w:pPr>
      <w:bookmarkStart w:id="870" w:name="_Toc144974855"/>
      <w:bookmarkStart w:id="871" w:name="_Toc506107340"/>
      <w:bookmarkStart w:id="872" w:name="_Toc15058934"/>
      <w:bookmarkStart w:id="873" w:name="_Toc179632806"/>
      <w:bookmarkStart w:id="874" w:name="_Toc152045786"/>
      <w:bookmarkStart w:id="875" w:name="_Toc246997097"/>
      <w:bookmarkStart w:id="876" w:name="_Toc247085872"/>
      <w:bookmarkStart w:id="877" w:name="_Toc152042575"/>
      <w:bookmarkStart w:id="878" w:name="_Toc35424970"/>
      <w:bookmarkStart w:id="879" w:name="_Toc246996354"/>
      <w:bookmarkStart w:id="880" w:name="_Toc324404888"/>
      <w:bookmarkStart w:id="881" w:name="_Toc35425136"/>
      <w:bookmarkStart w:id="882" w:name="_Toc78803398"/>
    </w:p>
    <w:p>
      <w:pPr>
        <w:pStyle w:val="44"/>
        <w:spacing w:before="156" w:beforeLines="50" w:after="156" w:afterLines="50" w:line="440" w:lineRule="exact"/>
        <w:rPr>
          <w:bCs/>
          <w:szCs w:val="32"/>
        </w:rPr>
      </w:pPr>
      <w:r>
        <w:rPr>
          <w:rFonts w:hint="eastAsia"/>
          <w:bCs/>
          <w:szCs w:val="32"/>
        </w:rPr>
        <w:t>第五章  投标文件格式</w:t>
      </w:r>
      <w:bookmarkEnd w:id="870"/>
      <w:bookmarkEnd w:id="871"/>
      <w:bookmarkEnd w:id="872"/>
      <w:bookmarkEnd w:id="873"/>
      <w:bookmarkEnd w:id="874"/>
      <w:bookmarkEnd w:id="875"/>
      <w:bookmarkEnd w:id="876"/>
      <w:bookmarkEnd w:id="877"/>
      <w:bookmarkEnd w:id="878"/>
      <w:bookmarkEnd w:id="879"/>
      <w:bookmarkEnd w:id="880"/>
      <w:bookmarkEnd w:id="881"/>
      <w:bookmarkEnd w:id="882"/>
    </w:p>
    <w:p/>
    <w:p/>
    <w:p/>
    <w:p>
      <w:pPr>
        <w:jc w:val="center"/>
        <w:rPr>
          <w:rFonts w:eastAsia="黑体"/>
          <w:sz w:val="20"/>
          <w:szCs w:val="20"/>
        </w:rPr>
      </w:pPr>
      <w:r>
        <w:rPr>
          <w:rFonts w:eastAsia="黑体"/>
          <w:sz w:val="28"/>
          <w:szCs w:val="28"/>
        </w:rPr>
        <w:t>（项目名称）</w:t>
      </w:r>
    </w:p>
    <w:p>
      <w:pPr>
        <w:jc w:val="center"/>
        <w:rPr>
          <w:rFonts w:eastAsia="黑体"/>
          <w:sz w:val="20"/>
          <w:szCs w:val="20"/>
        </w:rPr>
      </w:pPr>
    </w:p>
    <w:p>
      <w:pPr>
        <w:jc w:val="center"/>
        <w:rPr>
          <w:rFonts w:eastAsia="黑体"/>
          <w:sz w:val="20"/>
          <w:szCs w:val="20"/>
        </w:rPr>
      </w:pPr>
    </w:p>
    <w:p>
      <w:pPr>
        <w:jc w:val="center"/>
        <w:rPr>
          <w:rFonts w:eastAsia="黑体"/>
          <w:sz w:val="20"/>
          <w:szCs w:val="20"/>
        </w:rPr>
      </w:pPr>
    </w:p>
    <w:p>
      <w:pPr>
        <w:rPr>
          <w:rFonts w:eastAsia="黑体"/>
          <w:sz w:val="20"/>
          <w:szCs w:val="20"/>
        </w:rPr>
      </w:pPr>
    </w:p>
    <w:p>
      <w:pPr>
        <w:jc w:val="center"/>
        <w:rPr>
          <w:rFonts w:eastAsia="黑体"/>
          <w:sz w:val="44"/>
          <w:szCs w:val="44"/>
        </w:rPr>
      </w:pPr>
      <w:r>
        <w:rPr>
          <w:rFonts w:eastAsia="黑体"/>
          <w:sz w:val="44"/>
          <w:szCs w:val="44"/>
        </w:rPr>
        <w:t>投  标  文  件</w:t>
      </w:r>
      <w:r>
        <w:rPr>
          <w:rFonts w:hint="eastAsia" w:eastAsia="黑体"/>
          <w:sz w:val="44"/>
          <w:szCs w:val="44"/>
        </w:rPr>
        <w:t xml:space="preserve"> 一</w:t>
      </w:r>
    </w:p>
    <w:p>
      <w:pPr>
        <w:jc w:val="center"/>
        <w:rPr>
          <w:rFonts w:eastAsia="黑体"/>
          <w:sz w:val="44"/>
          <w:szCs w:val="44"/>
        </w:rPr>
      </w:pPr>
      <w:r>
        <w:rPr>
          <w:rFonts w:hint="eastAsia" w:eastAsia="黑体"/>
          <w:sz w:val="44"/>
          <w:szCs w:val="44"/>
        </w:rPr>
        <w:t>（资信证明文件）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2"/>
        <w:ind w:firstLine="420"/>
        <w:rPr>
          <w:rFonts w:ascii="Times New Roman"/>
          <w:szCs w:val="24"/>
        </w:rPr>
      </w:pPr>
    </w:p>
    <w:p/>
    <w:p>
      <w:pPr>
        <w:pStyle w:val="2"/>
        <w:ind w:firstLine="420"/>
        <w:rPr>
          <w:rFonts w:ascii="Times New Roman"/>
          <w:szCs w:val="24"/>
        </w:rPr>
      </w:pPr>
    </w:p>
    <w:p/>
    <w:p>
      <w:pPr>
        <w:pStyle w:val="2"/>
        <w:ind w:firstLine="420"/>
      </w:pPr>
    </w:p>
    <w:p>
      <w:pPr>
        <w:pStyle w:val="2"/>
        <w:ind w:firstLine="420"/>
      </w:pPr>
    </w:p>
    <w:p>
      <w:pPr>
        <w:rPr>
          <w:rFonts w:eastAsia="黑体"/>
          <w:sz w:val="28"/>
          <w:szCs w:val="28"/>
        </w:rPr>
      </w:pPr>
    </w:p>
    <w:p>
      <w:pPr>
        <w:rPr>
          <w:rFonts w:eastAsia="黑体"/>
          <w:sz w:val="28"/>
          <w:szCs w:val="28"/>
        </w:rPr>
      </w:pPr>
    </w:p>
    <w:p>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pPr>
        <w:jc w:val="center"/>
        <w:rPr>
          <w:rFonts w:eastAsia="黑体"/>
          <w:sz w:val="28"/>
          <w:szCs w:val="28"/>
        </w:rPr>
      </w:pPr>
      <w:r>
        <w:rPr>
          <w:rFonts w:hint="eastAsia" w:eastAsia="黑体"/>
          <w:sz w:val="28"/>
          <w:szCs w:val="28"/>
          <w:u w:val="single"/>
        </w:rPr>
        <w:t xml:space="preserve">      </w:t>
      </w:r>
      <w:r>
        <w:rPr>
          <w:rFonts w:eastAsia="黑体"/>
          <w:sz w:val="28"/>
          <w:szCs w:val="28"/>
        </w:rPr>
        <w:t>年</w:t>
      </w:r>
      <w:r>
        <w:rPr>
          <w:rFonts w:hint="eastAsia" w:eastAsia="黑体"/>
          <w:sz w:val="28"/>
          <w:szCs w:val="28"/>
          <w:u w:val="single"/>
        </w:rPr>
        <w:t xml:space="preserve">     </w:t>
      </w:r>
      <w:r>
        <w:rPr>
          <w:rFonts w:eastAsia="黑体"/>
          <w:sz w:val="28"/>
          <w:szCs w:val="28"/>
        </w:rPr>
        <w:t>月</w:t>
      </w:r>
      <w:r>
        <w:rPr>
          <w:rFonts w:hint="eastAsia" w:eastAsia="黑体"/>
          <w:sz w:val="28"/>
          <w:szCs w:val="28"/>
          <w:u w:val="single"/>
        </w:rPr>
        <w:t xml:space="preserve">     </w:t>
      </w:r>
      <w:r>
        <w:rPr>
          <w:rFonts w:eastAsia="黑体"/>
          <w:sz w:val="28"/>
          <w:szCs w:val="28"/>
        </w:rPr>
        <w:t>日</w:t>
      </w:r>
    </w:p>
    <w:p>
      <w:bookmarkStart w:id="883" w:name="_Toc35425137"/>
      <w:bookmarkStart w:id="884" w:name="_Toc35424971"/>
      <w:bookmarkStart w:id="885" w:name="_Toc12683"/>
    </w:p>
    <w:p>
      <w:pPr>
        <w:spacing w:before="156" w:beforeLines="50" w:after="156" w:afterLines="50" w:line="440" w:lineRule="exact"/>
        <w:ind w:firstLine="643" w:firstLineChars="200"/>
        <w:jc w:val="left"/>
        <w:rPr>
          <w:rFonts w:ascii="宋体" w:hAnsi="宋体" w:cs="宋体"/>
          <w:b/>
          <w:sz w:val="28"/>
          <w:szCs w:val="28"/>
        </w:rPr>
      </w:pPr>
      <w:bookmarkStart w:id="886" w:name="_Toc78803399"/>
      <w:r>
        <w:rPr>
          <w:rStyle w:val="121"/>
          <w:rFonts w:hint="eastAsia" w:ascii="宋体" w:hAnsi="宋体" w:cs="宋体"/>
          <w:sz w:val="32"/>
        </w:rPr>
        <w:br w:type="page"/>
      </w:r>
      <w:r>
        <w:rPr>
          <w:rStyle w:val="121"/>
          <w:rFonts w:hint="eastAsia" w:ascii="宋体" w:hAnsi="宋体" w:cs="宋体"/>
          <w:sz w:val="32"/>
        </w:rPr>
        <w:t>投标文件一</w:t>
      </w:r>
      <w:bookmarkEnd w:id="883"/>
      <w:bookmarkEnd w:id="884"/>
      <w:bookmarkEnd w:id="885"/>
      <w:bookmarkEnd w:id="886"/>
      <w:r>
        <w:rPr>
          <w:rFonts w:hint="eastAsia" w:ascii="宋体" w:hAnsi="宋体" w:cs="宋体"/>
          <w:b/>
          <w:sz w:val="28"/>
          <w:szCs w:val="28"/>
        </w:rPr>
        <w:t>：资信证明文件目录</w:t>
      </w:r>
    </w:p>
    <w:p>
      <w:pPr>
        <w:spacing w:line="440" w:lineRule="exact"/>
        <w:ind w:firstLine="420" w:firstLineChars="200"/>
        <w:jc w:val="left"/>
        <w:rPr>
          <w:rFonts w:ascii="宋体" w:hAnsi="宋体" w:cs="宋体"/>
          <w:szCs w:val="21"/>
        </w:rPr>
      </w:pPr>
      <w:r>
        <w:rPr>
          <w:rFonts w:hint="eastAsia" w:ascii="宋体" w:hAnsi="宋体" w:cs="宋体"/>
          <w:szCs w:val="21"/>
        </w:rPr>
        <w:t>（1）法定代表人身份证明文件和本人有效身份证(或法定代表人授权委托书和委托代理人有效身份证)；</w:t>
      </w:r>
    </w:p>
    <w:p>
      <w:pPr>
        <w:spacing w:line="440" w:lineRule="exact"/>
        <w:ind w:firstLine="420" w:firstLineChars="200"/>
        <w:jc w:val="left"/>
        <w:rPr>
          <w:rFonts w:ascii="宋体" w:hAnsi="宋体" w:cs="宋体"/>
          <w:szCs w:val="21"/>
        </w:rPr>
      </w:pPr>
      <w:r>
        <w:rPr>
          <w:rFonts w:hint="eastAsia" w:ascii="宋体" w:hAnsi="宋体" w:cs="宋体"/>
          <w:szCs w:val="21"/>
        </w:rPr>
        <w:t>（2）诚信投标承诺书；</w:t>
      </w:r>
    </w:p>
    <w:p>
      <w:pPr>
        <w:spacing w:line="440" w:lineRule="exact"/>
        <w:ind w:firstLine="420" w:firstLineChars="200"/>
        <w:jc w:val="left"/>
        <w:rPr>
          <w:rFonts w:ascii="宋体" w:hAnsi="宋体" w:cs="宋体"/>
          <w:szCs w:val="21"/>
        </w:rPr>
      </w:pPr>
      <w:r>
        <w:rPr>
          <w:rFonts w:hint="eastAsia" w:ascii="宋体" w:hAnsi="宋体" w:cs="宋体"/>
          <w:szCs w:val="21"/>
        </w:rPr>
        <w:t>（3）企业法人营业执照；</w:t>
      </w:r>
    </w:p>
    <w:p>
      <w:pPr>
        <w:spacing w:line="440" w:lineRule="exact"/>
        <w:ind w:firstLine="420" w:firstLineChars="200"/>
        <w:jc w:val="left"/>
        <w:rPr>
          <w:rFonts w:ascii="宋体" w:hAnsi="宋体" w:cs="宋体"/>
          <w:szCs w:val="21"/>
        </w:rPr>
      </w:pPr>
      <w:r>
        <w:rPr>
          <w:rFonts w:hint="eastAsia" w:ascii="宋体" w:hAnsi="宋体" w:cs="宋体"/>
          <w:szCs w:val="21"/>
        </w:rPr>
        <w:t>（4）企业资质证书；</w:t>
      </w:r>
    </w:p>
    <w:p>
      <w:pPr>
        <w:spacing w:line="440" w:lineRule="exact"/>
        <w:ind w:firstLine="420" w:firstLineChars="200"/>
        <w:jc w:val="left"/>
        <w:rPr>
          <w:rFonts w:ascii="宋体" w:hAnsi="宋体" w:cs="宋体"/>
          <w:szCs w:val="21"/>
          <w:highlight w:val="none"/>
        </w:rPr>
      </w:pPr>
      <w:r>
        <w:rPr>
          <w:rFonts w:hint="eastAsia" w:ascii="宋体" w:hAnsi="宋体" w:cs="宋体"/>
          <w:szCs w:val="21"/>
        </w:rPr>
        <w:t>（5）项目经理的有效身份证、爆破作业人员许可证（作业类别：爆破工程技术人员高级/B或以上证书）；</w:t>
      </w:r>
    </w:p>
    <w:p>
      <w:pPr>
        <w:spacing w:line="440" w:lineRule="exact"/>
        <w:ind w:firstLine="420" w:firstLineChars="200"/>
        <w:jc w:val="left"/>
        <w:rPr>
          <w:rFonts w:ascii="宋体" w:hAnsi="宋体" w:cs="宋体"/>
          <w:szCs w:val="21"/>
        </w:rPr>
      </w:pPr>
      <w:r>
        <w:rPr>
          <w:rFonts w:hint="eastAsia" w:ascii="宋体" w:hAnsi="宋体" w:cs="宋体"/>
          <w:szCs w:val="21"/>
          <w:highlight w:val="none"/>
        </w:rPr>
        <w:t>（6）投标人的法定代表人(或委托代理人)和拟任项目经理须持有社保部门出具的本单位为其缴纳的投标前近</w:t>
      </w:r>
      <w:r>
        <w:rPr>
          <w:rFonts w:hint="eastAsia" w:ascii="宋体" w:hAnsi="宋体" w:cs="宋体"/>
          <w:szCs w:val="21"/>
          <w:highlight w:val="none"/>
          <w:lang w:val="en-US" w:eastAsia="zh-CN"/>
        </w:rPr>
        <w:t>六</w:t>
      </w:r>
      <w:r>
        <w:rPr>
          <w:rFonts w:hint="eastAsia" w:ascii="宋体" w:hAnsi="宋体" w:cs="宋体"/>
          <w:szCs w:val="21"/>
          <w:highlight w:val="none"/>
        </w:rPr>
        <w:t>个月连续的养老保险证明（含官网</w:t>
      </w:r>
      <w:r>
        <w:rPr>
          <w:rFonts w:hint="eastAsia" w:ascii="宋体" w:hAnsi="宋体" w:cs="宋体"/>
          <w:szCs w:val="21"/>
        </w:rPr>
        <w:t>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pPr>
        <w:spacing w:line="440" w:lineRule="exact"/>
        <w:ind w:firstLine="420" w:firstLineChars="200"/>
        <w:jc w:val="left"/>
        <w:rPr>
          <w:rFonts w:ascii="宋体" w:hAnsi="宋体" w:cs="宋体"/>
          <w:szCs w:val="21"/>
        </w:rPr>
      </w:pPr>
      <w:r>
        <w:rPr>
          <w:rFonts w:hint="eastAsia" w:ascii="宋体" w:hAnsi="宋体" w:cs="宋体"/>
          <w:szCs w:val="21"/>
        </w:rPr>
        <w:t>（7）资信标投标人认为需要的其它证明材料。</w:t>
      </w:r>
    </w:p>
    <w:p>
      <w:pPr>
        <w:spacing w:line="360" w:lineRule="auto"/>
        <w:jc w:val="center"/>
        <w:rPr>
          <w:rFonts w:ascii="宋体"/>
          <w:b/>
          <w:sz w:val="28"/>
          <w:szCs w:val="28"/>
        </w:rPr>
      </w:pPr>
      <w:r>
        <w:rPr>
          <w:rFonts w:hint="eastAsia"/>
          <w:b/>
          <w:sz w:val="28"/>
          <w:szCs w:val="28"/>
        </w:rPr>
        <w:br w:type="page"/>
      </w:r>
      <w:r>
        <w:rPr>
          <w:rFonts w:hint="eastAsia"/>
          <w:b/>
          <w:sz w:val="28"/>
          <w:szCs w:val="28"/>
        </w:rPr>
        <w:t>（1）法定代表人身份证明或授权委托书</w:t>
      </w:r>
    </w:p>
    <w:p>
      <w:pPr>
        <w:pStyle w:val="75"/>
        <w:spacing w:before="312" w:beforeLines="100" w:after="312" w:afterLines="100" w:line="440" w:lineRule="exact"/>
        <w:rPr>
          <w:rFonts w:ascii="宋体"/>
          <w:b/>
          <w:color w:val="auto"/>
          <w:sz w:val="24"/>
          <w:szCs w:val="24"/>
        </w:rPr>
      </w:pPr>
      <w:bookmarkStart w:id="887" w:name="_Toc506107356"/>
      <w:bookmarkStart w:id="888" w:name="_Toc26598"/>
      <w:bookmarkStart w:id="889" w:name="_Toc503196197"/>
      <w:r>
        <w:rPr>
          <w:rFonts w:hint="eastAsia" w:ascii="宋体"/>
          <w:color w:val="auto"/>
          <w:sz w:val="24"/>
          <w:szCs w:val="24"/>
        </w:rPr>
        <w:t>1、法定代表人身份证明</w:t>
      </w:r>
    </w:p>
    <w:p>
      <w:pPr>
        <w:spacing w:line="440" w:lineRule="exact"/>
        <w:rPr>
          <w:rFonts w:ascii="宋体"/>
          <w:sz w:val="24"/>
        </w:rPr>
      </w:pPr>
      <w:r>
        <w:rPr>
          <w:rFonts w:hint="eastAsia" w:ascii="宋体"/>
          <w:sz w:val="24"/>
        </w:rPr>
        <w:t>投标人名称：</w:t>
      </w:r>
      <w:r>
        <w:rPr>
          <w:rFonts w:hint="eastAsia" w:ascii="宋体"/>
          <w:sz w:val="24"/>
          <w:u w:val="single"/>
        </w:rPr>
        <w:t xml:space="preserve">                            </w:t>
      </w:r>
    </w:p>
    <w:p>
      <w:pPr>
        <w:spacing w:line="440" w:lineRule="exact"/>
        <w:rPr>
          <w:rFonts w:ascii="宋体"/>
          <w:sz w:val="24"/>
        </w:rPr>
      </w:pPr>
      <w:r>
        <w:rPr>
          <w:rFonts w:hint="eastAsia" w:ascii="宋体"/>
          <w:sz w:val="24"/>
        </w:rPr>
        <w:t>单位性质：</w:t>
      </w:r>
      <w:r>
        <w:rPr>
          <w:rFonts w:hint="eastAsia" w:ascii="宋体"/>
          <w:sz w:val="24"/>
          <w:u w:val="single"/>
        </w:rPr>
        <w:t xml:space="preserve">                              </w:t>
      </w:r>
    </w:p>
    <w:p>
      <w:pPr>
        <w:spacing w:line="440" w:lineRule="exact"/>
        <w:rPr>
          <w:rFonts w:ascii="宋体"/>
          <w:sz w:val="24"/>
        </w:rPr>
      </w:pPr>
      <w:r>
        <w:rPr>
          <w:rFonts w:hint="eastAsia" w:ascii="宋体"/>
          <w:sz w:val="24"/>
        </w:rPr>
        <w:t>地    址：</w:t>
      </w:r>
      <w:r>
        <w:rPr>
          <w:rFonts w:hint="eastAsia" w:ascii="宋体"/>
          <w:sz w:val="24"/>
          <w:u w:val="single"/>
        </w:rPr>
        <w:t xml:space="preserve">                              </w:t>
      </w:r>
    </w:p>
    <w:p>
      <w:pPr>
        <w:spacing w:line="440" w:lineRule="exact"/>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440" w:lineRule="exact"/>
        <w:rPr>
          <w:rFonts w:ascii="宋体"/>
          <w:sz w:val="24"/>
        </w:rPr>
      </w:pPr>
      <w:r>
        <w:rPr>
          <w:rFonts w:hint="eastAsia" w:ascii="宋体"/>
          <w:sz w:val="24"/>
        </w:rPr>
        <w:t>经营期限：</w:t>
      </w:r>
      <w:r>
        <w:rPr>
          <w:rFonts w:hint="eastAsia" w:ascii="宋体"/>
          <w:sz w:val="24"/>
          <w:u w:val="single"/>
        </w:rPr>
        <w:t xml:space="preserve">                              </w:t>
      </w:r>
    </w:p>
    <w:p>
      <w:pPr>
        <w:spacing w:line="440" w:lineRule="exact"/>
        <w:jc w:val="left"/>
        <w:rPr>
          <w:rFonts w:ascii="宋体"/>
          <w:sz w:val="24"/>
          <w:u w:val="single"/>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身份证号码：</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，系</w:t>
      </w:r>
      <w:r>
        <w:rPr>
          <w:rFonts w:hint="eastAsia" w:ascii="宋体"/>
          <w:sz w:val="24"/>
          <w:u w:val="single"/>
        </w:rPr>
        <w:t xml:space="preserve">     （投标人名称）</w:t>
      </w:r>
      <w:r>
        <w:rPr>
          <w:rFonts w:hint="eastAsia" w:ascii="宋体"/>
          <w:sz w:val="24"/>
        </w:rPr>
        <w:t>的法定代表人。</w:t>
      </w:r>
    </w:p>
    <w:p>
      <w:pPr>
        <w:spacing w:line="440" w:lineRule="exact"/>
        <w:rPr>
          <w:rFonts w:ascii="宋体"/>
          <w:sz w:val="24"/>
        </w:rPr>
      </w:pPr>
      <w:r>
        <w:rPr>
          <w:rFonts w:hint="eastAsia" w:ascii="宋体"/>
          <w:sz w:val="24"/>
        </w:rPr>
        <w:t>特此证明。</w:t>
      </w:r>
    </w:p>
    <w:p>
      <w:pPr>
        <w:spacing w:line="440" w:lineRule="exact"/>
        <w:ind w:firstLine="3720" w:firstLineChars="1550"/>
        <w:rPr>
          <w:rFonts w:ascii="宋体"/>
          <w:sz w:val="24"/>
        </w:rPr>
      </w:pPr>
      <w:r>
        <w:rPr>
          <w:rFonts w:hint="eastAsia" w:ascii="宋体"/>
          <w:sz w:val="24"/>
        </w:rPr>
        <w:t>投标人：</w:t>
      </w:r>
      <w:r>
        <w:rPr>
          <w:rFonts w:hint="eastAsia" w:ascii="宋体"/>
          <w:sz w:val="24"/>
          <w:u w:val="single"/>
        </w:rPr>
        <w:t xml:space="preserve">            （盖章）</w:t>
      </w:r>
    </w:p>
    <w:p>
      <w:pPr>
        <w:spacing w:line="440" w:lineRule="exact"/>
        <w:rPr>
          <w:rFonts w:ascii="宋体"/>
          <w:sz w:val="24"/>
        </w:rPr>
      </w:pPr>
      <w:r>
        <w:rPr>
          <w:rFonts w:hint="eastAsia" w:ascii="宋体"/>
          <w:sz w:val="24"/>
        </w:rPr>
        <w:t xml:space="preserve">                                        年    月     日</w:t>
      </w:r>
    </w:p>
    <w:p>
      <w:pPr>
        <w:spacing w:line="440" w:lineRule="exact"/>
      </w:pPr>
    </w:p>
    <w:p>
      <w:pPr>
        <w:pStyle w:val="75"/>
        <w:spacing w:before="312" w:beforeLines="100" w:after="312" w:afterLines="100" w:line="440" w:lineRule="exact"/>
        <w:rPr>
          <w:rFonts w:ascii="宋体"/>
          <w:color w:val="auto"/>
          <w:sz w:val="24"/>
          <w:szCs w:val="24"/>
        </w:rPr>
      </w:pPr>
      <w:r>
        <w:rPr>
          <w:rFonts w:hint="eastAsia" w:ascii="宋体"/>
          <w:color w:val="auto"/>
          <w:sz w:val="24"/>
          <w:szCs w:val="24"/>
        </w:rPr>
        <w:t>或1、授权委托书</w:t>
      </w:r>
    </w:p>
    <w:p>
      <w:pPr>
        <w:spacing w:line="440" w:lineRule="exact"/>
        <w:ind w:firstLine="480" w:firstLineChars="200"/>
        <w:jc w:val="left"/>
        <w:rPr>
          <w:rFonts w:ascii="宋体"/>
          <w:sz w:val="24"/>
        </w:rPr>
      </w:pPr>
      <w:r>
        <w:rPr>
          <w:rFonts w:hint="eastAsia" w:ascii="宋体"/>
          <w:sz w:val="24"/>
        </w:rPr>
        <w:t>本人</w:t>
      </w:r>
      <w:r>
        <w:rPr>
          <w:rFonts w:hint="eastAsia" w:ascii="宋体"/>
          <w:sz w:val="24"/>
          <w:u w:val="single"/>
        </w:rPr>
        <w:t xml:space="preserve"> （姓名）</w:t>
      </w:r>
      <w:r>
        <w:rPr>
          <w:rFonts w:hint="eastAsia" w:ascii="宋体"/>
          <w:sz w:val="24"/>
        </w:rPr>
        <w:t>系</w:t>
      </w:r>
      <w:r>
        <w:rPr>
          <w:rFonts w:hint="eastAsia" w:ascii="宋体"/>
          <w:sz w:val="24"/>
          <w:u w:val="single"/>
        </w:rPr>
        <w:t>（投标人）</w:t>
      </w:r>
      <w:r>
        <w:rPr>
          <w:rFonts w:hint="eastAsia" w:ascii="宋体"/>
          <w:sz w:val="24"/>
        </w:rPr>
        <w:t>的法定代表人，现委托</w:t>
      </w:r>
      <w:r>
        <w:rPr>
          <w:rFonts w:hint="eastAsia" w:ascii="宋体"/>
          <w:sz w:val="24"/>
          <w:u w:val="single"/>
        </w:rPr>
        <w:t>（姓名）</w:t>
      </w:r>
      <w:r>
        <w:rPr>
          <w:rFonts w:hint="eastAsia" w:ascii="宋体"/>
          <w:sz w:val="24"/>
        </w:rPr>
        <w:t>为我方代理人。代理人根据授权，以我方名义签署、澄清、说明、补正、递交、撤回、修改</w:t>
      </w:r>
      <w:r>
        <w:rPr>
          <w:rFonts w:hint="eastAsia" w:ascii="宋体"/>
          <w:sz w:val="24"/>
          <w:u w:val="single"/>
        </w:rPr>
        <w:t xml:space="preserve"> “   ”(项目名称）</w:t>
      </w:r>
      <w:r>
        <w:rPr>
          <w:rFonts w:hint="eastAsia" w:ascii="宋体"/>
          <w:sz w:val="24"/>
        </w:rPr>
        <w:t>投标文件，全权处理与该项目投标、评审答疑、签订合同以及与合同执行有关的一切事务，其法律后果由我方承担。</w:t>
      </w:r>
    </w:p>
    <w:p>
      <w:pPr>
        <w:spacing w:line="440" w:lineRule="exact"/>
        <w:ind w:firstLine="480" w:firstLineChars="200"/>
        <w:rPr>
          <w:rFonts w:ascii="宋体"/>
          <w:sz w:val="24"/>
        </w:rPr>
      </w:pPr>
      <w:r>
        <w:rPr>
          <w:rFonts w:hint="eastAsia" w:ascii="宋体"/>
          <w:sz w:val="24"/>
        </w:rPr>
        <w:t>委托期限：</w:t>
      </w:r>
      <w:r>
        <w:rPr>
          <w:rFonts w:hint="eastAsia" w:ascii="宋体"/>
          <w:sz w:val="24"/>
          <w:u w:val="single"/>
        </w:rPr>
        <w:t xml:space="preserve">              </w:t>
      </w:r>
      <w:r>
        <w:rPr>
          <w:rFonts w:hint="eastAsia" w:ascii="宋体" w:cs="宋体"/>
          <w:sz w:val="24"/>
        </w:rPr>
        <w:t>。</w:t>
      </w:r>
    </w:p>
    <w:p>
      <w:pPr>
        <w:spacing w:line="440" w:lineRule="exact"/>
        <w:ind w:firstLine="480" w:firstLineChars="200"/>
        <w:rPr>
          <w:rFonts w:ascii="宋体"/>
          <w:sz w:val="24"/>
        </w:rPr>
      </w:pPr>
      <w:r>
        <w:rPr>
          <w:rFonts w:hint="eastAsia" w:ascii="宋体"/>
          <w:sz w:val="24"/>
        </w:rPr>
        <w:t>代理人无转委托权。</w:t>
      </w:r>
    </w:p>
    <w:p>
      <w:pPr>
        <w:spacing w:line="440" w:lineRule="exact"/>
        <w:ind w:firstLine="480" w:firstLineChars="200"/>
        <w:rPr>
          <w:rFonts w:ascii="宋体"/>
          <w:b/>
          <w:sz w:val="24"/>
        </w:rPr>
      </w:pPr>
      <w:r>
        <w:rPr>
          <w:rFonts w:hint="eastAsia" w:ascii="宋体"/>
          <w:sz w:val="24"/>
        </w:rPr>
        <w:t>附：</w:t>
      </w:r>
      <w:r>
        <w:rPr>
          <w:rFonts w:hint="eastAsia" w:ascii="宋体"/>
          <w:b/>
          <w:sz w:val="24"/>
        </w:rPr>
        <w:t>委托代理人有效身份证扫描件</w:t>
      </w:r>
    </w:p>
    <w:p>
      <w:pPr>
        <w:spacing w:line="440" w:lineRule="exact"/>
        <w:ind w:firstLine="964" w:firstLineChars="400"/>
        <w:rPr>
          <w:rFonts w:ascii="宋体"/>
          <w:b/>
          <w:sz w:val="24"/>
        </w:rPr>
      </w:pPr>
      <w:r>
        <w:rPr>
          <w:rFonts w:hint="eastAsia" w:ascii="宋体"/>
          <w:b/>
          <w:sz w:val="24"/>
        </w:rPr>
        <w:t>法定代表人有效身份证扫描件</w:t>
      </w:r>
    </w:p>
    <w:p>
      <w:pPr>
        <w:spacing w:line="440" w:lineRule="exact"/>
        <w:ind w:firstLine="833" w:firstLineChars="397"/>
      </w:pPr>
    </w:p>
    <w:p>
      <w:pPr>
        <w:spacing w:line="440" w:lineRule="exact"/>
        <w:ind w:firstLine="3720" w:firstLineChars="1550"/>
        <w:rPr>
          <w:rFonts w:ascii="宋体"/>
          <w:sz w:val="24"/>
        </w:rPr>
      </w:pPr>
      <w:r>
        <w:rPr>
          <w:rFonts w:hint="eastAsia" w:ascii="宋体"/>
          <w:sz w:val="24"/>
        </w:rPr>
        <w:t xml:space="preserve"> 投标人（盖章）：</w:t>
      </w:r>
    </w:p>
    <w:p>
      <w:pPr>
        <w:spacing w:line="440" w:lineRule="exact"/>
        <w:ind w:firstLine="3720" w:firstLineChars="1550"/>
        <w:rPr>
          <w:rFonts w:ascii="宋体"/>
          <w:sz w:val="24"/>
        </w:rPr>
      </w:pPr>
      <w:r>
        <w:rPr>
          <w:rFonts w:hint="eastAsia" w:ascii="宋体"/>
          <w:sz w:val="24"/>
        </w:rPr>
        <w:t>法定代表人（身份证号码）：    （签字或盖章）</w:t>
      </w:r>
    </w:p>
    <w:p>
      <w:pPr>
        <w:spacing w:line="440" w:lineRule="exact"/>
        <w:ind w:firstLine="3720" w:firstLineChars="1550"/>
        <w:rPr>
          <w:rFonts w:ascii="宋体"/>
          <w:sz w:val="24"/>
        </w:rPr>
      </w:pPr>
      <w:r>
        <w:rPr>
          <w:rFonts w:hint="eastAsia" w:ascii="宋体"/>
          <w:sz w:val="24"/>
        </w:rPr>
        <w:t>委托代理人（身份证号码）：    （签字或盖章）</w:t>
      </w:r>
    </w:p>
    <w:p>
      <w:pPr>
        <w:spacing w:line="440" w:lineRule="exact"/>
        <w:ind w:firstLine="5040" w:firstLineChars="2100"/>
        <w:rPr>
          <w:rFonts w:ascii="宋体"/>
          <w:sz w:val="24"/>
        </w:rPr>
      </w:pPr>
      <w:r>
        <w:rPr>
          <w:rFonts w:hint="eastAsia" w:ascii="宋体"/>
          <w:sz w:val="24"/>
        </w:rPr>
        <w:t xml:space="preserve">   </w:t>
      </w:r>
    </w:p>
    <w:p>
      <w:pPr>
        <w:spacing w:line="440" w:lineRule="exact"/>
        <w:ind w:firstLine="5700" w:firstLineChars="2375"/>
        <w:rPr>
          <w:rFonts w:ascii="宋体"/>
          <w:sz w:val="24"/>
        </w:rPr>
      </w:pPr>
      <w:r>
        <w:rPr>
          <w:rFonts w:hint="eastAsia" w:ascii="宋体"/>
          <w:sz w:val="24"/>
        </w:rPr>
        <w:t>年    月    日</w:t>
      </w:r>
    </w:p>
    <w:p>
      <w:pPr>
        <w:spacing w:line="360" w:lineRule="exact"/>
        <w:jc w:val="center"/>
        <w:rPr>
          <w:b/>
          <w:sz w:val="28"/>
          <w:szCs w:val="28"/>
        </w:rPr>
      </w:pPr>
    </w:p>
    <w:p>
      <w:pPr>
        <w:spacing w:line="360" w:lineRule="exact"/>
        <w:jc w:val="center"/>
        <w:rPr>
          <w:b/>
          <w:sz w:val="28"/>
          <w:szCs w:val="28"/>
        </w:rPr>
      </w:pPr>
      <w:r>
        <w:rPr>
          <w:rFonts w:hint="eastAsia"/>
          <w:b/>
          <w:sz w:val="28"/>
          <w:szCs w:val="28"/>
        </w:rPr>
        <w:t>（2）诚信投标承诺书</w:t>
      </w:r>
      <w:bookmarkEnd w:id="887"/>
      <w:bookmarkEnd w:id="888"/>
      <w:bookmarkEnd w:id="889"/>
    </w:p>
    <w:p>
      <w:pPr>
        <w:spacing w:line="360" w:lineRule="exact"/>
        <w:rPr>
          <w:rFonts w:ascii="宋体" w:hAnsi="宋体"/>
          <w:szCs w:val="21"/>
        </w:rPr>
      </w:pPr>
      <w:r>
        <w:rPr>
          <w:rFonts w:hint="eastAsia" w:ascii="宋体" w:hAnsi="宋体"/>
          <w:szCs w:val="21"/>
        </w:rPr>
        <w:t>本人以企业法定代表人的身份郑重承诺：</w:t>
      </w:r>
    </w:p>
    <w:p>
      <w:pPr>
        <w:spacing w:line="360" w:lineRule="exact"/>
        <w:ind w:firstLine="420" w:firstLineChars="200"/>
        <w:rPr>
          <w:rFonts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（项目名称）        </w:t>
      </w:r>
      <w:r>
        <w:rPr>
          <w:rFonts w:hint="eastAsia" w:ascii="宋体" w:hAnsi="宋体"/>
          <w:szCs w:val="21"/>
        </w:rPr>
        <w:t>项目的投标；</w:t>
      </w:r>
    </w:p>
    <w:p>
      <w:pPr>
        <w:spacing w:line="360" w:lineRule="exact"/>
        <w:ind w:firstLine="420" w:firstLineChars="200"/>
        <w:rPr>
          <w:rFonts w:ascii="宋体" w:hAnsi="宋体"/>
          <w:szCs w:val="21"/>
        </w:rPr>
      </w:pPr>
      <w:r>
        <w:rPr>
          <w:rFonts w:hint="eastAsia" w:ascii="宋体" w:hAnsi="宋体"/>
          <w:szCs w:val="21"/>
        </w:rPr>
        <w:t>二、所提供的一切材料都是真实、有效、合法的；</w:t>
      </w:r>
    </w:p>
    <w:p>
      <w:pPr>
        <w:spacing w:line="360" w:lineRule="exact"/>
        <w:ind w:firstLine="420" w:firstLineChars="200"/>
        <w:rPr>
          <w:rFonts w:ascii="宋体" w:hAnsi="宋体"/>
          <w:szCs w:val="21"/>
        </w:rPr>
      </w:pPr>
      <w:r>
        <w:rPr>
          <w:rFonts w:hint="eastAsia" w:ascii="宋体" w:hAnsi="宋体"/>
          <w:szCs w:val="21"/>
        </w:rPr>
        <w:t>三、不出借、转让资质证书，不让他人挂靠投标，不以他人名义投标或者以其他方式弄虚作假，骗取中标；</w:t>
      </w:r>
    </w:p>
    <w:p>
      <w:pPr>
        <w:spacing w:line="360" w:lineRule="exact"/>
        <w:ind w:firstLine="420" w:firstLineChars="200"/>
        <w:rPr>
          <w:rFonts w:ascii="宋体" w:hAnsi="宋体"/>
          <w:szCs w:val="21"/>
        </w:rPr>
      </w:pPr>
      <w:r>
        <w:rPr>
          <w:rFonts w:hint="eastAsia" w:ascii="宋体" w:hAnsi="宋体"/>
          <w:szCs w:val="21"/>
        </w:rPr>
        <w:t>四、不与其他投标人相互串通投标报价，不排挤其他投标人的公平竞争、损害招标人的合法权益；</w:t>
      </w:r>
    </w:p>
    <w:p>
      <w:pPr>
        <w:spacing w:line="360" w:lineRule="exact"/>
        <w:ind w:firstLine="420" w:firstLineChars="200"/>
        <w:rPr>
          <w:rFonts w:ascii="宋体" w:hAnsi="宋体"/>
          <w:szCs w:val="21"/>
        </w:rPr>
      </w:pPr>
      <w:r>
        <w:rPr>
          <w:rFonts w:hint="eastAsia" w:ascii="宋体" w:hAnsi="宋体"/>
          <w:szCs w:val="21"/>
        </w:rPr>
        <w:t>五、不与招标人、招标代理机构或其他投标人串通投标，损害国家利益、社会公共利益或者他人的合法权益；</w:t>
      </w:r>
    </w:p>
    <w:p>
      <w:pPr>
        <w:spacing w:line="360" w:lineRule="exact"/>
        <w:ind w:firstLine="420" w:firstLineChars="200"/>
        <w:rPr>
          <w:szCs w:val="21"/>
        </w:rPr>
      </w:pPr>
      <w:r>
        <w:rPr>
          <w:rFonts w:hint="eastAsia" w:ascii="宋体" w:hAnsi="宋体"/>
          <w:szCs w:val="21"/>
        </w:rPr>
        <w:t>六、</w:t>
      </w:r>
      <w:r>
        <w:rPr>
          <w:rFonts w:hint="eastAsia" w:ascii="宋体" w:hAnsi="宋体"/>
          <w:szCs w:val="21"/>
          <w:u w:val="single"/>
        </w:rPr>
        <w:t>我公司</w:t>
      </w:r>
      <w:r>
        <w:rPr>
          <w:rFonts w:hint="eastAsia" w:ascii="宋体" w:hAnsi="宋体"/>
          <w:szCs w:val="21"/>
        </w:rPr>
        <w:t>没有下列情形： 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szCs w:val="21"/>
        </w:rPr>
        <w:t>被列入省级、市级农民工工资支付异常名录的施工企业，限制其参加全市范围内房建和市政工程建设项目投标；列入县级异常名录的施工企业，限制其参加本行政区域内房建和市政建设项目投标。</w:t>
      </w:r>
    </w:p>
    <w:p>
      <w:pPr>
        <w:spacing w:line="360" w:lineRule="exact"/>
        <w:ind w:firstLine="420" w:firstLineChars="200"/>
        <w:rPr>
          <w:rFonts w:ascii="宋体" w:hAnsi="宋体"/>
          <w:szCs w:val="21"/>
        </w:rPr>
      </w:pPr>
      <w:r>
        <w:rPr>
          <w:rFonts w:hint="eastAsia" w:ascii="宋体" w:hAnsi="宋体"/>
          <w:szCs w:val="21"/>
        </w:rPr>
        <w:t>七、严格遵守开标现场纪律，服从监管人员管理；</w:t>
      </w:r>
    </w:p>
    <w:p>
      <w:pPr>
        <w:spacing w:line="360" w:lineRule="exact"/>
        <w:ind w:firstLine="420" w:firstLineChars="200"/>
        <w:rPr>
          <w:rFonts w:ascii="宋体" w:hAnsi="宋体"/>
          <w:szCs w:val="21"/>
        </w:rPr>
      </w:pPr>
      <w:r>
        <w:rPr>
          <w:rFonts w:hint="eastAsia" w:ascii="宋体" w:hAnsi="宋体"/>
          <w:szCs w:val="21"/>
        </w:rPr>
        <w:t>八、保证中标后不转包及使用挂靠施工队伍，若有分包征得建设单位同意；</w:t>
      </w:r>
    </w:p>
    <w:p>
      <w:pPr>
        <w:spacing w:line="360" w:lineRule="exact"/>
        <w:ind w:firstLine="420" w:firstLineChars="200"/>
        <w:rPr>
          <w:rFonts w:ascii="宋体" w:hAnsi="宋体"/>
          <w:szCs w:val="21"/>
        </w:rPr>
      </w:pPr>
      <w:r>
        <w:rPr>
          <w:rFonts w:hint="eastAsia" w:ascii="宋体" w:hAnsi="宋体"/>
          <w:szCs w:val="21"/>
        </w:rPr>
        <w:t>九、保证中标之后，按照投标文件承诺派驻管理人员及投入机械设备，如有违反，同意接受建设单位违约处罚；</w:t>
      </w:r>
    </w:p>
    <w:p>
      <w:pPr>
        <w:spacing w:line="360" w:lineRule="exact"/>
        <w:ind w:firstLine="420" w:firstLineChars="200"/>
        <w:rPr>
          <w:rFonts w:ascii="宋体" w:hAnsi="宋体"/>
          <w:szCs w:val="21"/>
        </w:rPr>
      </w:pPr>
      <w:r>
        <w:rPr>
          <w:rFonts w:hint="eastAsia" w:ascii="宋体" w:hAnsi="宋体"/>
          <w:szCs w:val="21"/>
        </w:rPr>
        <w:t>十、保证企业及所属相关人员在本次投标中无行贿等犯罪行为；</w:t>
      </w:r>
    </w:p>
    <w:p>
      <w:pPr>
        <w:spacing w:line="360" w:lineRule="exact"/>
        <w:ind w:firstLine="420" w:firstLineChars="200"/>
        <w:rPr>
          <w:rFonts w:ascii="宋体" w:hAnsi="宋体"/>
          <w:szCs w:val="21"/>
        </w:rPr>
      </w:pPr>
      <w:r>
        <w:rPr>
          <w:rFonts w:hint="eastAsia" w:ascii="宋体" w:hAnsi="宋体"/>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360" w:lineRule="exact"/>
        <w:ind w:firstLine="420" w:firstLineChars="200"/>
        <w:rPr>
          <w:rFonts w:ascii="宋体" w:hAnsi="宋体"/>
          <w:szCs w:val="21"/>
        </w:rPr>
      </w:pPr>
      <w:r>
        <w:rPr>
          <w:rFonts w:hint="eastAsia" w:ascii="宋体" w:hAnsi="宋体"/>
          <w:szCs w:val="21"/>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spacing w:line="360" w:lineRule="exact"/>
        <w:ind w:firstLine="420" w:firstLineChars="200"/>
        <w:rPr>
          <w:rFonts w:ascii="宋体" w:hAnsi="宋体"/>
          <w:szCs w:val="21"/>
        </w:rPr>
      </w:pPr>
      <w:r>
        <w:rPr>
          <w:rFonts w:hint="eastAsia" w:ascii="宋体" w:hAnsi="宋体"/>
          <w:szCs w:val="21"/>
        </w:rPr>
        <w:t>以上内容我已仔细阅读，本公司若有违反承诺内容的行为，自愿接受取消投标或者中标资格、记入不良行为记录等有关处理，愿意承担法律责任，给招标人造成损失的，依法承担赔偿责任。</w:t>
      </w:r>
    </w:p>
    <w:p>
      <w:pPr>
        <w:spacing w:line="360" w:lineRule="exact"/>
        <w:ind w:firstLine="420" w:firstLineChars="200"/>
        <w:rPr>
          <w:rFonts w:ascii="宋体" w:hAnsi="宋体"/>
          <w:szCs w:val="21"/>
        </w:rPr>
      </w:pPr>
      <w:r>
        <w:rPr>
          <w:rFonts w:hint="eastAsia" w:ascii="宋体" w:hAnsi="宋体"/>
          <w:szCs w:val="21"/>
        </w:rPr>
        <w:t>开户银行：                          基本账户：</w:t>
      </w:r>
    </w:p>
    <w:p>
      <w:pPr>
        <w:spacing w:line="360" w:lineRule="exact"/>
        <w:ind w:firstLine="420" w:firstLineChars="200"/>
        <w:rPr>
          <w:rFonts w:ascii="宋体" w:hAnsi="宋体"/>
          <w:szCs w:val="21"/>
        </w:rPr>
      </w:pPr>
      <w:r>
        <w:rPr>
          <w:rFonts w:hint="eastAsia" w:ascii="宋体" w:hAnsi="宋体"/>
          <w:szCs w:val="21"/>
        </w:rPr>
        <w:t>投标人（盖章）：              法定代表人（签字或盖章）：</w:t>
      </w:r>
    </w:p>
    <w:p>
      <w:pPr>
        <w:spacing w:line="360" w:lineRule="exact"/>
        <w:ind w:firstLine="5250" w:firstLineChars="2500"/>
      </w:pPr>
      <w:r>
        <w:rPr>
          <w:rFonts w:hint="eastAsia" w:ascii="宋体" w:hAnsi="宋体"/>
          <w:szCs w:val="21"/>
        </w:rPr>
        <w:t>日期：    年   月   日</w:t>
      </w:r>
    </w:p>
    <w:p>
      <w:pPr>
        <w:rPr>
          <w:rFonts w:eastAsia="黑体"/>
          <w:sz w:val="28"/>
          <w:szCs w:val="28"/>
          <w:u w:val="single"/>
        </w:rPr>
      </w:pPr>
      <w:r>
        <w:rPr>
          <w:rFonts w:hint="eastAsia" w:ascii="宋体" w:hAnsi="宋体"/>
          <w:b/>
          <w:sz w:val="32"/>
          <w:szCs w:val="32"/>
        </w:rPr>
        <w:br w:type="page"/>
      </w:r>
    </w:p>
    <w:p>
      <w:pPr>
        <w:jc w:val="center"/>
        <w:rPr>
          <w:rFonts w:eastAsia="黑体"/>
          <w:sz w:val="28"/>
          <w:szCs w:val="28"/>
        </w:rPr>
      </w:pPr>
    </w:p>
    <w:p/>
    <w:p>
      <w:pPr>
        <w:jc w:val="center"/>
        <w:rPr>
          <w:rFonts w:eastAsia="黑体"/>
          <w:sz w:val="20"/>
          <w:szCs w:val="20"/>
        </w:rPr>
      </w:pPr>
      <w:r>
        <w:rPr>
          <w:rFonts w:hint="eastAsia" w:eastAsia="黑体"/>
          <w:sz w:val="28"/>
          <w:szCs w:val="28"/>
          <w:u w:val="single"/>
        </w:rPr>
        <w:t xml:space="preserve">                </w:t>
      </w:r>
      <w:r>
        <w:rPr>
          <w:rFonts w:eastAsia="黑体"/>
          <w:sz w:val="28"/>
          <w:szCs w:val="28"/>
        </w:rPr>
        <w:t>（项目名称）</w:t>
      </w:r>
    </w:p>
    <w:p>
      <w:pPr>
        <w:jc w:val="center"/>
        <w:rPr>
          <w:rFonts w:eastAsia="黑体"/>
          <w:sz w:val="20"/>
          <w:szCs w:val="20"/>
        </w:rPr>
      </w:pPr>
    </w:p>
    <w:p>
      <w:pPr>
        <w:rPr>
          <w:rFonts w:eastAsia="黑体"/>
          <w:sz w:val="20"/>
          <w:szCs w:val="20"/>
        </w:rPr>
      </w:pPr>
    </w:p>
    <w:p>
      <w:pPr>
        <w:jc w:val="center"/>
        <w:rPr>
          <w:rFonts w:eastAsia="黑体"/>
          <w:sz w:val="44"/>
          <w:szCs w:val="44"/>
        </w:rPr>
      </w:pPr>
      <w:r>
        <w:rPr>
          <w:rFonts w:eastAsia="黑体"/>
          <w:sz w:val="44"/>
          <w:szCs w:val="44"/>
        </w:rPr>
        <w:t>投  标  文  件</w:t>
      </w:r>
      <w:r>
        <w:rPr>
          <w:rFonts w:hint="eastAsia" w:eastAsia="黑体"/>
          <w:sz w:val="44"/>
          <w:szCs w:val="44"/>
        </w:rPr>
        <w:t xml:space="preserve">  二</w:t>
      </w:r>
    </w:p>
    <w:p>
      <w:pPr>
        <w:jc w:val="center"/>
        <w:rPr>
          <w:rFonts w:eastAsia="黑体"/>
          <w:sz w:val="44"/>
          <w:szCs w:val="44"/>
        </w:rPr>
      </w:pPr>
      <w:r>
        <w:rPr>
          <w:rFonts w:hint="eastAsia" w:eastAsia="黑体"/>
          <w:sz w:val="44"/>
          <w:szCs w:val="44"/>
        </w:rPr>
        <w:t>（技术标文件）</w:t>
      </w:r>
    </w:p>
    <w:p>
      <w:pPr>
        <w:rPr>
          <w:rFonts w:eastAsia="黑体"/>
          <w:sz w:val="28"/>
          <w:szCs w:val="28"/>
        </w:rPr>
      </w:pPr>
    </w:p>
    <w:p>
      <w:pPr>
        <w:pStyle w:val="2"/>
        <w:ind w:firstLine="560"/>
        <w:rPr>
          <w:rFonts w:eastAsia="黑体"/>
          <w:sz w:val="28"/>
          <w:szCs w:val="28"/>
        </w:rPr>
      </w:pPr>
    </w:p>
    <w:p>
      <w:pPr>
        <w:rPr>
          <w:rFonts w:eastAsia="黑体"/>
          <w:sz w:val="28"/>
          <w:szCs w:val="28"/>
        </w:rPr>
      </w:pPr>
    </w:p>
    <w:p>
      <w:pPr>
        <w:rPr>
          <w:rFonts w:eastAsia="黑体"/>
          <w:sz w:val="28"/>
          <w:szCs w:val="28"/>
        </w:rPr>
      </w:pPr>
    </w:p>
    <w:p>
      <w:pPr>
        <w:pStyle w:val="2"/>
        <w:ind w:firstLine="560"/>
        <w:rPr>
          <w:rFonts w:eastAsia="黑体"/>
          <w:sz w:val="28"/>
          <w:szCs w:val="28"/>
        </w:rPr>
      </w:pPr>
    </w:p>
    <w:p>
      <w:pPr>
        <w:rPr>
          <w:rFonts w:eastAsia="黑体"/>
          <w:sz w:val="28"/>
          <w:szCs w:val="28"/>
        </w:rPr>
      </w:pPr>
    </w:p>
    <w:p>
      <w:pPr>
        <w:pStyle w:val="2"/>
        <w:ind w:firstLine="560"/>
        <w:rPr>
          <w:rFonts w:eastAsia="黑体"/>
          <w:sz w:val="28"/>
          <w:szCs w:val="28"/>
        </w:rPr>
      </w:pPr>
    </w:p>
    <w:p>
      <w:pPr>
        <w:rPr>
          <w:rFonts w:eastAsia="黑体"/>
          <w:sz w:val="28"/>
          <w:szCs w:val="28"/>
        </w:rPr>
      </w:pPr>
    </w:p>
    <w:p>
      <w:pPr>
        <w:pStyle w:val="2"/>
        <w:ind w:firstLine="420"/>
      </w:pPr>
    </w:p>
    <w:p>
      <w:pPr>
        <w:rPr>
          <w:rFonts w:eastAsia="黑体"/>
          <w:sz w:val="28"/>
          <w:szCs w:val="28"/>
        </w:rPr>
      </w:pPr>
    </w:p>
    <w:p>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pPr>
        <w:jc w:val="center"/>
        <w:rPr>
          <w:rFonts w:eastAsia="黑体"/>
          <w:sz w:val="28"/>
          <w:szCs w:val="28"/>
        </w:rPr>
      </w:pPr>
      <w:r>
        <w:rPr>
          <w:rFonts w:hint="eastAsia" w:eastAsia="黑体"/>
          <w:sz w:val="28"/>
          <w:szCs w:val="28"/>
          <w:u w:val="single"/>
        </w:rPr>
        <w:t xml:space="preserve">      </w:t>
      </w:r>
      <w:r>
        <w:rPr>
          <w:rFonts w:eastAsia="黑体"/>
          <w:sz w:val="28"/>
          <w:szCs w:val="28"/>
        </w:rPr>
        <w:t>年</w:t>
      </w:r>
      <w:r>
        <w:rPr>
          <w:rFonts w:hint="eastAsia" w:eastAsia="黑体"/>
          <w:sz w:val="28"/>
          <w:szCs w:val="28"/>
          <w:u w:val="single"/>
        </w:rPr>
        <w:t xml:space="preserve">     </w:t>
      </w:r>
      <w:r>
        <w:rPr>
          <w:rFonts w:eastAsia="黑体"/>
          <w:sz w:val="28"/>
          <w:szCs w:val="28"/>
        </w:rPr>
        <w:t>月</w:t>
      </w:r>
      <w:r>
        <w:rPr>
          <w:rFonts w:hint="eastAsia" w:eastAsia="黑体"/>
          <w:sz w:val="28"/>
          <w:szCs w:val="28"/>
          <w:u w:val="single"/>
        </w:rPr>
        <w:t xml:space="preserve">     </w:t>
      </w:r>
      <w:r>
        <w:rPr>
          <w:rFonts w:eastAsia="黑体"/>
          <w:sz w:val="28"/>
          <w:szCs w:val="28"/>
        </w:rPr>
        <w:t>日</w:t>
      </w:r>
    </w:p>
    <w:p>
      <w:pPr>
        <w:jc w:val="center"/>
        <w:rPr>
          <w:sz w:val="28"/>
          <w:szCs w:val="28"/>
        </w:rPr>
      </w:pPr>
      <w:r>
        <w:br w:type="page"/>
      </w:r>
      <w:r>
        <w:rPr>
          <w:rFonts w:hint="eastAsia" w:eastAsia="黑体"/>
          <w:sz w:val="28"/>
          <w:szCs w:val="28"/>
        </w:rPr>
        <w:t xml:space="preserve"> </w:t>
      </w:r>
    </w:p>
    <w:p>
      <w:pPr>
        <w:spacing w:line="540" w:lineRule="exact"/>
      </w:pPr>
    </w:p>
    <w:p>
      <w:pPr>
        <w:spacing w:line="360" w:lineRule="auto"/>
        <w:ind w:firstLine="562" w:firstLineChars="200"/>
        <w:rPr>
          <w:rFonts w:ascii="宋体" w:hAnsi="宋体"/>
          <w:b/>
          <w:sz w:val="28"/>
          <w:szCs w:val="28"/>
        </w:rPr>
      </w:pPr>
      <w:r>
        <w:rPr>
          <w:rFonts w:hint="eastAsia" w:ascii="宋体" w:hAnsi="宋体"/>
          <w:b/>
          <w:sz w:val="28"/>
          <w:szCs w:val="28"/>
        </w:rPr>
        <w:t>投标文件三：技术标目录</w:t>
      </w:r>
    </w:p>
    <w:p>
      <w:pPr>
        <w:spacing w:line="440" w:lineRule="exact"/>
        <w:ind w:firstLine="420" w:firstLineChars="200"/>
        <w:jc w:val="left"/>
        <w:rPr>
          <w:rFonts w:ascii="宋体" w:hAnsi="宋体" w:cs="宋体"/>
          <w:szCs w:val="21"/>
        </w:rPr>
      </w:pPr>
      <w:r>
        <w:rPr>
          <w:rFonts w:hint="eastAsia" w:ascii="宋体" w:hAnsi="宋体" w:cs="宋体"/>
          <w:bCs/>
          <w:szCs w:val="21"/>
        </w:rPr>
        <w:t>（1）技术方案；</w:t>
      </w:r>
      <w:r>
        <w:rPr>
          <w:rFonts w:hint="eastAsia" w:ascii="宋体" w:hAnsi="宋体" w:cs="宋体"/>
          <w:szCs w:val="21"/>
        </w:rPr>
        <w:t>（格式自拟）</w:t>
      </w:r>
    </w:p>
    <w:p>
      <w:pPr>
        <w:spacing w:line="440" w:lineRule="exact"/>
        <w:ind w:firstLine="420" w:firstLineChars="200"/>
        <w:jc w:val="left"/>
        <w:rPr>
          <w:rFonts w:ascii="宋体" w:hAnsi="宋体" w:cs="宋体"/>
          <w:szCs w:val="21"/>
        </w:rPr>
      </w:pPr>
      <w:r>
        <w:rPr>
          <w:rFonts w:hint="eastAsia" w:ascii="宋体" w:hAnsi="宋体" w:cs="宋体"/>
          <w:szCs w:val="21"/>
        </w:rPr>
        <w:t>（2）本项目拟投入的人员基本情况表；（格式自拟）</w:t>
      </w:r>
    </w:p>
    <w:p>
      <w:pPr>
        <w:spacing w:line="440" w:lineRule="exact"/>
        <w:ind w:firstLine="420" w:firstLineChars="200"/>
        <w:jc w:val="left"/>
        <w:rPr>
          <w:rFonts w:ascii="宋体" w:hAnsi="宋体" w:cs="宋体"/>
          <w:bCs/>
          <w:szCs w:val="21"/>
        </w:rPr>
      </w:pPr>
      <w:r>
        <w:rPr>
          <w:rFonts w:hint="eastAsia" w:ascii="宋体" w:hAnsi="宋体" w:cs="宋体"/>
          <w:bCs/>
          <w:szCs w:val="21"/>
        </w:rPr>
        <w:t>（3）</w:t>
      </w:r>
      <w:r>
        <w:rPr>
          <w:rFonts w:hint="eastAsia" w:ascii="宋体" w:hAnsi="宋体" w:cs="宋体"/>
          <w:szCs w:val="21"/>
        </w:rPr>
        <w:t>技术评分所需证明材料及投标人认为需要的其它证明材料</w:t>
      </w:r>
      <w:r>
        <w:rPr>
          <w:rFonts w:hint="eastAsia" w:ascii="宋体" w:hAnsi="宋体" w:cs="宋体"/>
          <w:bCs/>
          <w:szCs w:val="21"/>
        </w:rPr>
        <w:t>。</w:t>
      </w:r>
    </w:p>
    <w:p>
      <w:pPr>
        <w:spacing w:line="440" w:lineRule="exact"/>
        <w:ind w:firstLine="420" w:firstLineChars="200"/>
        <w:jc w:val="left"/>
        <w:rPr>
          <w:rFonts w:ascii="宋体" w:hAnsi="宋体" w:cs="宋体"/>
          <w:bCs/>
          <w:szCs w:val="21"/>
        </w:rPr>
      </w:pPr>
    </w:p>
    <w:p>
      <w:pPr>
        <w:spacing w:line="440" w:lineRule="exact"/>
        <w:ind w:firstLine="420" w:firstLineChars="200"/>
        <w:jc w:val="left"/>
        <w:rPr>
          <w:rFonts w:ascii="宋体" w:hAnsi="宋体" w:cs="宋体"/>
          <w:bCs/>
          <w:szCs w:val="21"/>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8"/>
          <w:szCs w:val="28"/>
        </w:rPr>
      </w:pPr>
    </w:p>
    <w:p>
      <w:pPr>
        <w:jc w:val="center"/>
        <w:rPr>
          <w:rFonts w:eastAsia="黑体"/>
          <w:sz w:val="20"/>
          <w:szCs w:val="20"/>
        </w:rPr>
      </w:pPr>
      <w:r>
        <w:rPr>
          <w:rFonts w:eastAsia="黑体"/>
          <w:sz w:val="28"/>
          <w:szCs w:val="28"/>
        </w:rPr>
        <w:t>（项目名称）</w:t>
      </w:r>
    </w:p>
    <w:p>
      <w:pPr>
        <w:jc w:val="center"/>
        <w:rPr>
          <w:rFonts w:eastAsia="黑体"/>
          <w:sz w:val="20"/>
          <w:szCs w:val="20"/>
        </w:rPr>
      </w:pPr>
    </w:p>
    <w:p>
      <w:pPr>
        <w:rPr>
          <w:rFonts w:eastAsia="黑体"/>
          <w:sz w:val="20"/>
          <w:szCs w:val="20"/>
        </w:rPr>
      </w:pPr>
    </w:p>
    <w:p>
      <w:pPr>
        <w:jc w:val="center"/>
        <w:rPr>
          <w:rFonts w:eastAsia="黑体"/>
          <w:sz w:val="44"/>
          <w:szCs w:val="44"/>
        </w:rPr>
      </w:pPr>
      <w:r>
        <w:rPr>
          <w:rFonts w:eastAsia="黑体"/>
          <w:sz w:val="44"/>
          <w:szCs w:val="44"/>
        </w:rPr>
        <w:t>投  标  文  件</w:t>
      </w:r>
      <w:r>
        <w:rPr>
          <w:rFonts w:hint="eastAsia" w:eastAsia="黑体"/>
          <w:sz w:val="44"/>
          <w:szCs w:val="44"/>
        </w:rPr>
        <w:t xml:space="preserve">  三</w:t>
      </w:r>
    </w:p>
    <w:p>
      <w:pPr>
        <w:jc w:val="center"/>
        <w:rPr>
          <w:rFonts w:eastAsia="黑体"/>
          <w:sz w:val="44"/>
          <w:szCs w:val="44"/>
        </w:rPr>
      </w:pPr>
      <w:r>
        <w:rPr>
          <w:rFonts w:hint="eastAsia" w:eastAsia="黑体"/>
          <w:sz w:val="44"/>
          <w:szCs w:val="44"/>
        </w:rPr>
        <w:t>（商务标文件）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pPr>
        <w:jc w:val="center"/>
        <w:rPr>
          <w:rFonts w:eastAsia="黑体"/>
          <w:sz w:val="28"/>
          <w:szCs w:val="28"/>
        </w:rPr>
      </w:pPr>
      <w:r>
        <w:rPr>
          <w:rFonts w:hint="eastAsia" w:eastAsia="黑体"/>
          <w:sz w:val="28"/>
          <w:szCs w:val="28"/>
          <w:u w:val="single"/>
        </w:rPr>
        <w:t xml:space="preserve">      </w:t>
      </w:r>
      <w:r>
        <w:rPr>
          <w:rFonts w:eastAsia="黑体"/>
          <w:sz w:val="28"/>
          <w:szCs w:val="28"/>
        </w:rPr>
        <w:t>年</w:t>
      </w:r>
      <w:r>
        <w:rPr>
          <w:rFonts w:hint="eastAsia" w:eastAsia="黑体"/>
          <w:sz w:val="28"/>
          <w:szCs w:val="28"/>
          <w:u w:val="single"/>
        </w:rPr>
        <w:t xml:space="preserve">     </w:t>
      </w:r>
      <w:r>
        <w:rPr>
          <w:rFonts w:eastAsia="黑体"/>
          <w:sz w:val="28"/>
          <w:szCs w:val="28"/>
        </w:rPr>
        <w:t>月</w:t>
      </w:r>
      <w:r>
        <w:rPr>
          <w:rFonts w:hint="eastAsia" w:eastAsia="黑体"/>
          <w:sz w:val="28"/>
          <w:szCs w:val="28"/>
          <w:u w:val="single"/>
        </w:rPr>
        <w:t xml:space="preserve">     </w:t>
      </w:r>
      <w:r>
        <w:rPr>
          <w:rFonts w:eastAsia="黑体"/>
          <w:sz w:val="28"/>
          <w:szCs w:val="28"/>
        </w:rPr>
        <w:t>日</w:t>
      </w:r>
    </w:p>
    <w:p/>
    <w:p>
      <w:pPr>
        <w:pStyle w:val="2"/>
        <w:ind w:firstLine="420"/>
      </w:pPr>
    </w:p>
    <w:p/>
    <w:p>
      <w:pPr>
        <w:spacing w:before="156" w:beforeLines="50" w:after="156" w:afterLines="50" w:line="440" w:lineRule="exact"/>
        <w:ind w:firstLine="643" w:firstLineChars="200"/>
        <w:jc w:val="left"/>
        <w:rPr>
          <w:rStyle w:val="121"/>
          <w:rFonts w:ascii="宋体" w:hAnsi="宋体" w:cs="宋体"/>
          <w:sz w:val="32"/>
        </w:rPr>
      </w:pPr>
      <w:bookmarkStart w:id="890" w:name="_Toc35424973"/>
      <w:bookmarkStart w:id="891" w:name="_Toc35425139"/>
      <w:bookmarkStart w:id="892" w:name="_Toc19174"/>
      <w:bookmarkStart w:id="893" w:name="_Toc78803401"/>
      <w:r>
        <w:rPr>
          <w:rStyle w:val="121"/>
          <w:rFonts w:hint="eastAsia" w:ascii="宋体" w:hAnsi="宋体" w:cs="宋体"/>
          <w:sz w:val="32"/>
        </w:rPr>
        <w:br w:type="page"/>
      </w:r>
      <w:r>
        <w:rPr>
          <w:rStyle w:val="121"/>
          <w:rFonts w:hint="eastAsia" w:ascii="宋体" w:hAnsi="宋体" w:cs="宋体"/>
          <w:sz w:val="32"/>
        </w:rPr>
        <w:t>投标文件</w:t>
      </w:r>
      <w:bookmarkEnd w:id="890"/>
      <w:bookmarkEnd w:id="891"/>
      <w:bookmarkEnd w:id="892"/>
      <w:r>
        <w:rPr>
          <w:rStyle w:val="121"/>
          <w:rFonts w:hint="eastAsia" w:ascii="宋体" w:hAnsi="宋体" w:cs="宋体"/>
          <w:sz w:val="32"/>
        </w:rPr>
        <w:t>三：商务标目录</w:t>
      </w:r>
      <w:bookmarkEnd w:id="893"/>
    </w:p>
    <w:p>
      <w:pPr>
        <w:spacing w:line="440" w:lineRule="exact"/>
        <w:ind w:firstLine="420" w:firstLineChars="200"/>
        <w:jc w:val="left"/>
        <w:rPr>
          <w:rFonts w:ascii="宋体" w:hAnsi="宋体" w:cs="宋体"/>
          <w:i/>
          <w:iCs/>
          <w:szCs w:val="21"/>
        </w:rPr>
      </w:pPr>
      <w:r>
        <w:rPr>
          <w:rFonts w:hint="eastAsia" w:ascii="宋体" w:hAnsi="宋体" w:cs="宋体"/>
          <w:szCs w:val="21"/>
        </w:rPr>
        <w:t>（1）投标函；</w:t>
      </w:r>
    </w:p>
    <w:p>
      <w:pPr>
        <w:spacing w:line="440" w:lineRule="exact"/>
        <w:ind w:firstLine="420" w:firstLineChars="200"/>
        <w:jc w:val="left"/>
        <w:rPr>
          <w:rFonts w:ascii="宋体" w:hAnsi="宋体" w:cs="宋体"/>
          <w:szCs w:val="21"/>
        </w:rPr>
      </w:pPr>
      <w:r>
        <w:rPr>
          <w:rFonts w:hint="eastAsia" w:ascii="宋体" w:hAnsi="宋体" w:cs="宋体"/>
          <w:szCs w:val="21"/>
        </w:rPr>
        <w:t>（2）分项报价表；</w:t>
      </w:r>
    </w:p>
    <w:p>
      <w:pPr>
        <w:spacing w:line="440" w:lineRule="exact"/>
        <w:ind w:firstLine="420" w:firstLineChars="200"/>
        <w:jc w:val="left"/>
        <w:rPr>
          <w:rFonts w:ascii="宋体" w:hAnsi="宋体" w:cs="宋体"/>
          <w:szCs w:val="21"/>
        </w:rPr>
      </w:pPr>
      <w:r>
        <w:rPr>
          <w:rFonts w:hint="eastAsia" w:ascii="宋体" w:hAnsi="宋体" w:cs="宋体"/>
          <w:szCs w:val="21"/>
        </w:rPr>
        <w:t>（2）投标人认为需要提供的其他材料。</w:t>
      </w:r>
    </w:p>
    <w:p>
      <w:pPr>
        <w:spacing w:line="540" w:lineRule="exact"/>
        <w:rPr>
          <w:rFonts w:eastAsia="黑体"/>
          <w:sz w:val="20"/>
          <w:szCs w:val="20"/>
        </w:rPr>
      </w:pPr>
    </w:p>
    <w:p>
      <w:pPr>
        <w:spacing w:line="540" w:lineRule="exact"/>
        <w:rPr>
          <w:rFonts w:eastAsia="黑体"/>
          <w:sz w:val="20"/>
          <w:szCs w:val="20"/>
        </w:rPr>
      </w:pPr>
    </w:p>
    <w:p>
      <w:pPr>
        <w:spacing w:line="540" w:lineRule="exact"/>
        <w:rPr>
          <w:rFonts w:eastAsia="黑体"/>
          <w:sz w:val="20"/>
          <w:szCs w:val="20"/>
        </w:rPr>
      </w:pPr>
    </w:p>
    <w:p>
      <w:pPr>
        <w:spacing w:line="360" w:lineRule="auto"/>
        <w:ind w:firstLine="420" w:firstLineChars="200"/>
        <w:jc w:val="right"/>
        <w:rPr>
          <w:szCs w:val="21"/>
          <w:u w:val="single"/>
        </w:rPr>
      </w:pPr>
    </w:p>
    <w:p>
      <w:pPr>
        <w:spacing w:line="360" w:lineRule="auto"/>
        <w:ind w:firstLine="420" w:firstLineChars="200"/>
        <w:jc w:val="right"/>
        <w:rPr>
          <w:szCs w:val="21"/>
          <w:u w:val="single"/>
        </w:rPr>
      </w:pPr>
    </w:p>
    <w:p>
      <w:pPr>
        <w:spacing w:line="360" w:lineRule="auto"/>
        <w:ind w:firstLine="420" w:firstLineChars="200"/>
        <w:jc w:val="right"/>
        <w:rPr>
          <w:szCs w:val="21"/>
          <w:u w:val="single"/>
        </w:rPr>
      </w:pPr>
    </w:p>
    <w:p>
      <w:pPr>
        <w:spacing w:line="360" w:lineRule="auto"/>
        <w:ind w:firstLine="420" w:firstLineChars="200"/>
        <w:jc w:val="right"/>
        <w:rPr>
          <w:szCs w:val="21"/>
          <w:u w:val="single"/>
        </w:rPr>
      </w:pPr>
    </w:p>
    <w:p>
      <w:pPr>
        <w:spacing w:line="360" w:lineRule="auto"/>
        <w:ind w:firstLine="420" w:firstLineChars="200"/>
        <w:jc w:val="right"/>
        <w:rPr>
          <w:szCs w:val="21"/>
          <w:u w:val="single"/>
        </w:rPr>
      </w:pPr>
    </w:p>
    <w:p>
      <w:pPr>
        <w:spacing w:line="360" w:lineRule="auto"/>
        <w:ind w:firstLine="420" w:firstLineChars="200"/>
        <w:jc w:val="right"/>
        <w:rPr>
          <w:szCs w:val="21"/>
          <w:u w:val="single"/>
        </w:rPr>
      </w:pPr>
    </w:p>
    <w:p>
      <w:pPr>
        <w:spacing w:line="360" w:lineRule="auto"/>
        <w:ind w:firstLine="420" w:firstLineChars="200"/>
        <w:jc w:val="right"/>
        <w:rPr>
          <w:szCs w:val="21"/>
          <w:u w:val="single"/>
        </w:rPr>
      </w:pPr>
    </w:p>
    <w:p>
      <w:pPr>
        <w:spacing w:line="360" w:lineRule="auto"/>
        <w:ind w:firstLine="420" w:firstLineChars="200"/>
        <w:jc w:val="right"/>
        <w:rPr>
          <w:szCs w:val="21"/>
          <w:u w:val="single"/>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spacing w:line="360" w:lineRule="auto"/>
        <w:rPr>
          <w:b/>
          <w:bCs/>
          <w:sz w:val="32"/>
          <w:szCs w:val="32"/>
        </w:rPr>
      </w:pPr>
    </w:p>
    <w:p>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（1）投 标 函</w:t>
      </w:r>
    </w:p>
    <w:p>
      <w:pPr>
        <w:spacing w:line="460" w:lineRule="exact"/>
        <w:jc w:val="left"/>
        <w:rPr>
          <w:rFonts w:ascii="宋体" w:hAnsi="宋体" w:cs="宋体"/>
        </w:rPr>
      </w:pPr>
      <w:bookmarkStart w:id="894" w:name="_Toc35424974"/>
      <w:bookmarkStart w:id="895" w:name="_Toc506107366"/>
      <w:bookmarkStart w:id="896" w:name="_Toc15058950"/>
      <w:bookmarkStart w:id="897" w:name="_Toc35425140"/>
      <w:r>
        <w:rPr>
          <w:rFonts w:hint="eastAsia" w:ascii="宋体" w:hAnsi="宋体" w:cs="宋体"/>
          <w:b/>
          <w:bCs/>
        </w:rPr>
        <w:t>致 ：</w:t>
      </w:r>
      <w:r>
        <w:rPr>
          <w:rFonts w:hint="eastAsia" w:ascii="宋体" w:hAnsi="宋体" w:cs="宋体"/>
          <w:b/>
          <w:bCs/>
          <w:u w:val="single"/>
        </w:rPr>
        <w:t xml:space="preserve">       （招标人） </w:t>
      </w:r>
      <w:r>
        <w:rPr>
          <w:rFonts w:hint="eastAsia" w:ascii="宋体" w:hAnsi="宋体" w:cs="宋体"/>
        </w:rPr>
        <w:t xml:space="preserve">：  </w:t>
      </w:r>
    </w:p>
    <w:p>
      <w:pPr>
        <w:spacing w:line="440" w:lineRule="exact"/>
        <w:ind w:firstLine="420" w:firstLineChars="200"/>
        <w:jc w:val="left"/>
        <w:rPr>
          <w:rFonts w:ascii="宋体" w:hAnsi="宋体"/>
          <w:szCs w:val="21"/>
        </w:rPr>
      </w:pPr>
      <w:r>
        <w:rPr>
          <w:rFonts w:hint="eastAsia" w:ascii="宋体" w:hAnsi="宋体"/>
          <w:szCs w:val="21"/>
        </w:rPr>
        <w:t>1、根据你方招标项目编号为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的</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招标文件，遵照《中华人民共和国招标投标法》等有关规定，经踏勘项目现场和研究上述招标文件的投标须知、合同条件、技术规范、图纸、工程量清单和其他有关文件后，我方愿以为</w:t>
      </w:r>
      <w:r>
        <w:rPr>
          <w:rFonts w:hint="eastAsia" w:ascii="宋体" w:hAnsi="宋体"/>
          <w:szCs w:val="21"/>
          <w:u w:val="single"/>
        </w:rPr>
        <w:t>综合单价        元/吨</w:t>
      </w:r>
      <w:r>
        <w:rPr>
          <w:rFonts w:hint="eastAsia" w:ascii="宋体" w:hAnsi="宋体"/>
          <w:szCs w:val="21"/>
        </w:rPr>
        <w:t>的投标报价承包上述项目，并承担任何质量缺陷保修责任。</w:t>
      </w:r>
    </w:p>
    <w:p>
      <w:pPr>
        <w:numPr>
          <w:ilvl w:val="0"/>
          <w:numId w:val="3"/>
        </w:numPr>
        <w:spacing w:line="440" w:lineRule="exact"/>
        <w:ind w:left="0" w:firstLine="404" w:firstLineChars="200"/>
        <w:jc w:val="left"/>
        <w:rPr>
          <w:rFonts w:ascii="宋体" w:hAnsi="宋体"/>
          <w:spacing w:val="-4"/>
          <w:szCs w:val="21"/>
        </w:rPr>
      </w:pPr>
      <w:r>
        <w:rPr>
          <w:rFonts w:hint="eastAsia" w:ascii="宋体" w:hAnsi="宋体"/>
          <w:spacing w:val="-4"/>
          <w:szCs w:val="21"/>
        </w:rPr>
        <w:t>我方已详细审核全部招标文件及有关附件，承诺招标文件及有关附件中所有条款。</w:t>
      </w:r>
    </w:p>
    <w:p>
      <w:pPr>
        <w:spacing w:line="440" w:lineRule="exact"/>
        <w:ind w:firstLine="420" w:firstLineChars="200"/>
        <w:jc w:val="left"/>
        <w:rPr>
          <w:rFonts w:ascii="宋体" w:hAnsi="宋体"/>
          <w:szCs w:val="21"/>
        </w:rPr>
      </w:pPr>
      <w:r>
        <w:rPr>
          <w:rFonts w:hint="eastAsia" w:ascii="宋体" w:hAnsi="宋体"/>
          <w:szCs w:val="21"/>
        </w:rPr>
        <w:t>3、一旦我方中标，我方将派出</w:t>
      </w:r>
      <w:r>
        <w:rPr>
          <w:rFonts w:hint="eastAsia" w:ascii="宋体" w:hAnsi="宋体"/>
          <w:szCs w:val="21"/>
          <w:u w:val="single"/>
        </w:rPr>
        <w:t xml:space="preserve">      </w:t>
      </w:r>
      <w:r>
        <w:rPr>
          <w:rFonts w:hint="eastAsia" w:ascii="宋体" w:hAnsi="宋体"/>
          <w:szCs w:val="21"/>
        </w:rPr>
        <w:t>为本项目的项目经理，保证按照招标人要求开始实施本项目，按招标文件要求的时间内完成本合同的施工，并移交整个项目，项目质量达到</w:t>
      </w:r>
      <w:r>
        <w:rPr>
          <w:rFonts w:ascii="宋体" w:hAnsi="宋体"/>
          <w:szCs w:val="21"/>
          <w:u w:val="single"/>
        </w:rPr>
        <w:t xml:space="preserve">   </w:t>
      </w:r>
      <w:r>
        <w:rPr>
          <w:rFonts w:hint="eastAsia" w:ascii="宋体" w:hAnsi="宋体"/>
          <w:szCs w:val="21"/>
          <w:u w:val="single"/>
        </w:rPr>
        <w:t>合格</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标准。</w:t>
      </w:r>
    </w:p>
    <w:p>
      <w:pPr>
        <w:spacing w:line="440" w:lineRule="exact"/>
        <w:ind w:firstLine="420" w:firstLineChars="200"/>
        <w:jc w:val="left"/>
        <w:rPr>
          <w:rFonts w:ascii="宋体" w:hAnsi="宋体"/>
          <w:szCs w:val="21"/>
        </w:rPr>
      </w:pPr>
      <w:r>
        <w:rPr>
          <w:rFonts w:hint="eastAsia" w:ascii="宋体" w:hAnsi="宋体"/>
          <w:szCs w:val="21"/>
        </w:rPr>
        <w:t>4、随本投标书，我方同时按照招标文件的要求提交</w:t>
      </w:r>
      <w:r>
        <w:rPr>
          <w:rFonts w:ascii="宋体" w:hAnsi="宋体"/>
          <w:szCs w:val="21"/>
          <w:u w:val="single"/>
        </w:rPr>
        <w:t xml:space="preserve">  </w:t>
      </w:r>
      <w:r>
        <w:rPr>
          <w:rFonts w:hint="eastAsia" w:ascii="宋体" w:hAnsi="宋体"/>
          <w:szCs w:val="21"/>
          <w:u w:val="single"/>
        </w:rPr>
        <w:t>50</w:t>
      </w:r>
      <w:r>
        <w:rPr>
          <w:rFonts w:ascii="宋体" w:hAnsi="宋体"/>
          <w:szCs w:val="21"/>
          <w:u w:val="single"/>
        </w:rPr>
        <w:t xml:space="preserve"> </w:t>
      </w:r>
      <w:r>
        <w:rPr>
          <w:rFonts w:hint="eastAsia" w:ascii="宋体" w:hAnsi="宋体"/>
          <w:szCs w:val="21"/>
        </w:rPr>
        <w:t>万元的投标保证金。如果我方在本投标书有效期内撤回投标书，或在中标通知书下达后</w:t>
      </w:r>
      <w:r>
        <w:rPr>
          <w:rFonts w:ascii="宋体" w:hAnsi="宋体"/>
          <w:szCs w:val="21"/>
          <w:u w:val="single"/>
        </w:rPr>
        <w:t xml:space="preserve">  </w:t>
      </w:r>
      <w:r>
        <w:rPr>
          <w:rFonts w:hint="eastAsia" w:ascii="宋体" w:hAnsi="宋体"/>
          <w:szCs w:val="21"/>
          <w:u w:val="single"/>
        </w:rPr>
        <w:t>30</w:t>
      </w:r>
      <w:r>
        <w:rPr>
          <w:rFonts w:ascii="宋体" w:hAnsi="宋体"/>
          <w:szCs w:val="21"/>
          <w:u w:val="single"/>
        </w:rPr>
        <w:t xml:space="preserve"> </w:t>
      </w:r>
      <w:r>
        <w:rPr>
          <w:rFonts w:hint="eastAsia" w:ascii="宋体" w:hAnsi="宋体"/>
          <w:szCs w:val="21"/>
        </w:rPr>
        <w:t>天内未能或拒绝签订合同书，或自行转标，贵单位有权对我公司进行处罚，并另选中标单位。</w:t>
      </w:r>
    </w:p>
    <w:p>
      <w:pPr>
        <w:spacing w:line="440" w:lineRule="exact"/>
        <w:ind w:firstLine="420" w:firstLineChars="200"/>
        <w:jc w:val="left"/>
        <w:rPr>
          <w:rFonts w:ascii="宋体" w:hAnsi="宋体"/>
          <w:szCs w:val="21"/>
        </w:rPr>
      </w:pPr>
      <w:r>
        <w:rPr>
          <w:rFonts w:hint="eastAsia" w:ascii="宋体" w:hAnsi="宋体"/>
          <w:szCs w:val="21"/>
        </w:rPr>
        <w:t>5、如果我方中标我方将按照招标文件的规定提交</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万元（按投标综合单价*</w:t>
      </w:r>
      <w:r>
        <w:rPr>
          <w:rFonts w:hint="eastAsia" w:ascii="宋体" w:hAnsi="宋体"/>
          <w:szCs w:val="21"/>
          <w:lang w:val="en-US" w:eastAsia="zh-CN"/>
        </w:rPr>
        <w:t>7</w:t>
      </w:r>
      <w:r>
        <w:rPr>
          <w:rFonts w:hint="eastAsia" w:ascii="宋体" w:hAnsi="宋体"/>
          <w:szCs w:val="21"/>
        </w:rPr>
        <w:t>00万吨×2%计算）作为履约担保。项目验收合格后，方可退还。</w:t>
      </w:r>
    </w:p>
    <w:p>
      <w:pPr>
        <w:spacing w:line="440" w:lineRule="exact"/>
        <w:ind w:firstLine="420" w:firstLineChars="200"/>
        <w:jc w:val="left"/>
        <w:rPr>
          <w:rFonts w:ascii="宋体" w:hAnsi="宋体"/>
          <w:szCs w:val="21"/>
        </w:rPr>
      </w:pPr>
      <w:r>
        <w:rPr>
          <w:rFonts w:hint="eastAsia" w:ascii="宋体" w:hAnsi="宋体"/>
          <w:szCs w:val="21"/>
        </w:rPr>
        <w:t>6、投标有效期为</w:t>
      </w:r>
      <w:r>
        <w:rPr>
          <w:rFonts w:hint="eastAsia" w:ascii="宋体" w:hAnsi="宋体"/>
          <w:szCs w:val="21"/>
          <w:u w:val="single"/>
        </w:rPr>
        <w:t xml:space="preserve"> 90</w:t>
      </w:r>
      <w:r>
        <w:rPr>
          <w:rFonts w:hint="eastAsia" w:ascii="宋体" w:hAnsi="宋体"/>
          <w:szCs w:val="21"/>
        </w:rPr>
        <w:t>日历天（从投标截止之日算起）。</w:t>
      </w:r>
    </w:p>
    <w:p>
      <w:pPr>
        <w:spacing w:line="440" w:lineRule="exact"/>
        <w:ind w:firstLine="420" w:firstLineChars="200"/>
        <w:jc w:val="left"/>
        <w:rPr>
          <w:rFonts w:ascii="宋体" w:hAnsi="宋体"/>
          <w:szCs w:val="21"/>
        </w:rPr>
      </w:pPr>
      <w:r>
        <w:rPr>
          <w:rFonts w:hint="eastAsia" w:ascii="宋体" w:hAnsi="宋体"/>
          <w:szCs w:val="21"/>
        </w:rPr>
        <w:t>7、我单位提供如下通讯地址：</w:t>
      </w:r>
      <w:r>
        <w:rPr>
          <w:rFonts w:hint="eastAsia" w:ascii="宋体" w:hAnsi="宋体"/>
          <w:szCs w:val="21"/>
          <w:u w:val="single"/>
        </w:rPr>
        <w:t xml:space="preserve">                </w:t>
      </w:r>
      <w:r>
        <w:rPr>
          <w:rFonts w:hint="eastAsia" w:ascii="宋体" w:hAnsi="宋体"/>
          <w:szCs w:val="21"/>
        </w:rPr>
        <w:t>电子邮箱（地址），确认本项目相关法律文书均通过提供的以上地址送达，相关文书只要发送至以上电子邮箱（地址）即视为送达，投标人愿意承担一切法律后果。</w:t>
      </w:r>
    </w:p>
    <w:p>
      <w:pPr>
        <w:spacing w:line="600" w:lineRule="exact"/>
        <w:ind w:firstLine="420" w:firstLineChars="200"/>
        <w:jc w:val="left"/>
        <w:rPr>
          <w:rFonts w:ascii="宋体" w:hAnsi="宋体"/>
          <w:szCs w:val="21"/>
        </w:rPr>
      </w:pPr>
    </w:p>
    <w:p>
      <w:pPr>
        <w:spacing w:line="460" w:lineRule="exact"/>
        <w:ind w:firstLine="2310" w:firstLineChars="1100"/>
        <w:jc w:val="left"/>
        <w:rPr>
          <w:rFonts w:ascii="宋体" w:hAnsi="宋体" w:cs="宋体"/>
          <w:szCs w:val="21"/>
        </w:rPr>
      </w:pPr>
    </w:p>
    <w:p>
      <w:pPr>
        <w:spacing w:line="460" w:lineRule="exact"/>
        <w:ind w:firstLine="2310" w:firstLineChars="1100"/>
        <w:jc w:val="left"/>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（盖章）   </w:t>
      </w:r>
    </w:p>
    <w:p>
      <w:pPr>
        <w:spacing w:line="460" w:lineRule="exact"/>
        <w:ind w:firstLine="2310" w:firstLineChars="1100"/>
        <w:jc w:val="left"/>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p>
    <w:p>
      <w:pPr>
        <w:spacing w:line="460" w:lineRule="exact"/>
        <w:ind w:firstLine="2310" w:firstLineChars="1100"/>
        <w:jc w:val="left"/>
        <w:rPr>
          <w:rFonts w:ascii="宋体" w:hAnsi="宋体" w:cs="宋体"/>
          <w:szCs w:val="21"/>
        </w:rPr>
      </w:pPr>
      <w:r>
        <w:rPr>
          <w:rFonts w:hint="eastAsia" w:ascii="宋体" w:hAnsi="宋体" w:cs="宋体"/>
          <w:szCs w:val="21"/>
        </w:rPr>
        <w:t>单位地址：</w:t>
      </w:r>
      <w:r>
        <w:rPr>
          <w:rFonts w:hint="eastAsia" w:ascii="宋体" w:hAnsi="宋体" w:cs="宋体"/>
          <w:szCs w:val="21"/>
          <w:u w:val="single"/>
        </w:rPr>
        <w:t xml:space="preserve">                                       </w:t>
      </w:r>
    </w:p>
    <w:p>
      <w:pPr>
        <w:spacing w:line="460" w:lineRule="exact"/>
        <w:ind w:firstLine="2310" w:firstLineChars="1100"/>
        <w:jc w:val="left"/>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p>
    <w:p>
      <w:pPr>
        <w:spacing w:line="460" w:lineRule="exact"/>
        <w:ind w:firstLine="2310" w:firstLineChars="1100"/>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44"/>
        <w:spacing w:before="156" w:beforeLines="50" w:after="156" w:afterLines="50" w:line="440" w:lineRule="exact"/>
        <w:rPr>
          <w:rFonts w:ascii="仿宋_GB2312" w:hAnsi="宋体" w:eastAsia="仿宋_GB2312"/>
          <w:szCs w:val="32"/>
        </w:rPr>
      </w:pPr>
      <w:r>
        <w:rPr>
          <w:rFonts w:hint="eastAsia"/>
          <w:szCs w:val="32"/>
        </w:rPr>
        <w:br w:type="page"/>
      </w:r>
      <w:bookmarkEnd w:id="7"/>
      <w:bookmarkEnd w:id="8"/>
      <w:bookmarkEnd w:id="9"/>
      <w:bookmarkEnd w:id="10"/>
      <w:bookmarkEnd w:id="11"/>
      <w:bookmarkEnd w:id="894"/>
      <w:bookmarkEnd w:id="895"/>
      <w:bookmarkEnd w:id="896"/>
      <w:bookmarkEnd w:id="897"/>
      <w:bookmarkStart w:id="898" w:name="_Toc78803402"/>
    </w:p>
    <w:p>
      <w:pPr>
        <w:spacing w:line="360" w:lineRule="auto"/>
        <w:jc w:val="center"/>
        <w:rPr>
          <w:b/>
          <w:sz w:val="32"/>
          <w:szCs w:val="32"/>
        </w:rPr>
      </w:pPr>
      <w:r>
        <w:rPr>
          <w:rFonts w:hint="eastAsia"/>
          <w:b/>
          <w:sz w:val="28"/>
          <w:szCs w:val="28"/>
        </w:rPr>
        <w:t>（2）分项报价表</w:t>
      </w:r>
    </w:p>
    <w:tbl>
      <w:tblPr>
        <w:tblStyle w:val="47"/>
        <w:tblW w:w="98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695"/>
        <w:gridCol w:w="840"/>
        <w:gridCol w:w="1215"/>
        <w:gridCol w:w="186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jc w:val="center"/>
            </w:pPr>
            <w:r>
              <w:rPr>
                <w:rFonts w:hint="eastAsia"/>
              </w:rPr>
              <w:t>序号</w:t>
            </w:r>
          </w:p>
        </w:tc>
        <w:tc>
          <w:tcPr>
            <w:tcW w:w="2695" w:type="dxa"/>
            <w:vAlign w:val="center"/>
          </w:tcPr>
          <w:p>
            <w:pPr>
              <w:jc w:val="center"/>
            </w:pPr>
            <w:r>
              <w:rPr>
                <w:rFonts w:hint="eastAsia"/>
              </w:rPr>
              <w:t>项目名称</w:t>
            </w:r>
          </w:p>
        </w:tc>
        <w:tc>
          <w:tcPr>
            <w:tcW w:w="840" w:type="dxa"/>
            <w:vAlign w:val="center"/>
          </w:tcPr>
          <w:p>
            <w:pPr>
              <w:jc w:val="center"/>
            </w:pPr>
            <w:r>
              <w:rPr>
                <w:rFonts w:hint="eastAsia"/>
              </w:rPr>
              <w:t>单位</w:t>
            </w:r>
          </w:p>
        </w:tc>
        <w:tc>
          <w:tcPr>
            <w:tcW w:w="1215" w:type="dxa"/>
            <w:vAlign w:val="center"/>
          </w:tcPr>
          <w:p>
            <w:pPr>
              <w:jc w:val="center"/>
            </w:pPr>
            <w:r>
              <w:rPr>
                <w:rFonts w:hint="eastAsia"/>
              </w:rPr>
              <w:t>爆破量</w:t>
            </w:r>
          </w:p>
        </w:tc>
        <w:tc>
          <w:tcPr>
            <w:tcW w:w="1860" w:type="dxa"/>
            <w:vAlign w:val="center"/>
          </w:tcPr>
          <w:p>
            <w:pPr>
              <w:jc w:val="center"/>
            </w:pPr>
            <w:r>
              <w:rPr>
                <w:rFonts w:hint="eastAsia"/>
              </w:rPr>
              <w:t>投标综合单价（元/吨）</w:t>
            </w:r>
          </w:p>
        </w:tc>
        <w:tc>
          <w:tcPr>
            <w:tcW w:w="2565" w:type="dxa"/>
            <w:vAlign w:val="center"/>
          </w:tcPr>
          <w:p>
            <w:pPr>
              <w:jc w:val="center"/>
            </w:pPr>
            <w:r>
              <w:rPr>
                <w:rFonts w:hint="eastAsia"/>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25" w:type="dxa"/>
            <w:vAlign w:val="center"/>
          </w:tcPr>
          <w:p>
            <w:pPr>
              <w:jc w:val="center"/>
            </w:pPr>
            <w:r>
              <w:rPr>
                <w:rFonts w:hint="eastAsia"/>
              </w:rPr>
              <w:t>1</w:t>
            </w:r>
          </w:p>
        </w:tc>
        <w:tc>
          <w:tcPr>
            <w:tcW w:w="2695" w:type="dxa"/>
            <w:vAlign w:val="center"/>
          </w:tcPr>
          <w:p>
            <w:pPr>
              <w:jc w:val="center"/>
            </w:pPr>
            <w:r>
              <w:rPr>
                <w:rFonts w:hint="eastAsia"/>
              </w:rPr>
              <w:t>安徽省全椒县马塘湖整合矿区建筑石料用灰岩矿爆破服务项目</w:t>
            </w:r>
          </w:p>
        </w:tc>
        <w:tc>
          <w:tcPr>
            <w:tcW w:w="840" w:type="dxa"/>
            <w:vAlign w:val="center"/>
          </w:tcPr>
          <w:p>
            <w:pPr>
              <w:jc w:val="center"/>
            </w:pPr>
            <w:r>
              <w:rPr>
                <w:rFonts w:hint="eastAsia"/>
              </w:rPr>
              <w:t>吨</w:t>
            </w:r>
          </w:p>
        </w:tc>
        <w:tc>
          <w:tcPr>
            <w:tcW w:w="1215" w:type="dxa"/>
            <w:vAlign w:val="center"/>
          </w:tcPr>
          <w:p>
            <w:pPr>
              <w:jc w:val="center"/>
            </w:pPr>
            <w:r>
              <w:rPr>
                <w:rFonts w:hint="eastAsia"/>
                <w:lang w:val="en-US" w:eastAsia="zh-CN"/>
              </w:rPr>
              <w:t>7</w:t>
            </w:r>
            <w:r>
              <w:rPr>
                <w:rFonts w:hint="eastAsia"/>
              </w:rPr>
              <w:t>000000</w:t>
            </w:r>
          </w:p>
        </w:tc>
        <w:tc>
          <w:tcPr>
            <w:tcW w:w="1860" w:type="dxa"/>
            <w:vAlign w:val="center"/>
          </w:tcPr>
          <w:p>
            <w:pPr>
              <w:jc w:val="center"/>
            </w:pPr>
          </w:p>
        </w:tc>
        <w:tc>
          <w:tcPr>
            <w:tcW w:w="2565" w:type="dxa"/>
            <w:vAlign w:val="center"/>
          </w:tcPr>
          <w:p>
            <w:pPr>
              <w:jc w:val="center"/>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25" w:type="dxa"/>
            <w:vAlign w:val="center"/>
          </w:tcPr>
          <w:p>
            <w:pPr>
              <w:jc w:val="center"/>
            </w:pPr>
            <w:r>
              <w:rPr>
                <w:rFonts w:hint="eastAsia"/>
              </w:rPr>
              <w:t>2</w:t>
            </w:r>
          </w:p>
        </w:tc>
        <w:tc>
          <w:tcPr>
            <w:tcW w:w="6610" w:type="dxa"/>
            <w:gridSpan w:val="4"/>
            <w:vAlign w:val="center"/>
          </w:tcPr>
          <w:p>
            <w:pPr>
              <w:jc w:val="center"/>
            </w:pPr>
            <w:r>
              <w:rPr>
                <w:rFonts w:hint="eastAsia"/>
              </w:rPr>
              <w:t>投标总报价（元）</w:t>
            </w:r>
          </w:p>
        </w:tc>
        <w:tc>
          <w:tcPr>
            <w:tcW w:w="2565" w:type="dxa"/>
            <w:vAlign w:val="center"/>
          </w:tcPr>
          <w:p>
            <w:pPr>
              <w:jc w:val="center"/>
            </w:pPr>
          </w:p>
        </w:tc>
      </w:tr>
    </w:tbl>
    <w:p>
      <w:r>
        <w:rPr>
          <w:rFonts w:hint="eastAsia"/>
        </w:rPr>
        <w:t>说明：</w:t>
      </w:r>
    </w:p>
    <w:p>
      <w:pPr>
        <w:rPr>
          <w:color w:val="auto"/>
          <w:highlight w:val="none"/>
        </w:rPr>
      </w:pPr>
      <w:r>
        <w:rPr>
          <w:rFonts w:hint="eastAsia"/>
        </w:rPr>
        <w:t>1、</w:t>
      </w:r>
      <w:r>
        <w:rPr>
          <w:rFonts w:hint="eastAsia" w:ascii="宋体" w:hAnsi="宋体" w:cs="宋体"/>
          <w:szCs w:val="21"/>
        </w:rPr>
        <w:t>商务评分按总投标报价予以评审，爆破量暂按</w:t>
      </w:r>
      <w:r>
        <w:rPr>
          <w:rFonts w:hint="eastAsia" w:ascii="宋体" w:hAnsi="宋体" w:cs="宋体"/>
          <w:szCs w:val="21"/>
          <w:lang w:val="en-US" w:eastAsia="zh-CN"/>
        </w:rPr>
        <w:t>7</w:t>
      </w:r>
      <w:r>
        <w:rPr>
          <w:rFonts w:hint="eastAsia" w:ascii="宋体" w:hAnsi="宋体" w:cs="宋体"/>
          <w:szCs w:val="21"/>
        </w:rPr>
        <w:t>000000吨，</w:t>
      </w:r>
      <w:r>
        <w:rPr>
          <w:rFonts w:hint="eastAsia" w:ascii="宋体" w:hAnsi="宋体" w:cs="宋体"/>
          <w:color w:val="auto"/>
          <w:szCs w:val="21"/>
          <w:highlight w:val="none"/>
        </w:rPr>
        <w:t>最终爆破量按实际销售过磅量为准。</w:t>
      </w:r>
    </w:p>
    <w:p>
      <w:pPr>
        <w:pStyle w:val="2"/>
        <w:ind w:firstLine="420"/>
      </w:pPr>
    </w:p>
    <w:p>
      <w:pPr>
        <w:spacing w:line="600" w:lineRule="exact"/>
        <w:rPr>
          <w:rFonts w:ascii="宋体" w:hAnsi="宋体" w:cs="宋体"/>
          <w:szCs w:val="21"/>
        </w:rPr>
      </w:pPr>
      <w:r>
        <w:rPr>
          <w:rFonts w:hint="eastAsia" w:ascii="宋体" w:hAnsi="宋体" w:cs="宋体"/>
          <w:szCs w:val="21"/>
        </w:rPr>
        <w:t>投标单位名称</w:t>
      </w:r>
      <w:r>
        <w:rPr>
          <w:rFonts w:hint="eastAsia" w:ascii="宋体" w:hAnsi="宋体" w:cs="宋体"/>
          <w:szCs w:val="21"/>
          <w:u w:val="single"/>
        </w:rPr>
        <w:t>：                        （盖章）</w:t>
      </w:r>
      <w:r>
        <w:rPr>
          <w:rFonts w:hint="eastAsia" w:ascii="宋体" w:hAnsi="宋体" w:cs="宋体"/>
          <w:szCs w:val="21"/>
        </w:rPr>
        <w:t xml:space="preserve">              </w:t>
      </w:r>
    </w:p>
    <w:p>
      <w:pPr>
        <w:spacing w:line="600" w:lineRule="exact"/>
        <w:rPr>
          <w:rFonts w:ascii="宋体" w:hAnsi="宋体" w:cs="宋体"/>
          <w:szCs w:val="21"/>
          <w:u w:val="single"/>
        </w:rPr>
      </w:pPr>
      <w:r>
        <w:rPr>
          <w:rFonts w:hint="eastAsia" w:ascii="宋体" w:hAnsi="宋体" w:cs="宋体"/>
          <w:szCs w:val="21"/>
        </w:rPr>
        <w:t>法定代表人或委托代理人：</w:t>
      </w:r>
      <w:r>
        <w:rPr>
          <w:rFonts w:hint="eastAsia" w:ascii="宋体" w:hAnsi="宋体" w:cs="宋体"/>
          <w:szCs w:val="21"/>
          <w:u w:val="single"/>
        </w:rPr>
        <w:t xml:space="preserve">                             （签字或盖章） </w:t>
      </w:r>
    </w:p>
    <w:p>
      <w:pPr>
        <w:pStyle w:val="2"/>
        <w:spacing w:line="600" w:lineRule="exact"/>
        <w:ind w:firstLine="420"/>
      </w:pPr>
      <w:r>
        <w:rPr>
          <w:rFonts w:hint="eastAsia" w:hAnsi="宋体" w:cs="宋体"/>
          <w:szCs w:val="21"/>
        </w:rPr>
        <w:t>日期：   年   月   日</w:t>
      </w:r>
    </w:p>
    <w:p>
      <w:pPr>
        <w:pStyle w:val="44"/>
        <w:spacing w:before="156" w:beforeLines="50" w:after="156" w:afterLines="50" w:line="440" w:lineRule="exact"/>
        <w:rPr>
          <w:bCs/>
          <w:szCs w:val="32"/>
        </w:rPr>
      </w:pPr>
      <w:r>
        <w:rPr>
          <w:rFonts w:hint="eastAsia" w:ascii="宋体" w:hAnsi="宋体" w:cs="宋体"/>
          <w:sz w:val="28"/>
          <w:szCs w:val="28"/>
        </w:rPr>
        <w:br w:type="page"/>
      </w:r>
      <w:r>
        <w:rPr>
          <w:rFonts w:hint="eastAsia"/>
          <w:bCs/>
          <w:szCs w:val="32"/>
        </w:rPr>
        <w:t>第六章  招标单位、招标代理机构对本招标文件的确认</w:t>
      </w:r>
      <w:bookmarkEnd w:id="898"/>
    </w:p>
    <w:p>
      <w:pPr>
        <w:pStyle w:val="20"/>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pPr>
              <w:wordWrap w:val="0"/>
              <w:adjustRightInd w:val="0"/>
              <w:snapToGrid w:val="0"/>
              <w:spacing w:line="560" w:lineRule="exact"/>
              <w:rPr>
                <w:sz w:val="30"/>
              </w:rPr>
            </w:pPr>
          </w:p>
          <w:p>
            <w:pPr>
              <w:wordWrap w:val="0"/>
              <w:spacing w:line="560" w:lineRule="exact"/>
              <w:ind w:firstLine="560" w:firstLineChars="200"/>
              <w:rPr>
                <w:sz w:val="28"/>
                <w:szCs w:val="28"/>
              </w:rPr>
            </w:pPr>
            <w:r>
              <w:rPr>
                <w:rFonts w:hint="eastAsia"/>
                <w:sz w:val="28"/>
                <w:szCs w:val="28"/>
              </w:rPr>
              <w:t>我单位对</w:t>
            </w:r>
            <w:r>
              <w:rPr>
                <w:rFonts w:hint="eastAsia"/>
                <w:sz w:val="28"/>
                <w:szCs w:val="28"/>
                <w:u w:val="single"/>
              </w:rPr>
              <w:t xml:space="preserve">安徽省全椒县马塘湖整合矿区建筑石料用灰岩矿爆破服务项目 </w:t>
            </w:r>
            <w:r>
              <w:rPr>
                <w:rFonts w:hint="eastAsia"/>
                <w:sz w:val="28"/>
                <w:szCs w:val="28"/>
              </w:rPr>
              <w:t>的招标文件进行确认。</w:t>
            </w:r>
          </w:p>
          <w:p>
            <w:pPr>
              <w:widowControl/>
              <w:spacing w:line="360" w:lineRule="auto"/>
              <w:ind w:firstLine="560" w:firstLineChars="200"/>
              <w:jc w:val="left"/>
              <w:rPr>
                <w:rFonts w:ascii="宋体" w:hAnsi="宋体"/>
                <w:sz w:val="28"/>
                <w:szCs w:val="28"/>
              </w:rPr>
            </w:pPr>
            <w:r>
              <w:rPr>
                <w:rFonts w:hint="eastAsia" w:ascii="宋体" w:hAnsi="宋体"/>
                <w:sz w:val="28"/>
                <w:szCs w:val="28"/>
              </w:rPr>
              <w:t xml:space="preserve">招标人：滁州市兴全矿业投资有限公司 </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联 系 人：李云鹏</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 xml:space="preserve">联系电话：17733384043 </w:t>
            </w:r>
          </w:p>
          <w:p>
            <w:pPr>
              <w:wordWrap w:val="0"/>
              <w:spacing w:line="560" w:lineRule="exact"/>
              <w:ind w:firstLine="560" w:firstLineChars="200"/>
              <w:rPr>
                <w:rFonts w:ascii="宋体" w:hAnsi="宋体"/>
                <w:sz w:val="28"/>
                <w:szCs w:val="28"/>
              </w:rPr>
            </w:pPr>
            <w:r>
              <w:rPr>
                <w:rFonts w:hint="eastAsia" w:ascii="宋体" w:hAnsi="宋体"/>
                <w:sz w:val="28"/>
                <w:szCs w:val="28"/>
              </w:rPr>
              <w:t xml:space="preserve">        </w:t>
            </w:r>
          </w:p>
          <w:p>
            <w:pPr>
              <w:wordWrap w:val="0"/>
              <w:spacing w:line="560" w:lineRule="exact"/>
              <w:ind w:firstLine="560" w:firstLineChars="200"/>
              <w:rPr>
                <w:rFonts w:ascii="宋体" w:hAnsi="宋体"/>
                <w:sz w:val="28"/>
                <w:szCs w:val="28"/>
              </w:rPr>
            </w:pPr>
          </w:p>
          <w:p>
            <w:pPr>
              <w:wordWrap w:val="0"/>
              <w:spacing w:line="560" w:lineRule="exact"/>
              <w:ind w:firstLine="560" w:firstLineChars="200"/>
              <w:rPr>
                <w:rFonts w:ascii="宋体" w:hAnsi="宋体"/>
                <w:sz w:val="28"/>
                <w:szCs w:val="28"/>
              </w:rPr>
            </w:pPr>
          </w:p>
          <w:p>
            <w:pPr>
              <w:wordWrap w:val="0"/>
              <w:spacing w:line="560" w:lineRule="exact"/>
              <w:ind w:firstLine="5740" w:firstLineChars="2050"/>
              <w:rPr>
                <w:rFonts w:ascii="宋体" w:hAnsi="宋体"/>
                <w:sz w:val="28"/>
                <w:szCs w:val="28"/>
              </w:rPr>
            </w:pPr>
            <w:r>
              <w:rPr>
                <w:rFonts w:hint="eastAsia" w:ascii="宋体" w:hAnsi="宋体"/>
                <w:sz w:val="28"/>
                <w:szCs w:val="28"/>
              </w:rPr>
              <w:t>（单位盖章）</w:t>
            </w:r>
          </w:p>
          <w:p>
            <w:pPr>
              <w:spacing w:line="560" w:lineRule="exact"/>
              <w:ind w:firstLine="5880" w:firstLineChars="2100"/>
              <w:rPr>
                <w:rFonts w:hint="default" w:ascii="宋体" w:hAnsi="宋体" w:eastAsia="宋体"/>
                <w:sz w:val="28"/>
                <w:szCs w:val="28"/>
                <w:lang w:val="en-US" w:eastAsia="zh-CN"/>
              </w:rPr>
            </w:pPr>
            <w:r>
              <w:rPr>
                <w:rFonts w:hint="eastAsia" w:ascii="宋体" w:hAnsi="宋体"/>
                <w:sz w:val="28"/>
                <w:szCs w:val="28"/>
              </w:rPr>
              <w:t>2024年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24日</w:t>
            </w:r>
          </w:p>
          <w:p>
            <w:pPr>
              <w:pStyle w:val="2"/>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pPr>
              <w:spacing w:line="560" w:lineRule="exact"/>
              <w:ind w:firstLine="560" w:firstLineChars="200"/>
              <w:rPr>
                <w:rFonts w:ascii="宋体" w:hAnsi="宋体" w:cs="宋体"/>
                <w:sz w:val="28"/>
                <w:szCs w:val="28"/>
              </w:rPr>
            </w:pPr>
          </w:p>
          <w:p>
            <w:pPr>
              <w:spacing w:line="560" w:lineRule="exact"/>
              <w:ind w:firstLine="560" w:firstLineChars="200"/>
              <w:rPr>
                <w:rFonts w:ascii="宋体" w:hAnsi="宋体" w:cs="宋体"/>
                <w:sz w:val="28"/>
                <w:szCs w:val="28"/>
                <w:u w:val="single"/>
              </w:rPr>
            </w:pPr>
            <w:r>
              <w:rPr>
                <w:rFonts w:hint="eastAsia" w:ascii="宋体" w:hAnsi="宋体" w:cs="宋体"/>
                <w:sz w:val="28"/>
                <w:szCs w:val="28"/>
              </w:rPr>
              <w:t>招标代理机构：</w:t>
            </w:r>
            <w:r>
              <w:rPr>
                <w:rFonts w:hint="eastAsia"/>
                <w:sz w:val="28"/>
                <w:szCs w:val="28"/>
              </w:rPr>
              <w:t>滁州市城投工程咨询管理有限公司</w:t>
            </w:r>
          </w:p>
          <w:p>
            <w:pPr>
              <w:spacing w:line="560" w:lineRule="exact"/>
              <w:ind w:firstLine="560" w:firstLineChars="200"/>
              <w:rPr>
                <w:rFonts w:ascii="宋体" w:hAnsi="宋体" w:cs="宋体"/>
                <w:sz w:val="28"/>
                <w:szCs w:val="28"/>
                <w:u w:val="single"/>
              </w:rPr>
            </w:pPr>
            <w:r>
              <w:rPr>
                <w:rFonts w:hint="eastAsia" w:ascii="宋体" w:hAnsi="宋体" w:cs="宋体"/>
                <w:sz w:val="28"/>
                <w:szCs w:val="28"/>
              </w:rPr>
              <w:t>联 系 人：田甜</w:t>
            </w:r>
          </w:p>
          <w:p>
            <w:pPr>
              <w:spacing w:line="560" w:lineRule="exact"/>
              <w:ind w:firstLine="560" w:firstLineChars="200"/>
              <w:rPr>
                <w:rFonts w:ascii="宋体" w:hAnsi="宋体" w:cs="宋体"/>
                <w:sz w:val="28"/>
                <w:szCs w:val="28"/>
              </w:rPr>
            </w:pPr>
            <w:r>
              <w:rPr>
                <w:rFonts w:hint="eastAsia" w:ascii="宋体" w:hAnsi="宋体" w:cs="宋体"/>
                <w:sz w:val="28"/>
                <w:szCs w:val="28"/>
              </w:rPr>
              <w:t>联系电话：0550-3519519、15955005370</w:t>
            </w:r>
          </w:p>
          <w:p>
            <w:pPr>
              <w:spacing w:line="560" w:lineRule="exact"/>
              <w:ind w:firstLine="5040" w:firstLineChars="1800"/>
              <w:rPr>
                <w:rFonts w:ascii="宋体" w:hAnsi="宋体" w:cs="宋体"/>
                <w:sz w:val="28"/>
                <w:szCs w:val="28"/>
              </w:rPr>
            </w:pPr>
          </w:p>
          <w:p>
            <w:pPr>
              <w:spacing w:line="560" w:lineRule="exact"/>
              <w:ind w:firstLine="5460" w:firstLineChars="1950"/>
              <w:rPr>
                <w:rFonts w:ascii="宋体" w:hAnsi="宋体" w:cs="宋体"/>
                <w:sz w:val="28"/>
                <w:szCs w:val="28"/>
              </w:rPr>
            </w:pPr>
          </w:p>
          <w:p>
            <w:pPr>
              <w:spacing w:line="560" w:lineRule="exact"/>
              <w:ind w:firstLine="5880" w:firstLineChars="2100"/>
              <w:rPr>
                <w:rFonts w:ascii="宋体" w:hAnsi="宋体" w:cs="宋体"/>
                <w:sz w:val="28"/>
                <w:szCs w:val="28"/>
              </w:rPr>
            </w:pPr>
            <w:r>
              <w:rPr>
                <w:rFonts w:hint="eastAsia" w:ascii="宋体" w:hAnsi="宋体" w:cs="宋体"/>
                <w:sz w:val="28"/>
                <w:szCs w:val="28"/>
              </w:rPr>
              <w:t>（单位盖章）</w:t>
            </w:r>
          </w:p>
          <w:p>
            <w:pPr>
              <w:spacing w:line="560" w:lineRule="exact"/>
              <w:ind w:firstLine="6020" w:firstLineChars="2150"/>
              <w:rPr>
                <w:rFonts w:hint="default" w:ascii="宋体" w:hAnsi="宋体" w:eastAsia="宋体"/>
                <w:sz w:val="28"/>
                <w:szCs w:val="28"/>
                <w:lang w:val="en-US" w:eastAsia="zh-CN"/>
              </w:rPr>
            </w:pPr>
            <w:r>
              <w:rPr>
                <w:rFonts w:hint="eastAsia" w:ascii="宋体" w:hAnsi="宋体"/>
                <w:sz w:val="28"/>
                <w:szCs w:val="28"/>
              </w:rPr>
              <w:t>2024年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24日</w:t>
            </w:r>
          </w:p>
          <w:p>
            <w:pPr>
              <w:pStyle w:val="2"/>
              <w:ind w:firstLine="420"/>
            </w:pPr>
          </w:p>
        </w:tc>
      </w:tr>
    </w:tbl>
    <w:p/>
    <w:sectPr>
      <w:headerReference r:id="rId6" w:type="default"/>
      <w:footerReference r:id="rId7"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1"/>
      </w:rP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1"/>
      </w:rPr>
    </w:pP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30</w:t>
                    </w:r>
                    <w:r>
                      <w:fldChar w:fldCharType="end"/>
                    </w:r>
                  </w:p>
                </w:txbxContent>
              </v:textbox>
            </v:shape>
          </w:pict>
        </mc:Fallback>
      </mc:AlternateContent>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5B19CE4"/>
    <w:multiLevelType w:val="singleLevel"/>
    <w:tmpl w:val="D5B19CE4"/>
    <w:lvl w:ilvl="0" w:tentative="0">
      <w:start w:val="1"/>
      <w:numFmt w:val="decimal"/>
      <w:suff w:val="nothing"/>
      <w:lvlText w:val="（%1）"/>
      <w:lvlJc w:val="left"/>
    </w:lvl>
  </w:abstractNum>
  <w:abstractNum w:abstractNumId="2">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ZjUwNGY4NDJhMTRiM2JiMmQ5MGMwZGNmOTQ1N2EifQ=="/>
    <w:docVar w:name="KSO_WPS_MARK_KEY" w:val="a531ceb8-6044-4dd1-895f-e6774f1b8ee7"/>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4904"/>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551"/>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478DB"/>
    <w:rsid w:val="00750DC6"/>
    <w:rsid w:val="00751F36"/>
    <w:rsid w:val="00752ABA"/>
    <w:rsid w:val="007544B3"/>
    <w:rsid w:val="00754953"/>
    <w:rsid w:val="0075546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64B9"/>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86FC0"/>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17BA0"/>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37396"/>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466042"/>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C7668"/>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2480A"/>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B54266"/>
    <w:rsid w:val="09C556F2"/>
    <w:rsid w:val="09C9680A"/>
    <w:rsid w:val="09E33DCA"/>
    <w:rsid w:val="09EA33AB"/>
    <w:rsid w:val="09EA6668"/>
    <w:rsid w:val="0A0501E5"/>
    <w:rsid w:val="0A075D0B"/>
    <w:rsid w:val="0A0A57FB"/>
    <w:rsid w:val="0A193C90"/>
    <w:rsid w:val="0A1A77A1"/>
    <w:rsid w:val="0A2A37A7"/>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522960"/>
    <w:rsid w:val="0C631998"/>
    <w:rsid w:val="0C6821F6"/>
    <w:rsid w:val="0C794BB7"/>
    <w:rsid w:val="0C990787"/>
    <w:rsid w:val="0C992D4F"/>
    <w:rsid w:val="0CAE3A50"/>
    <w:rsid w:val="0CBF15FF"/>
    <w:rsid w:val="0CC20F4F"/>
    <w:rsid w:val="0CCC6D98"/>
    <w:rsid w:val="0CD91857"/>
    <w:rsid w:val="0CDA4E4E"/>
    <w:rsid w:val="0CF258A4"/>
    <w:rsid w:val="0CF45EE7"/>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3A2B39"/>
    <w:rsid w:val="0E461B92"/>
    <w:rsid w:val="0E4F6BE7"/>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8213B"/>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437AFC"/>
    <w:rsid w:val="1245651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877D2"/>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B515D"/>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07CBC"/>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6C3651"/>
    <w:rsid w:val="178667F0"/>
    <w:rsid w:val="178A4C4F"/>
    <w:rsid w:val="17923530"/>
    <w:rsid w:val="17942AA9"/>
    <w:rsid w:val="17987255"/>
    <w:rsid w:val="179928AA"/>
    <w:rsid w:val="17A739C7"/>
    <w:rsid w:val="17C212EB"/>
    <w:rsid w:val="17C42121"/>
    <w:rsid w:val="17CC0594"/>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77ADA"/>
    <w:rsid w:val="19083037"/>
    <w:rsid w:val="19092828"/>
    <w:rsid w:val="19103908"/>
    <w:rsid w:val="1933462F"/>
    <w:rsid w:val="19390D64"/>
    <w:rsid w:val="19554C37"/>
    <w:rsid w:val="19566DB3"/>
    <w:rsid w:val="195773D2"/>
    <w:rsid w:val="196279A1"/>
    <w:rsid w:val="197113F3"/>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227E1"/>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729AD"/>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8F1E47"/>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07A57"/>
    <w:rsid w:val="1F751014"/>
    <w:rsid w:val="1F7A16FF"/>
    <w:rsid w:val="1F841E94"/>
    <w:rsid w:val="1F86410F"/>
    <w:rsid w:val="1F987D78"/>
    <w:rsid w:val="1FAD0B55"/>
    <w:rsid w:val="1FB57B5F"/>
    <w:rsid w:val="1FBA786C"/>
    <w:rsid w:val="1FC55FF4"/>
    <w:rsid w:val="1FDB75C6"/>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9553A"/>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0096A"/>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C96EFA"/>
    <w:rsid w:val="26E35358"/>
    <w:rsid w:val="270E00FE"/>
    <w:rsid w:val="270E298C"/>
    <w:rsid w:val="270E29F5"/>
    <w:rsid w:val="271512D2"/>
    <w:rsid w:val="271E5FEA"/>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64FA8"/>
    <w:rsid w:val="28EB31BC"/>
    <w:rsid w:val="28EB583C"/>
    <w:rsid w:val="28EC2844"/>
    <w:rsid w:val="28F402DA"/>
    <w:rsid w:val="28FC78BE"/>
    <w:rsid w:val="29000A40"/>
    <w:rsid w:val="290A5FA6"/>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B483D"/>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CE7FDF"/>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8E59C0"/>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7F701A"/>
    <w:rsid w:val="2D8D3A62"/>
    <w:rsid w:val="2DAF3E40"/>
    <w:rsid w:val="2DBE7F60"/>
    <w:rsid w:val="2DF6381D"/>
    <w:rsid w:val="2DF6788C"/>
    <w:rsid w:val="2E0D1588"/>
    <w:rsid w:val="2E0F2B31"/>
    <w:rsid w:val="2E3944B7"/>
    <w:rsid w:val="2E4749F8"/>
    <w:rsid w:val="2E4C1B78"/>
    <w:rsid w:val="2E73313B"/>
    <w:rsid w:val="2E866E5E"/>
    <w:rsid w:val="2E9077CD"/>
    <w:rsid w:val="2EA916B2"/>
    <w:rsid w:val="2EB46A04"/>
    <w:rsid w:val="2EB84F76"/>
    <w:rsid w:val="2EC62DA5"/>
    <w:rsid w:val="2ECB7077"/>
    <w:rsid w:val="2ECF46A2"/>
    <w:rsid w:val="2EED318E"/>
    <w:rsid w:val="2EFE3F3B"/>
    <w:rsid w:val="2F0F1794"/>
    <w:rsid w:val="2F176141"/>
    <w:rsid w:val="2F1A0856"/>
    <w:rsid w:val="2F2B5B05"/>
    <w:rsid w:val="2F46665B"/>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4442E"/>
    <w:rsid w:val="30191760"/>
    <w:rsid w:val="3028092A"/>
    <w:rsid w:val="302F54E7"/>
    <w:rsid w:val="304240BF"/>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272C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1F7372"/>
    <w:rsid w:val="33226E62"/>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E67F69"/>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2E3D12"/>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13699"/>
    <w:rsid w:val="370346A6"/>
    <w:rsid w:val="37113475"/>
    <w:rsid w:val="37252E94"/>
    <w:rsid w:val="37296474"/>
    <w:rsid w:val="373227C5"/>
    <w:rsid w:val="3737558D"/>
    <w:rsid w:val="37405833"/>
    <w:rsid w:val="374101FF"/>
    <w:rsid w:val="375869AC"/>
    <w:rsid w:val="375B253A"/>
    <w:rsid w:val="37666B6B"/>
    <w:rsid w:val="37675674"/>
    <w:rsid w:val="376B1978"/>
    <w:rsid w:val="37940CA8"/>
    <w:rsid w:val="379824DC"/>
    <w:rsid w:val="37D848CF"/>
    <w:rsid w:val="37D92540"/>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9D1465"/>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5B4E7C"/>
    <w:rsid w:val="397B4E62"/>
    <w:rsid w:val="39972B1A"/>
    <w:rsid w:val="399A1410"/>
    <w:rsid w:val="39BD1F51"/>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CF167E"/>
    <w:rsid w:val="3AD117FB"/>
    <w:rsid w:val="3AD4138A"/>
    <w:rsid w:val="3AD72904"/>
    <w:rsid w:val="3AD75A09"/>
    <w:rsid w:val="3ADC5AFD"/>
    <w:rsid w:val="3AE17BBC"/>
    <w:rsid w:val="3B007A89"/>
    <w:rsid w:val="3B0F5ABD"/>
    <w:rsid w:val="3B2F4F75"/>
    <w:rsid w:val="3B31477D"/>
    <w:rsid w:val="3B315914"/>
    <w:rsid w:val="3B422101"/>
    <w:rsid w:val="3B4715CB"/>
    <w:rsid w:val="3B4831DE"/>
    <w:rsid w:val="3B5008D7"/>
    <w:rsid w:val="3B5F4FEF"/>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1DF4"/>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9196D"/>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0C56F0"/>
    <w:rsid w:val="44117E2D"/>
    <w:rsid w:val="441822E7"/>
    <w:rsid w:val="442F13DF"/>
    <w:rsid w:val="44426345"/>
    <w:rsid w:val="444B2816"/>
    <w:rsid w:val="445279AA"/>
    <w:rsid w:val="4453331F"/>
    <w:rsid w:val="445A76E6"/>
    <w:rsid w:val="445F3A86"/>
    <w:rsid w:val="4478636B"/>
    <w:rsid w:val="447A0DB3"/>
    <w:rsid w:val="447D2B53"/>
    <w:rsid w:val="4481712B"/>
    <w:rsid w:val="44901E7E"/>
    <w:rsid w:val="449F54A7"/>
    <w:rsid w:val="44A1052F"/>
    <w:rsid w:val="44C47D79"/>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7C6E74"/>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231829"/>
    <w:rsid w:val="4C3F2C78"/>
    <w:rsid w:val="4C42244E"/>
    <w:rsid w:val="4C437DCE"/>
    <w:rsid w:val="4C537206"/>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355F0D"/>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CE221C"/>
    <w:rsid w:val="4EE414BB"/>
    <w:rsid w:val="4EE87B84"/>
    <w:rsid w:val="4EFF65C5"/>
    <w:rsid w:val="4F0052D1"/>
    <w:rsid w:val="4F014784"/>
    <w:rsid w:val="4F0431E6"/>
    <w:rsid w:val="4F1B712F"/>
    <w:rsid w:val="4F1C605F"/>
    <w:rsid w:val="4F254824"/>
    <w:rsid w:val="4F2658BE"/>
    <w:rsid w:val="4F4736A7"/>
    <w:rsid w:val="4F534522"/>
    <w:rsid w:val="4F7914EF"/>
    <w:rsid w:val="4F9174FD"/>
    <w:rsid w:val="4F9402D2"/>
    <w:rsid w:val="4FAE0F98"/>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14974"/>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1050"/>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120D54"/>
    <w:rsid w:val="52252174"/>
    <w:rsid w:val="52295AE6"/>
    <w:rsid w:val="522D0E7F"/>
    <w:rsid w:val="523E4D62"/>
    <w:rsid w:val="5243507E"/>
    <w:rsid w:val="525402A0"/>
    <w:rsid w:val="52554706"/>
    <w:rsid w:val="525F5585"/>
    <w:rsid w:val="528D41E4"/>
    <w:rsid w:val="52BF5C92"/>
    <w:rsid w:val="52C2167A"/>
    <w:rsid w:val="52C7794C"/>
    <w:rsid w:val="52D279CD"/>
    <w:rsid w:val="52D32ADF"/>
    <w:rsid w:val="52D76BFA"/>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01A08"/>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5F5056B"/>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375B3D"/>
    <w:rsid w:val="57443B56"/>
    <w:rsid w:val="57614844"/>
    <w:rsid w:val="57664CC0"/>
    <w:rsid w:val="576A00D2"/>
    <w:rsid w:val="576A530D"/>
    <w:rsid w:val="57971A40"/>
    <w:rsid w:val="579E4D2D"/>
    <w:rsid w:val="57A24175"/>
    <w:rsid w:val="57B75717"/>
    <w:rsid w:val="57BA3528"/>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503CF7"/>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BFF"/>
    <w:rsid w:val="5BB10CB2"/>
    <w:rsid w:val="5BC16A09"/>
    <w:rsid w:val="5BCD355F"/>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CF36FF6"/>
    <w:rsid w:val="5D0A73AF"/>
    <w:rsid w:val="5D120F26"/>
    <w:rsid w:val="5D1F603D"/>
    <w:rsid w:val="5D376039"/>
    <w:rsid w:val="5D3E31E9"/>
    <w:rsid w:val="5D436E42"/>
    <w:rsid w:val="5D63667B"/>
    <w:rsid w:val="5D6B6200"/>
    <w:rsid w:val="5D6F2EDA"/>
    <w:rsid w:val="5D783847"/>
    <w:rsid w:val="5D7E0FB5"/>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44FA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2F6597"/>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A87CB2"/>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AC5907"/>
    <w:rsid w:val="62CB6D60"/>
    <w:rsid w:val="62E358B2"/>
    <w:rsid w:val="62EA49F7"/>
    <w:rsid w:val="62F154C5"/>
    <w:rsid w:val="62FD0A5D"/>
    <w:rsid w:val="63162338"/>
    <w:rsid w:val="632036E4"/>
    <w:rsid w:val="63232EB3"/>
    <w:rsid w:val="63267478"/>
    <w:rsid w:val="633D315E"/>
    <w:rsid w:val="63504ABF"/>
    <w:rsid w:val="63517786"/>
    <w:rsid w:val="637052D7"/>
    <w:rsid w:val="63851302"/>
    <w:rsid w:val="6388739F"/>
    <w:rsid w:val="6389099E"/>
    <w:rsid w:val="63954DAA"/>
    <w:rsid w:val="63C74AA3"/>
    <w:rsid w:val="63D87748"/>
    <w:rsid w:val="63DE2EEF"/>
    <w:rsid w:val="63E15DFA"/>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4257B9"/>
    <w:rsid w:val="65570D94"/>
    <w:rsid w:val="655774EE"/>
    <w:rsid w:val="65795592"/>
    <w:rsid w:val="65A10F4D"/>
    <w:rsid w:val="65A93335"/>
    <w:rsid w:val="65B765E2"/>
    <w:rsid w:val="65BC5BDE"/>
    <w:rsid w:val="65D3678B"/>
    <w:rsid w:val="65D9764D"/>
    <w:rsid w:val="65DB69B9"/>
    <w:rsid w:val="65E142CF"/>
    <w:rsid w:val="65F16DEF"/>
    <w:rsid w:val="65FF5B93"/>
    <w:rsid w:val="660540EE"/>
    <w:rsid w:val="66081715"/>
    <w:rsid w:val="661673E0"/>
    <w:rsid w:val="661A1A97"/>
    <w:rsid w:val="661A3845"/>
    <w:rsid w:val="661B00EA"/>
    <w:rsid w:val="661D360B"/>
    <w:rsid w:val="663849C4"/>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01F8E"/>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5052D"/>
    <w:rsid w:val="6A4620BF"/>
    <w:rsid w:val="6A4D5F32"/>
    <w:rsid w:val="6A57631E"/>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34991"/>
    <w:rsid w:val="6CE8212C"/>
    <w:rsid w:val="6CE82CE8"/>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5F7645"/>
    <w:rsid w:val="6D6729D8"/>
    <w:rsid w:val="6D6E09F2"/>
    <w:rsid w:val="6D852386"/>
    <w:rsid w:val="6DBD67AE"/>
    <w:rsid w:val="6DCF3167"/>
    <w:rsid w:val="6DD54C21"/>
    <w:rsid w:val="6DD7012F"/>
    <w:rsid w:val="6DF453C2"/>
    <w:rsid w:val="6DFC1EB9"/>
    <w:rsid w:val="6DFF1C9E"/>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6D6B46"/>
    <w:rsid w:val="6F8561D3"/>
    <w:rsid w:val="6F926B42"/>
    <w:rsid w:val="6F9C2017"/>
    <w:rsid w:val="6FB37BE5"/>
    <w:rsid w:val="6FC2450B"/>
    <w:rsid w:val="6FC7059A"/>
    <w:rsid w:val="6FCA64CD"/>
    <w:rsid w:val="6FCE27E8"/>
    <w:rsid w:val="6FE112C4"/>
    <w:rsid w:val="6FF069FB"/>
    <w:rsid w:val="6FF36A80"/>
    <w:rsid w:val="6FFB0619"/>
    <w:rsid w:val="6FFD7D02"/>
    <w:rsid w:val="70020E6A"/>
    <w:rsid w:val="701A60AC"/>
    <w:rsid w:val="702149D3"/>
    <w:rsid w:val="7021684B"/>
    <w:rsid w:val="70217D0F"/>
    <w:rsid w:val="70431E43"/>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338C9"/>
    <w:rsid w:val="715D7335"/>
    <w:rsid w:val="716B26C0"/>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4014C"/>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4734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950F1"/>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7324A"/>
    <w:rsid w:val="75780005"/>
    <w:rsid w:val="75846F2D"/>
    <w:rsid w:val="758E56B6"/>
    <w:rsid w:val="759D26FD"/>
    <w:rsid w:val="75B0387E"/>
    <w:rsid w:val="75BA7DC9"/>
    <w:rsid w:val="75C158E1"/>
    <w:rsid w:val="75D75BBF"/>
    <w:rsid w:val="75F25C45"/>
    <w:rsid w:val="75F8173D"/>
    <w:rsid w:val="75FE15A4"/>
    <w:rsid w:val="76087EFE"/>
    <w:rsid w:val="762F3987"/>
    <w:rsid w:val="763146BA"/>
    <w:rsid w:val="76373F9F"/>
    <w:rsid w:val="763C17CD"/>
    <w:rsid w:val="76483B47"/>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64F66"/>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31CE9"/>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B44466"/>
    <w:rsid w:val="78D12FAA"/>
    <w:rsid w:val="78D855C6"/>
    <w:rsid w:val="78F148D9"/>
    <w:rsid w:val="78FC0536"/>
    <w:rsid w:val="78FE7954"/>
    <w:rsid w:val="79315979"/>
    <w:rsid w:val="79424F4F"/>
    <w:rsid w:val="795831E5"/>
    <w:rsid w:val="796E7E54"/>
    <w:rsid w:val="79756315"/>
    <w:rsid w:val="79765CDA"/>
    <w:rsid w:val="798B6ADC"/>
    <w:rsid w:val="79971D97"/>
    <w:rsid w:val="79A47621"/>
    <w:rsid w:val="79AA18D2"/>
    <w:rsid w:val="79AB6836"/>
    <w:rsid w:val="79C56A19"/>
    <w:rsid w:val="79D957CA"/>
    <w:rsid w:val="79DA621C"/>
    <w:rsid w:val="79E41D48"/>
    <w:rsid w:val="79ED729C"/>
    <w:rsid w:val="7A0A78E3"/>
    <w:rsid w:val="7A2465E9"/>
    <w:rsid w:val="7A364577"/>
    <w:rsid w:val="7A3E46D9"/>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4360F"/>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BA4E3B"/>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1"/>
    <w:qFormat/>
    <w:uiPriority w:val="0"/>
    <w:pPr>
      <w:keepNext/>
      <w:keepLines/>
      <w:spacing w:line="440" w:lineRule="exact"/>
      <w:jc w:val="center"/>
      <w:outlineLvl w:val="0"/>
    </w:pPr>
    <w:rPr>
      <w:b/>
      <w:bCs/>
      <w:kern w:val="44"/>
      <w:sz w:val="44"/>
      <w:szCs w:val="44"/>
    </w:rPr>
  </w:style>
  <w:style w:type="paragraph" w:styleId="6">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7">
    <w:name w:val="heading 3"/>
    <w:basedOn w:val="1"/>
    <w:next w:val="1"/>
    <w:link w:val="154"/>
    <w:autoRedefine/>
    <w:qFormat/>
    <w:uiPriority w:val="0"/>
    <w:pPr>
      <w:keepNext/>
      <w:keepLines/>
      <w:spacing w:line="415" w:lineRule="auto"/>
      <w:outlineLvl w:val="2"/>
    </w:pPr>
    <w:rPr>
      <w:b/>
      <w:bCs/>
      <w:kern w:val="0"/>
      <w:sz w:val="32"/>
      <w:szCs w:val="32"/>
    </w:rPr>
  </w:style>
  <w:style w:type="paragraph" w:styleId="8">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9">
    <w:name w:val="heading 5"/>
    <w:basedOn w:val="1"/>
    <w:next w:val="1"/>
    <w:link w:val="130"/>
    <w:qFormat/>
    <w:uiPriority w:val="0"/>
    <w:pPr>
      <w:keepNext/>
      <w:keepLines/>
      <w:spacing w:line="376" w:lineRule="auto"/>
      <w:outlineLvl w:val="4"/>
    </w:pPr>
    <w:rPr>
      <w:b/>
      <w:bCs/>
      <w:sz w:val="28"/>
      <w:szCs w:val="28"/>
    </w:rPr>
  </w:style>
  <w:style w:type="paragraph" w:styleId="10">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1">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2">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3">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autoRedefine/>
    <w:qFormat/>
    <w:uiPriority w:val="0"/>
    <w:pPr>
      <w:snapToGrid w:val="0"/>
    </w:pPr>
    <w:rPr>
      <w:rFonts w:ascii="Arial" w:hAnsi="Arial"/>
    </w:rPr>
  </w:style>
  <w:style w:type="paragraph" w:styleId="14">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3"/>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7"/>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autoRedefine/>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autoRedefine/>
    <w:qFormat/>
    <w:uiPriority w:val="0"/>
    <w:pPr>
      <w:ind w:left="240"/>
    </w:pPr>
    <w:rPr>
      <w:sz w:val="16"/>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autoRedefine/>
    <w:qFormat/>
    <w:uiPriority w:val="0"/>
    <w:rPr>
      <w:b/>
      <w:bCs/>
    </w:rPr>
  </w:style>
  <w:style w:type="paragraph" w:styleId="46">
    <w:name w:val="Body Text First Indent"/>
    <w:basedOn w:val="20"/>
    <w:autoRedefine/>
    <w:qFormat/>
    <w:uiPriority w:val="0"/>
    <w:pPr>
      <w:ind w:firstLine="420" w:firstLineChars="100"/>
    </w:p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333333"/>
      <w:u w:val="none"/>
    </w:rPr>
  </w:style>
  <w:style w:type="character" w:styleId="53">
    <w:name w:val="Emphasis"/>
    <w:autoRedefine/>
    <w:qFormat/>
    <w:uiPriority w:val="0"/>
    <w:rPr>
      <w:color w:val="CC0033"/>
    </w:rPr>
  </w:style>
  <w:style w:type="character" w:styleId="54">
    <w:name w:val="HTML Definition"/>
    <w:autoRedefine/>
    <w:qFormat/>
    <w:uiPriority w:val="0"/>
  </w:style>
  <w:style w:type="character" w:styleId="55">
    <w:name w:val="HTML Typewriter"/>
    <w:autoRedefine/>
    <w:qFormat/>
    <w:uiPriority w:val="0"/>
    <w:rPr>
      <w:rFonts w:hint="default" w:ascii="monospace" w:hAnsi="monospace" w:eastAsia="monospace" w:cs="monospace"/>
      <w:sz w:val="20"/>
    </w:rPr>
  </w:style>
  <w:style w:type="character" w:styleId="56">
    <w:name w:val="HTML Acronym"/>
    <w:basedOn w:val="49"/>
    <w:autoRedefine/>
    <w:qFormat/>
    <w:uiPriority w:val="0"/>
  </w:style>
  <w:style w:type="character" w:styleId="57">
    <w:name w:val="HTML Variable"/>
    <w:autoRedefine/>
    <w:qFormat/>
    <w:uiPriority w:val="0"/>
  </w:style>
  <w:style w:type="character" w:styleId="58">
    <w:name w:val="Hyperlink"/>
    <w:basedOn w:val="49"/>
    <w:autoRedefine/>
    <w:qFormat/>
    <w:uiPriority w:val="99"/>
    <w:rPr>
      <w:color w:val="333333"/>
      <w:u w:val="none"/>
    </w:rPr>
  </w:style>
  <w:style w:type="character" w:styleId="59">
    <w:name w:val="HTML Code"/>
    <w:autoRedefine/>
    <w:qFormat/>
    <w:uiPriority w:val="0"/>
    <w:rPr>
      <w:rFonts w:hint="default"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autoRedefine/>
    <w:qFormat/>
    <w:uiPriority w:val="0"/>
  </w:style>
  <w:style w:type="character" w:styleId="62">
    <w:name w:val="footnote reference"/>
    <w:autoRedefine/>
    <w:qFormat/>
    <w:uiPriority w:val="0"/>
    <w:rPr>
      <w:vertAlign w:val="superscript"/>
    </w:rPr>
  </w:style>
  <w:style w:type="character" w:styleId="63">
    <w:name w:val="HTML Keyboard"/>
    <w:autoRedefine/>
    <w:qFormat/>
    <w:uiPriority w:val="0"/>
    <w:rPr>
      <w:rFonts w:ascii="monospace" w:hAnsi="monospace" w:eastAsia="monospace" w:cs="monospace"/>
      <w:sz w:val="20"/>
    </w:rPr>
  </w:style>
  <w:style w:type="character" w:styleId="64">
    <w:name w:val="HTML Sample"/>
    <w:autoRedefine/>
    <w:qFormat/>
    <w:uiPriority w:val="0"/>
    <w:rPr>
      <w:rFonts w:hint="default" w:ascii="monospace" w:hAnsi="monospace" w:eastAsia="monospace" w:cs="monospace"/>
    </w:rPr>
  </w:style>
  <w:style w:type="paragraph" w:customStyle="1" w:styleId="65">
    <w:name w:val="正文（缩进）"/>
    <w:basedOn w:val="1"/>
    <w:next w:val="21"/>
    <w:autoRedefine/>
    <w:qFormat/>
    <w:uiPriority w:val="0"/>
    <w:pPr>
      <w:spacing w:before="156" w:beforeLines="50" w:after="156" w:afterLines="50" w:line="360" w:lineRule="auto"/>
      <w:ind w:firstLine="480" w:firstLineChars="200"/>
    </w:pPr>
    <w:rPr>
      <w:sz w:val="24"/>
    </w:rPr>
  </w:style>
  <w:style w:type="paragraph" w:styleId="66">
    <w:name w:val="List Paragraph"/>
    <w:basedOn w:val="1"/>
    <w:autoRedefine/>
    <w:qFormat/>
    <w:uiPriority w:val="34"/>
    <w:pPr>
      <w:ind w:firstLine="420" w:firstLineChars="200"/>
    </w:pPr>
  </w:style>
  <w:style w:type="paragraph" w:customStyle="1" w:styleId="67">
    <w:name w:val="_Style 62"/>
    <w:basedOn w:val="1"/>
    <w:next w:val="1"/>
    <w:autoRedefine/>
    <w:qFormat/>
    <w:uiPriority w:val="0"/>
    <w:pPr>
      <w:pBdr>
        <w:top w:val="single" w:color="auto" w:sz="6" w:space="1"/>
      </w:pBdr>
      <w:jc w:val="center"/>
    </w:pPr>
    <w:rPr>
      <w:rFonts w:ascii="Arial"/>
      <w:vanish/>
      <w:sz w:val="16"/>
    </w:rPr>
  </w:style>
  <w:style w:type="paragraph" w:customStyle="1" w:styleId="68">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69">
    <w:name w:val="表格"/>
    <w:basedOn w:val="1"/>
    <w:autoRedefine/>
    <w:qFormat/>
    <w:uiPriority w:val="0"/>
    <w:pPr>
      <w:jc w:val="center"/>
      <w:textAlignment w:val="center"/>
    </w:pPr>
    <w:rPr>
      <w:rFonts w:ascii="华文细黑" w:hAnsi="华文细黑"/>
      <w:kern w:val="0"/>
      <w:szCs w:val="20"/>
    </w:rPr>
  </w:style>
  <w:style w:type="paragraph" w:customStyle="1" w:styleId="70">
    <w:name w:val="表格文字"/>
    <w:basedOn w:val="1"/>
    <w:autoRedefine/>
    <w:qFormat/>
    <w:uiPriority w:val="0"/>
    <w:pPr>
      <w:adjustRightInd w:val="0"/>
      <w:spacing w:line="420" w:lineRule="atLeast"/>
      <w:jc w:val="left"/>
      <w:textAlignment w:val="baseline"/>
    </w:pPr>
    <w:rPr>
      <w:kern w:val="0"/>
      <w:szCs w:val="20"/>
    </w:rPr>
  </w:style>
  <w:style w:type="paragraph" w:customStyle="1" w:styleId="71">
    <w:name w:val="Char"/>
    <w:basedOn w:val="1"/>
    <w:next w:val="1"/>
    <w:autoRedefine/>
    <w:qFormat/>
    <w:uiPriority w:val="0"/>
    <w:pPr>
      <w:widowControl/>
      <w:spacing w:line="360" w:lineRule="auto"/>
      <w:jc w:val="left"/>
    </w:pPr>
    <w:rPr>
      <w:kern w:val="0"/>
      <w:szCs w:val="20"/>
      <w:lang w:eastAsia="en-US"/>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7"/>
    <w:autoRedefine/>
    <w:qFormat/>
    <w:uiPriority w:val="0"/>
  </w:style>
  <w:style w:type="paragraph" w:customStyle="1" w:styleId="74">
    <w:name w:val="Default Paragraph Char Char Char Char"/>
    <w:basedOn w:val="1"/>
    <w:next w:val="1"/>
    <w:autoRedefine/>
    <w:qFormat/>
    <w:uiPriority w:val="0"/>
    <w:pPr>
      <w:spacing w:line="360" w:lineRule="auto"/>
    </w:pPr>
    <w:rPr>
      <w:szCs w:val="20"/>
    </w:rPr>
  </w:style>
  <w:style w:type="paragraph" w:customStyle="1" w:styleId="75">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autoRedefine/>
    <w:qFormat/>
    <w:uiPriority w:val="0"/>
  </w:style>
  <w:style w:type="paragraph" w:customStyle="1" w:styleId="77">
    <w:name w:val="样式 标题 1 + 黑体 五号"/>
    <w:basedOn w:val="5"/>
    <w:autoRedefine/>
    <w:qFormat/>
    <w:uiPriority w:val="0"/>
    <w:pPr>
      <w:jc w:val="left"/>
    </w:pPr>
    <w:rPr>
      <w:rFonts w:ascii="黑体" w:hAnsi="黑体" w:eastAsia="黑体"/>
      <w:sz w:val="21"/>
    </w:rPr>
  </w:style>
  <w:style w:type="paragraph" w:customStyle="1" w:styleId="78">
    <w:name w:val="样式4"/>
    <w:basedOn w:val="7"/>
    <w:autoRedefine/>
    <w:qFormat/>
    <w:uiPriority w:val="0"/>
    <w:rPr>
      <w:rFonts w:eastAsia="Arial"/>
    </w:rPr>
  </w:style>
  <w:style w:type="paragraph" w:customStyle="1" w:styleId="79">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autoRedefine/>
    <w:qFormat/>
    <w:uiPriority w:val="0"/>
    <w:pPr>
      <w:ind w:firstLine="200" w:firstLineChars="200"/>
    </w:pPr>
  </w:style>
  <w:style w:type="paragraph" w:customStyle="1" w:styleId="81">
    <w:name w:val="p0 New"/>
    <w:basedOn w:val="1"/>
    <w:autoRedefine/>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5"/>
    <w:autoRedefine/>
    <w:qFormat/>
    <w:uiPriority w:val="0"/>
    <w:pPr>
      <w:spacing w:line="400" w:lineRule="exact"/>
    </w:pPr>
    <w:rPr>
      <w:rFonts w:ascii="黑体" w:hAnsi="黑体" w:eastAsia="黑体" w:cs="宋体"/>
      <w:b w:val="0"/>
      <w:bCs w:val="0"/>
      <w:sz w:val="32"/>
      <w:szCs w:val="20"/>
    </w:rPr>
  </w:style>
  <w:style w:type="paragraph" w:customStyle="1" w:styleId="83">
    <w:name w:val="_Style 78"/>
    <w:basedOn w:val="5"/>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autoRedefine/>
    <w:qFormat/>
    <w:uiPriority w:val="0"/>
    <w:pPr>
      <w:tabs>
        <w:tab w:val="left" w:pos="360"/>
      </w:tabs>
    </w:pPr>
    <w:rPr>
      <w:sz w:val="24"/>
    </w:rPr>
  </w:style>
  <w:style w:type="paragraph" w:customStyle="1" w:styleId="85">
    <w:name w:val="样式1"/>
    <w:basedOn w:val="7"/>
    <w:autoRedefine/>
    <w:qFormat/>
    <w:uiPriority w:val="0"/>
    <w:rPr>
      <w:rFonts w:eastAsia="Arial"/>
    </w:rPr>
  </w:style>
  <w:style w:type="paragraph" w:customStyle="1" w:styleId="86">
    <w:name w:val="Char Char Char Char Char Char Char Char Char Char Char Char Char"/>
    <w:basedOn w:val="1"/>
    <w:autoRedefine/>
    <w:qFormat/>
    <w:uiPriority w:val="0"/>
  </w:style>
  <w:style w:type="paragraph" w:customStyle="1" w:styleId="87">
    <w:name w:val="p"/>
    <w:basedOn w:val="1"/>
    <w:autoRedefine/>
    <w:qFormat/>
    <w:uiPriority w:val="0"/>
    <w:rPr>
      <w:rFonts w:ascii="宋体"/>
      <w:sz w:val="24"/>
    </w:rPr>
  </w:style>
  <w:style w:type="paragraph" w:customStyle="1" w:styleId="88">
    <w:name w:val="Char Char Char Char"/>
    <w:basedOn w:val="1"/>
    <w:autoRedefine/>
    <w:qFormat/>
    <w:uiPriority w:val="0"/>
  </w:style>
  <w:style w:type="paragraph" w:customStyle="1" w:styleId="89">
    <w:name w:val="_Style 84"/>
    <w:basedOn w:val="1"/>
    <w:next w:val="1"/>
    <w:autoRedefine/>
    <w:qFormat/>
    <w:uiPriority w:val="0"/>
    <w:pPr>
      <w:pBdr>
        <w:bottom w:val="single" w:color="auto" w:sz="6" w:space="1"/>
      </w:pBdr>
      <w:jc w:val="center"/>
    </w:pPr>
    <w:rPr>
      <w:rFonts w:ascii="Arial"/>
      <w:vanish/>
      <w:sz w:val="16"/>
    </w:rPr>
  </w:style>
  <w:style w:type="paragraph" w:customStyle="1" w:styleId="90">
    <w:name w:val="1"/>
    <w:basedOn w:val="1"/>
    <w:next w:val="1"/>
    <w:autoRedefine/>
    <w:qFormat/>
    <w:uiPriority w:val="0"/>
  </w:style>
  <w:style w:type="paragraph" w:customStyle="1" w:styleId="91">
    <w:name w:val="p15"/>
    <w:autoRedefine/>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6"/>
    <w:autoRedefine/>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4">
    <w:name w:val="p0"/>
    <w:basedOn w:val="1"/>
    <w:autoRedefine/>
    <w:qFormat/>
    <w:uiPriority w:val="99"/>
    <w:pPr>
      <w:widowControl/>
    </w:pPr>
    <w:rPr>
      <w:kern w:val="0"/>
      <w:szCs w:val="21"/>
    </w:rPr>
  </w:style>
  <w:style w:type="paragraph" w:customStyle="1" w:styleId="95">
    <w:name w:val="样式3"/>
    <w:basedOn w:val="7"/>
    <w:autoRedefine/>
    <w:qFormat/>
    <w:uiPriority w:val="0"/>
    <w:rPr>
      <w:rFonts w:eastAsia="Arial"/>
    </w:rPr>
  </w:style>
  <w:style w:type="paragraph" w:customStyle="1" w:styleId="96">
    <w:name w:val="样式 标题 3 + (中文) 黑体 小四 非加粗 段前: 7.8 磅 段后: 0 磅 行距: 固定值 20 磅"/>
    <w:basedOn w:val="7"/>
    <w:autoRedefine/>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autoRedefine/>
    <w:qFormat/>
    <w:uiPriority w:val="0"/>
  </w:style>
  <w:style w:type="paragraph" w:customStyle="1" w:styleId="98">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9"/>
    <w:autoRedefine/>
    <w:qFormat/>
    <w:uiPriority w:val="0"/>
  </w:style>
  <w:style w:type="character" w:customStyle="1" w:styleId="101">
    <w:name w:val="Char Char Char Char Char Char"/>
    <w:autoRedefine/>
    <w:qFormat/>
    <w:uiPriority w:val="0"/>
    <w:rPr>
      <w:rFonts w:ascii="Arial" w:hAnsi="Arial" w:eastAsia="黑体"/>
      <w:b/>
      <w:bCs/>
      <w:kern w:val="2"/>
      <w:sz w:val="32"/>
      <w:szCs w:val="32"/>
      <w:lang w:val="en-US" w:eastAsia="zh-CN" w:bidi="ar-SA"/>
    </w:rPr>
  </w:style>
  <w:style w:type="character" w:customStyle="1" w:styleId="102">
    <w:name w:val="l11"/>
    <w:autoRedefine/>
    <w:qFormat/>
    <w:uiPriority w:val="0"/>
    <w:rPr>
      <w:color w:val="999999"/>
    </w:rPr>
  </w:style>
  <w:style w:type="character" w:customStyle="1" w:styleId="103">
    <w:name w:val="Char Char"/>
    <w:autoRedefine/>
    <w:qFormat/>
    <w:uiPriority w:val="0"/>
    <w:rPr>
      <w:rFonts w:ascii="Arial" w:hAnsi="Arial" w:eastAsia="黑体"/>
      <w:b/>
      <w:bCs/>
      <w:kern w:val="2"/>
      <w:sz w:val="32"/>
      <w:szCs w:val="32"/>
      <w:lang w:val="en-US" w:eastAsia="zh-CN" w:bidi="ar-SA"/>
    </w:rPr>
  </w:style>
  <w:style w:type="character" w:customStyle="1" w:styleId="104">
    <w:name w:val="Char Char5"/>
    <w:autoRedefine/>
    <w:qFormat/>
    <w:uiPriority w:val="0"/>
    <w:rPr>
      <w:rFonts w:ascii="Arial" w:hAnsi="Arial" w:eastAsia="黑体"/>
      <w:b/>
      <w:bCs/>
      <w:kern w:val="2"/>
      <w:sz w:val="32"/>
      <w:szCs w:val="32"/>
    </w:rPr>
  </w:style>
  <w:style w:type="character" w:customStyle="1" w:styleId="105">
    <w:name w:val="msg-box28"/>
    <w:basedOn w:val="49"/>
    <w:autoRedefine/>
    <w:qFormat/>
    <w:uiPriority w:val="0"/>
  </w:style>
  <w:style w:type="character" w:customStyle="1" w:styleId="106">
    <w:name w:val="img_title6"/>
    <w:autoRedefine/>
    <w:qFormat/>
    <w:uiPriority w:val="0"/>
    <w:rPr>
      <w:vanish/>
    </w:rPr>
  </w:style>
  <w:style w:type="character" w:customStyle="1" w:styleId="107">
    <w:name w:val="tit12"/>
    <w:autoRedefine/>
    <w:qFormat/>
    <w:uiPriority w:val="0"/>
    <w:rPr>
      <w:color w:val="04A06C"/>
    </w:rPr>
  </w:style>
  <w:style w:type="character" w:customStyle="1" w:styleId="108">
    <w:name w:val="Char Char2"/>
    <w:autoRedefine/>
    <w:qFormat/>
    <w:uiPriority w:val="0"/>
    <w:rPr>
      <w:rFonts w:eastAsia="宋体"/>
      <w:kern w:val="2"/>
      <w:sz w:val="21"/>
      <w:szCs w:val="24"/>
      <w:lang w:val="en-US" w:eastAsia="zh-CN" w:bidi="ar-SA"/>
    </w:rPr>
  </w:style>
  <w:style w:type="character" w:customStyle="1" w:styleId="109">
    <w:name w:val="nostart"/>
    <w:autoRedefine/>
    <w:qFormat/>
    <w:uiPriority w:val="0"/>
    <w:rPr>
      <w:color w:val="FF0000"/>
    </w:rPr>
  </w:style>
  <w:style w:type="character" w:customStyle="1" w:styleId="110">
    <w:name w:val="nostart3"/>
    <w:basedOn w:val="49"/>
    <w:autoRedefine/>
    <w:qFormat/>
    <w:uiPriority w:val="0"/>
  </w:style>
  <w:style w:type="character" w:customStyle="1" w:styleId="111">
    <w:name w:val="img4"/>
    <w:basedOn w:val="49"/>
    <w:autoRedefine/>
    <w:qFormat/>
    <w:uiPriority w:val="0"/>
  </w:style>
  <w:style w:type="character" w:customStyle="1" w:styleId="112">
    <w:name w:val="tit11"/>
    <w:autoRedefine/>
    <w:qFormat/>
    <w:uiPriority w:val="0"/>
    <w:rPr>
      <w:color w:val="B60000"/>
    </w:rPr>
  </w:style>
  <w:style w:type="character" w:customStyle="1" w:styleId="113">
    <w:name w:val="批注文字 Char"/>
    <w:link w:val="18"/>
    <w:autoRedefine/>
    <w:qFormat/>
    <w:uiPriority w:val="0"/>
    <w:rPr>
      <w:rFonts w:eastAsia="宋体"/>
      <w:kern w:val="2"/>
      <w:sz w:val="21"/>
      <w:szCs w:val="24"/>
      <w:lang w:val="en-US" w:eastAsia="zh-CN" w:bidi="ar-SA"/>
    </w:rPr>
  </w:style>
  <w:style w:type="character" w:customStyle="1" w:styleId="114">
    <w:name w:val="over"/>
    <w:autoRedefine/>
    <w:qFormat/>
    <w:uiPriority w:val="0"/>
    <w:rPr>
      <w:color w:val="B60000"/>
    </w:rPr>
  </w:style>
  <w:style w:type="character" w:customStyle="1" w:styleId="115">
    <w:name w:val="HTML 预设格式 Char"/>
    <w:link w:val="41"/>
    <w:autoRedefine/>
    <w:qFormat/>
    <w:uiPriority w:val="0"/>
    <w:rPr>
      <w:rFonts w:ascii="宋体" w:hAnsi="宋体" w:cs="宋体"/>
      <w:sz w:val="24"/>
      <w:szCs w:val="24"/>
    </w:rPr>
  </w:style>
  <w:style w:type="character" w:customStyle="1" w:styleId="116">
    <w:name w:val="l6"/>
    <w:autoRedefine/>
    <w:qFormat/>
    <w:uiPriority w:val="0"/>
    <w:rPr>
      <w:color w:val="999999"/>
    </w:rPr>
  </w:style>
  <w:style w:type="character" w:customStyle="1" w:styleId="117">
    <w:name w:val="datetime"/>
    <w:autoRedefine/>
    <w:qFormat/>
    <w:uiPriority w:val="0"/>
    <w:rPr>
      <w:rFonts w:hint="default" w:ascii="Arial" w:hAnsi="Arial" w:cs="Arial"/>
      <w:color w:val="999999"/>
      <w:sz w:val="21"/>
      <w:szCs w:val="21"/>
    </w:rPr>
  </w:style>
  <w:style w:type="character" w:customStyle="1" w:styleId="118">
    <w:name w:val="txt1"/>
    <w:basedOn w:val="49"/>
    <w:autoRedefine/>
    <w:qFormat/>
    <w:uiPriority w:val="0"/>
  </w:style>
  <w:style w:type="character" w:customStyle="1" w:styleId="119">
    <w:name w:val="starting1"/>
    <w:autoRedefine/>
    <w:qFormat/>
    <w:uiPriority w:val="0"/>
    <w:rPr>
      <w:color w:val="339900"/>
    </w:rPr>
  </w:style>
  <w:style w:type="character" w:customStyle="1" w:styleId="120">
    <w:name w:val="starting2"/>
    <w:autoRedefine/>
    <w:qFormat/>
    <w:uiPriority w:val="0"/>
    <w:rPr>
      <w:color w:val="B60000"/>
    </w:rPr>
  </w:style>
  <w:style w:type="character" w:customStyle="1" w:styleId="121">
    <w:name w:val="标题 1 Char"/>
    <w:link w:val="5"/>
    <w:autoRedefine/>
    <w:qFormat/>
    <w:uiPriority w:val="0"/>
    <w:rPr>
      <w:rFonts w:eastAsia="宋体"/>
      <w:b/>
      <w:bCs/>
      <w:kern w:val="44"/>
      <w:sz w:val="44"/>
      <w:szCs w:val="44"/>
      <w:lang w:val="en-US" w:eastAsia="zh-CN" w:bidi="ar-SA"/>
    </w:rPr>
  </w:style>
  <w:style w:type="character" w:customStyle="1" w:styleId="122">
    <w:name w:val="red"/>
    <w:autoRedefine/>
    <w:qFormat/>
    <w:uiPriority w:val="0"/>
    <w:rPr>
      <w:rFonts w:hint="default" w:ascii="Arial" w:hAnsi="Arial" w:cs="Arial"/>
      <w:color w:val="E50000"/>
    </w:rPr>
  </w:style>
  <w:style w:type="character" w:customStyle="1" w:styleId="123">
    <w:name w:val="Char Char4"/>
    <w:autoRedefine/>
    <w:qFormat/>
    <w:uiPriority w:val="0"/>
    <w:rPr>
      <w:rFonts w:eastAsia="宋体"/>
      <w:b/>
      <w:bCs/>
      <w:kern w:val="44"/>
      <w:sz w:val="44"/>
      <w:szCs w:val="44"/>
      <w:lang w:val="en-US" w:eastAsia="zh-CN" w:bidi="ar-SA"/>
    </w:rPr>
  </w:style>
  <w:style w:type="character" w:customStyle="1" w:styleId="124">
    <w:name w:val="font161"/>
    <w:autoRedefine/>
    <w:qFormat/>
    <w:uiPriority w:val="0"/>
    <w:rPr>
      <w:b/>
      <w:bCs/>
      <w:sz w:val="32"/>
      <w:szCs w:val="32"/>
    </w:rPr>
  </w:style>
  <w:style w:type="character" w:customStyle="1" w:styleId="125">
    <w:name w:val="Char Char8"/>
    <w:autoRedefine/>
    <w:qFormat/>
    <w:uiPriority w:val="0"/>
    <w:rPr>
      <w:rFonts w:ascii="Arial" w:hAnsi="Arial" w:eastAsia="黑体"/>
      <w:b/>
      <w:bCs/>
      <w:kern w:val="2"/>
      <w:sz w:val="32"/>
      <w:szCs w:val="32"/>
      <w:lang w:val="en-US" w:eastAsia="zh-CN" w:bidi="ar-SA"/>
    </w:rPr>
  </w:style>
  <w:style w:type="character" w:customStyle="1" w:styleId="126">
    <w:name w:val="msg-box29"/>
    <w:basedOn w:val="49"/>
    <w:autoRedefine/>
    <w:qFormat/>
    <w:uiPriority w:val="0"/>
  </w:style>
  <w:style w:type="character" w:customStyle="1" w:styleId="127">
    <w:name w:val="over2"/>
    <w:autoRedefine/>
    <w:qFormat/>
    <w:uiPriority w:val="0"/>
    <w:rPr>
      <w:color w:val="999999"/>
    </w:rPr>
  </w:style>
  <w:style w:type="character" w:customStyle="1" w:styleId="128">
    <w:name w:val="img_title7"/>
    <w:autoRedefine/>
    <w:qFormat/>
    <w:uiPriority w:val="0"/>
    <w:rPr>
      <w:vanish/>
    </w:rPr>
  </w:style>
  <w:style w:type="character" w:customStyle="1" w:styleId="129">
    <w:name w:val="l7"/>
    <w:autoRedefine/>
    <w:qFormat/>
    <w:uiPriority w:val="0"/>
    <w:rPr>
      <w:color w:val="999999"/>
    </w:rPr>
  </w:style>
  <w:style w:type="character" w:customStyle="1" w:styleId="130">
    <w:name w:val="标题 5 Char"/>
    <w:link w:val="9"/>
    <w:autoRedefine/>
    <w:qFormat/>
    <w:uiPriority w:val="0"/>
    <w:rPr>
      <w:b/>
      <w:bCs/>
      <w:kern w:val="2"/>
      <w:sz w:val="28"/>
      <w:szCs w:val="28"/>
    </w:rPr>
  </w:style>
  <w:style w:type="character" w:customStyle="1" w:styleId="131">
    <w:name w:val="l51"/>
    <w:autoRedefine/>
    <w:qFormat/>
    <w:uiPriority w:val="0"/>
    <w:rPr>
      <w:color w:val="999999"/>
    </w:rPr>
  </w:style>
  <w:style w:type="character" w:customStyle="1" w:styleId="132">
    <w:name w:val="num81"/>
    <w:basedOn w:val="49"/>
    <w:autoRedefine/>
    <w:qFormat/>
    <w:uiPriority w:val="0"/>
  </w:style>
  <w:style w:type="character" w:customStyle="1" w:styleId="133">
    <w:name w:val="Char Char1"/>
    <w:autoRedefine/>
    <w:qFormat/>
    <w:uiPriority w:val="0"/>
    <w:rPr>
      <w:rFonts w:eastAsia="宋体"/>
      <w:kern w:val="2"/>
      <w:sz w:val="21"/>
      <w:szCs w:val="24"/>
      <w:lang w:val="en-US" w:eastAsia="zh-CN" w:bidi="ar-SA"/>
    </w:rPr>
  </w:style>
  <w:style w:type="character" w:customStyle="1" w:styleId="134">
    <w:name w:val="zs"/>
    <w:autoRedefine/>
    <w:qFormat/>
    <w:uiPriority w:val="0"/>
    <w:rPr>
      <w:color w:val="8D744B"/>
      <w:sz w:val="18"/>
      <w:szCs w:val="18"/>
    </w:rPr>
  </w:style>
  <w:style w:type="character" w:customStyle="1" w:styleId="135">
    <w:name w:val="bigfont"/>
    <w:basedOn w:val="49"/>
    <w:autoRedefine/>
    <w:qFormat/>
    <w:uiPriority w:val="0"/>
  </w:style>
  <w:style w:type="character" w:customStyle="1" w:styleId="136">
    <w:name w:val="txt"/>
    <w:autoRedefine/>
    <w:qFormat/>
    <w:uiPriority w:val="0"/>
    <w:rPr>
      <w:color w:val="C0C0C0"/>
    </w:rPr>
  </w:style>
  <w:style w:type="character" w:customStyle="1" w:styleId="137">
    <w:name w:val="纯文本 Char2"/>
    <w:link w:val="25"/>
    <w:autoRedefine/>
    <w:qFormat/>
    <w:uiPriority w:val="0"/>
    <w:rPr>
      <w:rFonts w:ascii="Courier New" w:hAnsi="Courier New" w:eastAsia="宋体"/>
      <w:kern w:val="2"/>
      <w:sz w:val="21"/>
      <w:lang w:val="en-US" w:eastAsia="zh-CN" w:bidi="ar-SA"/>
    </w:rPr>
  </w:style>
  <w:style w:type="character" w:customStyle="1" w:styleId="138">
    <w:name w:val="jg"/>
    <w:basedOn w:val="49"/>
    <w:autoRedefine/>
    <w:qFormat/>
    <w:uiPriority w:val="0"/>
  </w:style>
  <w:style w:type="character" w:customStyle="1" w:styleId="139">
    <w:name w:val="17"/>
    <w:autoRedefine/>
    <w:qFormat/>
    <w:uiPriority w:val="0"/>
    <w:rPr>
      <w:rFonts w:ascii="仿宋_GB2312" w:eastAsia="仿宋_GB2312"/>
      <w:color w:val="auto"/>
      <w:sz w:val="28"/>
      <w:szCs w:val="28"/>
      <w:u w:val="single"/>
    </w:rPr>
  </w:style>
  <w:style w:type="character" w:customStyle="1" w:styleId="140">
    <w:name w:val="job"/>
    <w:basedOn w:val="49"/>
    <w:autoRedefine/>
    <w:qFormat/>
    <w:uiPriority w:val="0"/>
  </w:style>
  <w:style w:type="character" w:customStyle="1" w:styleId="141">
    <w:name w:val="job1"/>
    <w:basedOn w:val="49"/>
    <w:autoRedefine/>
    <w:qFormat/>
    <w:uiPriority w:val="0"/>
  </w:style>
  <w:style w:type="character" w:customStyle="1" w:styleId="142">
    <w:name w:val="标题 2 Char"/>
    <w:autoRedefine/>
    <w:qFormat/>
    <w:uiPriority w:val="0"/>
    <w:rPr>
      <w:rFonts w:ascii="Arial" w:hAnsi="Arial" w:eastAsia="黑体"/>
      <w:b/>
      <w:bCs/>
      <w:kern w:val="2"/>
      <w:sz w:val="21"/>
      <w:szCs w:val="32"/>
      <w:lang w:val="en-US" w:eastAsia="zh-CN" w:bidi="ar-SA"/>
    </w:rPr>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9"/>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9"/>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9"/>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9"/>
    <w:autoRedefine/>
    <w:qFormat/>
    <w:uiPriority w:val="0"/>
  </w:style>
  <w:style w:type="character" w:customStyle="1" w:styleId="152">
    <w:name w:val="msg-box30"/>
    <w:basedOn w:val="49"/>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7"/>
    <w:autoRedefine/>
    <w:qFormat/>
    <w:uiPriority w:val="0"/>
    <w:rPr>
      <w:b/>
      <w:bCs/>
      <w:sz w:val="32"/>
      <w:szCs w:val="32"/>
    </w:rPr>
  </w:style>
  <w:style w:type="character" w:customStyle="1" w:styleId="155">
    <w:name w:val="c1"/>
    <w:basedOn w:val="49"/>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9"/>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9"/>
    <w:autoRedefine/>
    <w:qFormat/>
    <w:uiPriority w:val="0"/>
  </w:style>
  <w:style w:type="character" w:customStyle="1" w:styleId="171">
    <w:name w:val="mesg-myd"/>
    <w:autoRedefine/>
    <w:qFormat/>
    <w:uiPriority w:val="0"/>
    <w:rPr>
      <w:color w:val="EE0000"/>
    </w:rPr>
  </w:style>
  <w:style w:type="character" w:customStyle="1" w:styleId="172">
    <w:name w:val="c2"/>
    <w:basedOn w:val="49"/>
    <w:autoRedefine/>
    <w:qFormat/>
    <w:uiPriority w:val="0"/>
  </w:style>
  <w:style w:type="character" w:customStyle="1" w:styleId="173">
    <w:name w:val="c3"/>
    <w:basedOn w:val="49"/>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9"/>
    <w:autoRedefine/>
    <w:qFormat/>
    <w:uiPriority w:val="0"/>
  </w:style>
  <w:style w:type="character" w:customStyle="1" w:styleId="180">
    <w:name w:val="starting4"/>
    <w:basedOn w:val="49"/>
    <w:autoRedefine/>
    <w:qFormat/>
    <w:uiPriority w:val="0"/>
  </w:style>
  <w:style w:type="character" w:customStyle="1" w:styleId="181">
    <w:name w:val="bsharetext"/>
    <w:basedOn w:val="49"/>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9"/>
    <w:autoRedefine/>
    <w:qFormat/>
    <w:uiPriority w:val="0"/>
  </w:style>
  <w:style w:type="character" w:customStyle="1" w:styleId="189">
    <w:name w:val="buvis1"/>
    <w:autoRedefine/>
    <w:qFormat/>
    <w:uiPriority w:val="0"/>
    <w:rPr>
      <w:color w:val="CC0000"/>
    </w:rPr>
  </w:style>
  <w:style w:type="character" w:customStyle="1" w:styleId="190">
    <w:name w:val="starting3"/>
    <w:basedOn w:val="49"/>
    <w:autoRedefine/>
    <w:qFormat/>
    <w:uiPriority w:val="0"/>
  </w:style>
  <w:style w:type="character" w:customStyle="1" w:styleId="191">
    <w:name w:val="textcontents"/>
    <w:basedOn w:val="49"/>
    <w:autoRedefine/>
    <w:qFormat/>
    <w:uiPriority w:val="0"/>
  </w:style>
  <w:style w:type="character" w:customStyle="1" w:styleId="192">
    <w:name w:val="num41"/>
    <w:basedOn w:val="49"/>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6"/>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autoRedefine/>
    <w:qFormat/>
    <w:uiPriority w:val="0"/>
    <w:rPr>
      <w:rFonts w:hint="eastAsia" w:ascii="仿宋" w:hAnsi="仿宋" w:eastAsia="仿宋" w:cs="仿宋"/>
      <w:b/>
      <w:color w:val="000000"/>
      <w:sz w:val="32"/>
      <w:szCs w:val="32"/>
      <w:u w:val="none"/>
    </w:rPr>
  </w:style>
  <w:style w:type="character" w:customStyle="1" w:styleId="201">
    <w:name w:val="font101"/>
    <w:basedOn w:val="49"/>
    <w:autoRedefine/>
    <w:qFormat/>
    <w:uiPriority w:val="0"/>
    <w:rPr>
      <w:rFonts w:hint="default" w:ascii="Times New Roman" w:hAnsi="Times New Roman" w:cs="Times New Roman"/>
      <w:color w:val="000000"/>
      <w:sz w:val="24"/>
      <w:szCs w:val="24"/>
      <w:u w:val="none"/>
    </w:rPr>
  </w:style>
  <w:style w:type="character" w:customStyle="1" w:styleId="202">
    <w:name w:val="font111"/>
    <w:basedOn w:val="49"/>
    <w:autoRedefine/>
    <w:qFormat/>
    <w:uiPriority w:val="0"/>
    <w:rPr>
      <w:rFonts w:ascii="仿宋_GB2312" w:eastAsia="仿宋_GB2312" w:cs="仿宋_GB2312"/>
      <w:color w:val="000000"/>
      <w:sz w:val="24"/>
      <w:szCs w:val="24"/>
      <w:u w:val="none"/>
    </w:rPr>
  </w:style>
  <w:style w:type="character" w:customStyle="1" w:styleId="203">
    <w:name w:val="font91"/>
    <w:basedOn w:val="49"/>
    <w:autoRedefine/>
    <w:qFormat/>
    <w:uiPriority w:val="0"/>
    <w:rPr>
      <w:rFonts w:hint="eastAsia" w:ascii="仿宋" w:hAnsi="仿宋" w:eastAsia="仿宋" w:cs="仿宋"/>
      <w:color w:val="000000"/>
      <w:sz w:val="24"/>
      <w:szCs w:val="24"/>
      <w:u w:val="single"/>
    </w:rPr>
  </w:style>
  <w:style w:type="character" w:customStyle="1" w:styleId="204">
    <w:name w:val="font81"/>
    <w:basedOn w:val="49"/>
    <w:autoRedefine/>
    <w:qFormat/>
    <w:uiPriority w:val="0"/>
    <w:rPr>
      <w:rFonts w:hint="default" w:ascii="Times New Roman" w:hAnsi="Times New Roman" w:cs="Times New Roman"/>
      <w:color w:val="000000"/>
      <w:sz w:val="24"/>
      <w:szCs w:val="24"/>
      <w:u w:val="none"/>
    </w:rPr>
  </w:style>
  <w:style w:type="character" w:customStyle="1" w:styleId="205">
    <w:name w:val="font61"/>
    <w:basedOn w:val="49"/>
    <w:autoRedefine/>
    <w:qFormat/>
    <w:uiPriority w:val="0"/>
    <w:rPr>
      <w:rFonts w:hint="eastAsia" w:ascii="仿宋_GB2312" w:eastAsia="仿宋_GB2312" w:cs="仿宋_GB2312"/>
      <w:color w:val="000000"/>
      <w:sz w:val="24"/>
      <w:szCs w:val="24"/>
      <w:u w:val="none"/>
    </w:rPr>
  </w:style>
  <w:style w:type="character" w:customStyle="1" w:styleId="206">
    <w:name w:val="font21"/>
    <w:basedOn w:val="49"/>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9"/>
    <w:autoRedefine/>
    <w:qFormat/>
    <w:uiPriority w:val="0"/>
  </w:style>
  <w:style w:type="character" w:customStyle="1" w:styleId="209">
    <w:name w:val="hover1"/>
    <w:basedOn w:val="49"/>
    <w:autoRedefine/>
    <w:qFormat/>
    <w:uiPriority w:val="0"/>
    <w:rPr>
      <w:color w:val="2590EB"/>
    </w:rPr>
  </w:style>
  <w:style w:type="character" w:customStyle="1" w:styleId="210">
    <w:name w:val="hover2"/>
    <w:basedOn w:val="49"/>
    <w:autoRedefine/>
    <w:qFormat/>
    <w:uiPriority w:val="0"/>
  </w:style>
  <w:style w:type="character" w:customStyle="1" w:styleId="211">
    <w:name w:val="hover3"/>
    <w:basedOn w:val="49"/>
    <w:autoRedefine/>
    <w:qFormat/>
    <w:uiPriority w:val="0"/>
    <w:rPr>
      <w:color w:val="2590EB"/>
    </w:rPr>
  </w:style>
  <w:style w:type="character" w:customStyle="1" w:styleId="212">
    <w:name w:val="hover4"/>
    <w:basedOn w:val="49"/>
    <w:autoRedefine/>
    <w:qFormat/>
    <w:uiPriority w:val="0"/>
    <w:rPr>
      <w:color w:val="2590EB"/>
      <w:shd w:val="clear" w:color="auto" w:fill="E9F4FD"/>
    </w:rPr>
  </w:style>
  <w:style w:type="character" w:customStyle="1" w:styleId="213">
    <w:name w:val="mini-outputtext1"/>
    <w:basedOn w:val="49"/>
    <w:autoRedefine/>
    <w:qFormat/>
    <w:uiPriority w:val="0"/>
  </w:style>
  <w:style w:type="character" w:customStyle="1" w:styleId="214">
    <w:name w:val="hover"/>
    <w:basedOn w:val="49"/>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C2DC5-FC00-4C0C-9BEC-CA99D0106F1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22346</Words>
  <Characters>23760</Characters>
  <Lines>188</Lines>
  <Paragraphs>52</Paragraphs>
  <TotalTime>13</TotalTime>
  <ScaleCrop>false</ScaleCrop>
  <LinksUpToDate>false</LinksUpToDate>
  <CharactersWithSpaces>25094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lenovo-UQ</cp:lastModifiedBy>
  <cp:lastPrinted>2023-06-08T00:43:00Z</cp:lastPrinted>
  <dcterms:modified xsi:type="dcterms:W3CDTF">2024-05-24T01:37:01Z</dcterms:modified>
  <dc:title>标准交易文件</dc:title>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36C7545CC13C4057AC8267D6EE486B67_13</vt:lpwstr>
  </property>
</Properties>
</file>