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cs="宋体"/>
          <w:b/>
          <w:color w:val="auto"/>
          <w:kern w:val="0"/>
          <w:sz w:val="44"/>
          <w:szCs w:val="44"/>
          <w:highlight w:val="none"/>
        </w:rPr>
      </w:pPr>
      <w:bookmarkStart w:id="0" w:name="_Toc246996898"/>
      <w:bookmarkStart w:id="1" w:name="_Toc296602400"/>
      <w:bookmarkStart w:id="2" w:name="_Toc461631222"/>
      <w:bookmarkStart w:id="3" w:name="_Toc247085669"/>
      <w:bookmarkStart w:id="4" w:name="_Toc506107265"/>
      <w:bookmarkStart w:id="5" w:name="_Toc324404811"/>
      <w:bookmarkStart w:id="6" w:name="_Toc15058843"/>
      <w:bookmarkStart w:id="7" w:name="OLE_LINK2"/>
      <w:bookmarkStart w:id="8" w:name="OLE_LINK4"/>
      <w:bookmarkStart w:id="9" w:name="OLE_LINK5"/>
      <w:bookmarkStart w:id="10" w:name="OLE_LINK1"/>
      <w:bookmarkStart w:id="11" w:name="OLE_LINK3"/>
    </w:p>
    <w:p>
      <w:pPr>
        <w:pStyle w:val="14"/>
        <w:ind w:firstLine="420"/>
        <w:rPr>
          <w:color w:val="auto"/>
          <w:highlight w:val="none"/>
        </w:rPr>
      </w:pPr>
    </w:p>
    <w:p>
      <w:pPr>
        <w:jc w:val="center"/>
        <w:rPr>
          <w:rFonts w:ascii="宋体" w:hAnsi="宋体"/>
          <w:color w:val="auto"/>
          <w:sz w:val="52"/>
          <w:szCs w:val="52"/>
          <w:highlight w:val="none"/>
        </w:rPr>
      </w:pPr>
      <w:r>
        <w:rPr>
          <w:rFonts w:hint="eastAsia" w:hAnsi="宋体" w:cs="宋体"/>
          <w:b/>
          <w:color w:val="auto"/>
          <w:kern w:val="0"/>
          <w:sz w:val="52"/>
          <w:szCs w:val="52"/>
          <w:highlight w:val="none"/>
          <w:lang w:eastAsia="zh-CN"/>
        </w:rPr>
        <w:t>马塘湖矿矿区内道路硬化工程</w:t>
      </w:r>
    </w:p>
    <w:p>
      <w:pPr>
        <w:pStyle w:val="14"/>
        <w:rPr>
          <w:color w:val="auto"/>
          <w:highlight w:val="none"/>
        </w:rPr>
      </w:pPr>
    </w:p>
    <w:p>
      <w:pPr>
        <w:jc w:val="center"/>
        <w:rPr>
          <w:rFonts w:hint="eastAsia" w:ascii="宋体" w:hAnsi="宋体"/>
          <w:b/>
          <w:bCs/>
          <w:color w:val="auto"/>
          <w:sz w:val="96"/>
          <w:szCs w:val="96"/>
          <w:highlight w:val="none"/>
        </w:rPr>
      </w:pPr>
    </w:p>
    <w:p>
      <w:pPr>
        <w:jc w:val="center"/>
        <w:rPr>
          <w:color w:val="auto"/>
          <w:sz w:val="28"/>
          <w:szCs w:val="28"/>
          <w:highlight w:val="none"/>
        </w:rPr>
      </w:pPr>
      <w:r>
        <w:rPr>
          <w:rFonts w:hint="eastAsia" w:ascii="宋体" w:hAnsi="宋体"/>
          <w:b/>
          <w:bCs/>
          <w:color w:val="auto"/>
          <w:sz w:val="96"/>
          <w:szCs w:val="96"/>
          <w:highlight w:val="none"/>
        </w:rPr>
        <w:t>招</w:t>
      </w:r>
      <w:r>
        <w:rPr>
          <w:rFonts w:hint="eastAsia" w:ascii="宋体" w:hAnsi="宋体"/>
          <w:b/>
          <w:bCs/>
          <w:color w:val="auto"/>
          <w:sz w:val="96"/>
          <w:szCs w:val="96"/>
          <w:highlight w:val="none"/>
          <w:lang w:val="en-US" w:eastAsia="zh-CN"/>
        </w:rPr>
        <w:t xml:space="preserve"> </w:t>
      </w:r>
      <w:r>
        <w:rPr>
          <w:rFonts w:hint="eastAsia" w:ascii="宋体"/>
          <w:b/>
          <w:bCs/>
          <w:color w:val="auto"/>
          <w:sz w:val="96"/>
          <w:szCs w:val="96"/>
          <w:highlight w:val="none"/>
        </w:rPr>
        <w:t>标</w:t>
      </w:r>
      <w:r>
        <w:rPr>
          <w:rFonts w:hint="eastAsia" w:ascii="宋体"/>
          <w:b/>
          <w:bCs/>
          <w:color w:val="auto"/>
          <w:sz w:val="96"/>
          <w:szCs w:val="96"/>
          <w:highlight w:val="none"/>
          <w:lang w:val="en-US" w:eastAsia="zh-CN"/>
        </w:rPr>
        <w:t xml:space="preserve"> </w:t>
      </w:r>
      <w:r>
        <w:rPr>
          <w:rFonts w:hint="eastAsia" w:ascii="宋体" w:hAnsi="宋体"/>
          <w:b/>
          <w:bCs/>
          <w:color w:val="auto"/>
          <w:sz w:val="96"/>
          <w:szCs w:val="96"/>
          <w:highlight w:val="none"/>
        </w:rPr>
        <w:t>文</w:t>
      </w:r>
      <w:r>
        <w:rPr>
          <w:rFonts w:hint="eastAsia" w:ascii="宋体" w:hAnsi="宋体"/>
          <w:b/>
          <w:bCs/>
          <w:color w:val="auto"/>
          <w:sz w:val="96"/>
          <w:szCs w:val="96"/>
          <w:highlight w:val="none"/>
          <w:lang w:val="en-US" w:eastAsia="zh-CN"/>
        </w:rPr>
        <w:t xml:space="preserve"> </w:t>
      </w:r>
      <w:r>
        <w:rPr>
          <w:rFonts w:hint="eastAsia" w:ascii="宋体" w:hAnsi="宋体"/>
          <w:b/>
          <w:bCs/>
          <w:color w:val="auto"/>
          <w:sz w:val="96"/>
          <w:szCs w:val="96"/>
          <w:highlight w:val="none"/>
        </w:rPr>
        <w:t>件</w:t>
      </w:r>
    </w:p>
    <w:p>
      <w:pPr>
        <w:spacing w:line="400" w:lineRule="exact"/>
        <w:jc w:val="center"/>
        <w:rPr>
          <w:rFonts w:ascii="宋体" w:hAnsi="宋体"/>
          <w:b/>
          <w:color w:val="auto"/>
          <w:sz w:val="39"/>
          <w:highlight w:val="none"/>
        </w:rPr>
      </w:pPr>
    </w:p>
    <w:p>
      <w:pPr>
        <w:spacing w:line="400" w:lineRule="exact"/>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rPr>
          <w:color w:val="auto"/>
          <w:highlight w:val="none"/>
        </w:rPr>
      </w:pPr>
    </w:p>
    <w:p>
      <w:pPr>
        <w:pStyle w:val="14"/>
        <w:rPr>
          <w:color w:val="auto"/>
          <w:highlight w:val="none"/>
        </w:rPr>
      </w:pPr>
    </w:p>
    <w:p>
      <w:pPr>
        <w:spacing w:line="720" w:lineRule="exact"/>
        <w:rPr>
          <w:b/>
          <w:bCs/>
          <w:color w:val="auto"/>
          <w:sz w:val="28"/>
          <w:szCs w:val="28"/>
          <w:highlight w:val="none"/>
        </w:rPr>
      </w:pPr>
    </w:p>
    <w:p>
      <w:pPr>
        <w:spacing w:before="156" w:beforeLines="50" w:after="156" w:afterLines="50" w:line="700" w:lineRule="exact"/>
        <w:jc w:val="center"/>
        <w:outlineLvl w:val="9"/>
        <w:rPr>
          <w:rFonts w:hint="eastAsia" w:ascii="宋体"/>
          <w:b/>
          <w:color w:val="auto"/>
          <w:sz w:val="32"/>
          <w:szCs w:val="32"/>
          <w:highlight w:val="none"/>
        </w:rPr>
      </w:pPr>
      <w:bookmarkStart w:id="12" w:name="_Toc22225"/>
      <w:bookmarkStart w:id="13" w:name="_Toc20499"/>
      <w:bookmarkStart w:id="14" w:name="_Toc32059"/>
      <w:bookmarkStart w:id="15" w:name="_Toc25057"/>
      <w:r>
        <w:rPr>
          <w:rFonts w:hint="eastAsia" w:ascii="宋体"/>
          <w:b/>
          <w:color w:val="auto"/>
          <w:sz w:val="32"/>
          <w:szCs w:val="32"/>
          <w:highlight w:val="none"/>
        </w:rPr>
        <w:t>招</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 xml:space="preserve"> </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标</w:t>
      </w:r>
      <w:r>
        <w:rPr>
          <w:rFonts w:hint="eastAsia" w:ascii="宋体"/>
          <w:b/>
          <w:color w:val="auto"/>
          <w:sz w:val="32"/>
          <w:szCs w:val="32"/>
          <w:highlight w:val="none"/>
          <w:lang w:val="en-US" w:eastAsia="zh-CN"/>
        </w:rPr>
        <w:t xml:space="preserve">  </w:t>
      </w:r>
      <w:r>
        <w:rPr>
          <w:rFonts w:hint="eastAsia" w:ascii="宋体"/>
          <w:b/>
          <w:color w:val="auto"/>
          <w:sz w:val="32"/>
          <w:szCs w:val="32"/>
          <w:highlight w:val="none"/>
        </w:rPr>
        <w:t xml:space="preserve"> 人：</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lang w:eastAsia="zh-CN"/>
        </w:rPr>
        <w:t>滁州市兴全矿业投资有限公司</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bookmarkEnd w:id="12"/>
      <w:bookmarkEnd w:id="13"/>
      <w:bookmarkEnd w:id="14"/>
      <w:bookmarkEnd w:id="15"/>
    </w:p>
    <w:p>
      <w:pPr>
        <w:spacing w:before="156" w:beforeLines="50" w:after="156" w:afterLines="50" w:line="700" w:lineRule="exact"/>
        <w:rPr>
          <w:rFonts w:hint="eastAsia" w:ascii="宋体"/>
          <w:b/>
          <w:color w:val="auto"/>
          <w:sz w:val="32"/>
          <w:szCs w:val="32"/>
          <w:highlight w:val="none"/>
          <w:u w:val="single"/>
        </w:rPr>
      </w:pPr>
      <w:r>
        <w:rPr>
          <w:rFonts w:hint="eastAsia" w:ascii="宋体"/>
          <w:b/>
          <w:color w:val="auto"/>
          <w:sz w:val="32"/>
          <w:szCs w:val="32"/>
          <w:highlight w:val="none"/>
        </w:rPr>
        <w:t>招标代理机构：</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u w:val="single"/>
        </w:rPr>
        <w:t>滁州市城投工程咨询管理有限公司</w:t>
      </w:r>
      <w:r>
        <w:rPr>
          <w:rFonts w:hint="eastAsia" w:ascii="宋体"/>
          <w:b/>
          <w:color w:val="auto"/>
          <w:sz w:val="32"/>
          <w:szCs w:val="32"/>
          <w:highlight w:val="none"/>
          <w:u w:val="single"/>
          <w:lang w:val="en-US" w:eastAsia="zh-CN"/>
        </w:rPr>
        <w:t xml:space="preserve"> </w:t>
      </w:r>
      <w:r>
        <w:rPr>
          <w:rFonts w:hint="eastAsia" w:ascii="宋体"/>
          <w:b/>
          <w:color w:val="auto"/>
          <w:sz w:val="32"/>
          <w:szCs w:val="32"/>
          <w:highlight w:val="none"/>
        </w:rPr>
        <w:t>（盖单位章）</w:t>
      </w:r>
    </w:p>
    <w:p>
      <w:pPr>
        <w:spacing w:before="156" w:beforeLines="50" w:after="156" w:afterLines="50" w:line="700" w:lineRule="exact"/>
        <w:jc w:val="center"/>
        <w:rPr>
          <w:rFonts w:ascii="宋体"/>
          <w:b/>
          <w:color w:val="auto"/>
          <w:sz w:val="32"/>
          <w:szCs w:val="32"/>
          <w:highlight w:val="none"/>
        </w:rPr>
      </w:pPr>
      <w:r>
        <w:rPr>
          <w:rFonts w:hint="eastAsia" w:ascii="宋体"/>
          <w:b/>
          <w:color w:val="auto"/>
          <w:sz w:val="32"/>
          <w:szCs w:val="32"/>
          <w:highlight w:val="none"/>
          <w:u w:val="single"/>
        </w:rPr>
        <w:t>202</w:t>
      </w:r>
      <w:r>
        <w:rPr>
          <w:rFonts w:hint="eastAsia" w:ascii="宋体"/>
          <w:b/>
          <w:color w:val="auto"/>
          <w:sz w:val="32"/>
          <w:szCs w:val="32"/>
          <w:highlight w:val="none"/>
          <w:u w:val="single"/>
          <w:lang w:val="en-US" w:eastAsia="zh-CN"/>
        </w:rPr>
        <w:t>4</w:t>
      </w:r>
      <w:r>
        <w:rPr>
          <w:rFonts w:hint="eastAsia" w:ascii="宋体"/>
          <w:b/>
          <w:color w:val="auto"/>
          <w:sz w:val="32"/>
          <w:szCs w:val="32"/>
          <w:highlight w:val="none"/>
        </w:rPr>
        <w:t>年</w:t>
      </w:r>
      <w:r>
        <w:rPr>
          <w:rFonts w:hint="eastAsia" w:ascii="宋体"/>
          <w:b/>
          <w:color w:val="auto"/>
          <w:sz w:val="32"/>
          <w:szCs w:val="32"/>
          <w:highlight w:val="none"/>
          <w:u w:val="single"/>
          <w:lang w:val="en-US" w:eastAsia="zh-CN"/>
        </w:rPr>
        <w:t>6</w:t>
      </w:r>
      <w:r>
        <w:rPr>
          <w:rFonts w:hint="eastAsia" w:ascii="宋体"/>
          <w:b/>
          <w:color w:val="auto"/>
          <w:sz w:val="32"/>
          <w:szCs w:val="32"/>
          <w:highlight w:val="none"/>
        </w:rPr>
        <w:t>月</w:t>
      </w:r>
    </w:p>
    <w:p>
      <w:pPr>
        <w:jc w:val="center"/>
        <w:rPr>
          <w:color w:val="auto"/>
          <w:sz w:val="44"/>
          <w:szCs w:val="44"/>
          <w:highlight w:val="none"/>
        </w:rPr>
        <w:sectPr>
          <w:headerReference r:id="rId3" w:type="default"/>
          <w:footerReference r:id="rId4" w:type="default"/>
          <w:pgSz w:w="11906" w:h="16838"/>
          <w:pgMar w:top="1134" w:right="1417" w:bottom="1134" w:left="1417" w:header="851" w:footer="992" w:gutter="0"/>
          <w:pgNumType w:fmt="decimal"/>
          <w:cols w:space="720" w:num="1"/>
          <w:docGrid w:type="lines" w:linePitch="312" w:charSpace="0"/>
        </w:sectPr>
      </w:pPr>
    </w:p>
    <w:p>
      <w:pPr>
        <w:spacing w:line="700" w:lineRule="exact"/>
        <w:jc w:val="center"/>
        <w:rPr>
          <w:rFonts w:hint="eastAsia"/>
          <w:color w:val="auto"/>
          <w:sz w:val="44"/>
          <w:szCs w:val="44"/>
          <w:highlight w:val="none"/>
        </w:rPr>
      </w:pPr>
    </w:p>
    <w:p>
      <w:pPr>
        <w:spacing w:line="700" w:lineRule="exact"/>
        <w:jc w:val="center"/>
        <w:rPr>
          <w:color w:val="auto"/>
          <w:sz w:val="44"/>
          <w:szCs w:val="44"/>
          <w:highlight w:val="none"/>
        </w:rPr>
      </w:pPr>
      <w:r>
        <w:rPr>
          <w:rFonts w:hint="eastAsia"/>
          <w:color w:val="auto"/>
          <w:sz w:val="44"/>
          <w:szCs w:val="44"/>
          <w:highlight w:val="none"/>
        </w:rPr>
        <w:t>目   录</w:t>
      </w:r>
      <w:bookmarkEnd w:id="0"/>
      <w:bookmarkEnd w:id="1"/>
      <w:bookmarkEnd w:id="2"/>
      <w:bookmarkEnd w:id="3"/>
      <w:bookmarkEnd w:id="4"/>
      <w:bookmarkEnd w:id="5"/>
      <w:bookmarkEnd w:id="6"/>
      <w:bookmarkStart w:id="16" w:name="_Toc152045511"/>
      <w:bookmarkStart w:id="17" w:name="_Toc179632527"/>
      <w:bookmarkStart w:id="18" w:name="_Toc144974479"/>
      <w:bookmarkStart w:id="19" w:name="_Toc152042287"/>
    </w:p>
    <w:p>
      <w:pPr>
        <w:pStyle w:val="32"/>
        <w:tabs>
          <w:tab w:val="right" w:leader="dot" w:pos="9072"/>
        </w:tabs>
        <w:rPr>
          <w:rFonts w:hint="eastAsia" w:ascii="宋体" w:hAnsi="宋体" w:eastAsia="宋体" w:cs="宋体"/>
          <w:b w:val="0"/>
          <w:bCs w:val="0"/>
          <w:sz w:val="28"/>
          <w:szCs w:val="28"/>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color w:val="auto"/>
          <w:sz w:val="28"/>
          <w:szCs w:val="28"/>
          <w:highlight w:val="none"/>
          <w:lang w:val="en-US" w:eastAsia="zh-CN"/>
        </w:rPr>
        <w:instrText xml:space="preserve">TOC \o "1-1" \h \u </w:instrText>
      </w:r>
      <w:r>
        <w:rPr>
          <w:rFonts w:hint="eastAsia" w:ascii="宋体" w:hAnsi="宋体" w:eastAsia="宋体" w:cs="宋体"/>
          <w:b w:val="0"/>
          <w:bCs w:val="0"/>
          <w:caps w:val="0"/>
          <w:color w:val="auto"/>
          <w:sz w:val="28"/>
          <w:szCs w:val="28"/>
          <w:highlight w:val="none"/>
          <w:lang w:val="en-US" w:eastAsia="zh-CN"/>
        </w:rPr>
        <w:fldChar w:fldCharType="separate"/>
      </w: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sz w:val="28"/>
          <w:szCs w:val="28"/>
          <w:highlight w:val="none"/>
          <w:lang w:val="en-US" w:eastAsia="zh-CN"/>
        </w:rPr>
        <w:instrText xml:space="preserve"> HYPERLINK \l _Toc12261 </w:instrText>
      </w:r>
      <w:r>
        <w:rPr>
          <w:rFonts w:hint="eastAsia" w:ascii="宋体" w:hAnsi="宋体" w:eastAsia="宋体" w:cs="宋体"/>
          <w:b w:val="0"/>
          <w:bCs w:val="0"/>
          <w:caps w:val="0"/>
          <w:sz w:val="28"/>
          <w:szCs w:val="28"/>
          <w:highlight w:val="none"/>
          <w:lang w:val="en-US" w:eastAsia="zh-CN"/>
        </w:rPr>
        <w:fldChar w:fldCharType="separate"/>
      </w:r>
      <w:r>
        <w:rPr>
          <w:rFonts w:hint="eastAsia" w:ascii="宋体" w:hAnsi="宋体" w:eastAsia="宋体" w:cs="宋体"/>
          <w:b w:val="0"/>
          <w:bCs w:val="0"/>
          <w:sz w:val="28"/>
          <w:szCs w:val="28"/>
          <w:highlight w:val="none"/>
          <w:lang w:eastAsia="zh-CN"/>
        </w:rPr>
        <w:t>马塘湖矿矿区内道路硬化工程</w:t>
      </w:r>
      <w:r>
        <w:rPr>
          <w:rFonts w:hint="eastAsia" w:ascii="宋体" w:hAnsi="宋体" w:eastAsia="宋体" w:cs="宋体"/>
          <w:b w:val="0"/>
          <w:bCs w:val="0"/>
          <w:sz w:val="28"/>
          <w:szCs w:val="28"/>
          <w:highlight w:val="none"/>
        </w:rPr>
        <w:t>招标公告信息</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_Toc12261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caps w:val="0"/>
          <w:color w:val="auto"/>
          <w:sz w:val="28"/>
          <w:szCs w:val="28"/>
          <w:highlight w:val="none"/>
          <w:lang w:val="en-US" w:eastAsia="zh-CN"/>
        </w:rPr>
        <w:fldChar w:fldCharType="end"/>
      </w:r>
    </w:p>
    <w:p>
      <w:pPr>
        <w:pStyle w:val="32"/>
        <w:tabs>
          <w:tab w:val="right" w:leader="dot" w:pos="9072"/>
        </w:tabs>
        <w:rPr>
          <w:rFonts w:hint="eastAsia" w:ascii="宋体" w:hAnsi="宋体" w:eastAsia="宋体" w:cs="宋体"/>
          <w:b w:val="0"/>
          <w:bCs w:val="0"/>
          <w:sz w:val="28"/>
          <w:szCs w:val="28"/>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sz w:val="28"/>
          <w:szCs w:val="28"/>
          <w:highlight w:val="none"/>
          <w:lang w:val="en-US" w:eastAsia="zh-CN"/>
        </w:rPr>
        <w:instrText xml:space="preserve"> HYPERLINK \l _Toc18989 </w:instrText>
      </w:r>
      <w:r>
        <w:rPr>
          <w:rFonts w:hint="eastAsia" w:ascii="宋体" w:hAnsi="宋体" w:eastAsia="宋体" w:cs="宋体"/>
          <w:b w:val="0"/>
          <w:bCs w:val="0"/>
          <w:caps w:val="0"/>
          <w:sz w:val="28"/>
          <w:szCs w:val="28"/>
          <w:highlight w:val="none"/>
          <w:lang w:val="en-US" w:eastAsia="zh-CN"/>
        </w:rPr>
        <w:fldChar w:fldCharType="separate"/>
      </w:r>
      <w:r>
        <w:rPr>
          <w:rFonts w:hint="eastAsia" w:ascii="宋体" w:hAnsi="宋体" w:eastAsia="宋体" w:cs="宋体"/>
          <w:b w:val="0"/>
          <w:bCs w:val="0"/>
          <w:sz w:val="28"/>
          <w:szCs w:val="28"/>
          <w:highlight w:val="none"/>
        </w:rPr>
        <w:t>第一章  投标人须知</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_Toc18989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w:t>
      </w:r>
      <w:r>
        <w:rPr>
          <w:rFonts w:hint="eastAsia" w:ascii="宋体" w:hAnsi="宋体" w:eastAsia="宋体" w:cs="宋体"/>
          <w:b w:val="0"/>
          <w:bCs w:val="0"/>
          <w:sz w:val="28"/>
          <w:szCs w:val="28"/>
        </w:rPr>
        <w:fldChar w:fldCharType="end"/>
      </w:r>
      <w:r>
        <w:rPr>
          <w:rFonts w:hint="eastAsia" w:ascii="宋体" w:hAnsi="宋体" w:eastAsia="宋体" w:cs="宋体"/>
          <w:b w:val="0"/>
          <w:bCs w:val="0"/>
          <w:caps w:val="0"/>
          <w:color w:val="auto"/>
          <w:sz w:val="28"/>
          <w:szCs w:val="28"/>
          <w:highlight w:val="none"/>
          <w:lang w:val="en-US" w:eastAsia="zh-CN"/>
        </w:rPr>
        <w:fldChar w:fldCharType="end"/>
      </w:r>
    </w:p>
    <w:p>
      <w:pPr>
        <w:pStyle w:val="32"/>
        <w:tabs>
          <w:tab w:val="right" w:leader="dot" w:pos="9072"/>
        </w:tabs>
        <w:rPr>
          <w:rFonts w:hint="eastAsia" w:ascii="宋体" w:hAnsi="宋体" w:eastAsia="宋体" w:cs="宋体"/>
          <w:b w:val="0"/>
          <w:bCs w:val="0"/>
          <w:sz w:val="28"/>
          <w:szCs w:val="28"/>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sz w:val="28"/>
          <w:szCs w:val="28"/>
          <w:highlight w:val="none"/>
          <w:lang w:val="en-US" w:eastAsia="zh-CN"/>
        </w:rPr>
        <w:instrText xml:space="preserve"> HYPERLINK \l _Toc5501 </w:instrText>
      </w:r>
      <w:r>
        <w:rPr>
          <w:rFonts w:hint="eastAsia" w:ascii="宋体" w:hAnsi="宋体" w:eastAsia="宋体" w:cs="宋体"/>
          <w:b w:val="0"/>
          <w:bCs w:val="0"/>
          <w:caps w:val="0"/>
          <w:sz w:val="28"/>
          <w:szCs w:val="28"/>
          <w:highlight w:val="none"/>
          <w:lang w:val="en-US" w:eastAsia="zh-CN"/>
        </w:rPr>
        <w:fldChar w:fldCharType="separate"/>
      </w:r>
      <w:r>
        <w:rPr>
          <w:rFonts w:hint="eastAsia" w:ascii="宋体" w:hAnsi="宋体" w:eastAsia="宋体" w:cs="宋体"/>
          <w:b w:val="0"/>
          <w:bCs w:val="0"/>
          <w:sz w:val="28"/>
          <w:szCs w:val="28"/>
          <w:highlight w:val="none"/>
        </w:rPr>
        <w:t>第二章  资格审查办法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_Toc5501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17</w:t>
      </w:r>
      <w:r>
        <w:rPr>
          <w:rFonts w:hint="eastAsia" w:ascii="宋体" w:hAnsi="宋体" w:eastAsia="宋体" w:cs="宋体"/>
          <w:b w:val="0"/>
          <w:bCs w:val="0"/>
          <w:sz w:val="28"/>
          <w:szCs w:val="28"/>
        </w:rPr>
        <w:fldChar w:fldCharType="end"/>
      </w:r>
      <w:r>
        <w:rPr>
          <w:rFonts w:hint="eastAsia" w:ascii="宋体" w:hAnsi="宋体" w:eastAsia="宋体" w:cs="宋体"/>
          <w:b w:val="0"/>
          <w:bCs w:val="0"/>
          <w:caps w:val="0"/>
          <w:color w:val="auto"/>
          <w:sz w:val="28"/>
          <w:szCs w:val="28"/>
          <w:highlight w:val="none"/>
          <w:lang w:val="en-US" w:eastAsia="zh-CN"/>
        </w:rPr>
        <w:fldChar w:fldCharType="end"/>
      </w:r>
    </w:p>
    <w:p>
      <w:pPr>
        <w:pStyle w:val="32"/>
        <w:tabs>
          <w:tab w:val="right" w:leader="dot" w:pos="9072"/>
        </w:tabs>
        <w:rPr>
          <w:rFonts w:hint="eastAsia" w:ascii="宋体" w:hAnsi="宋体" w:eastAsia="宋体" w:cs="宋体"/>
          <w:b w:val="0"/>
          <w:bCs w:val="0"/>
          <w:sz w:val="28"/>
          <w:szCs w:val="28"/>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sz w:val="28"/>
          <w:szCs w:val="28"/>
          <w:highlight w:val="none"/>
          <w:lang w:val="en-US" w:eastAsia="zh-CN"/>
        </w:rPr>
        <w:instrText xml:space="preserve"> HYPERLINK \l _Toc1286 </w:instrText>
      </w:r>
      <w:r>
        <w:rPr>
          <w:rFonts w:hint="eastAsia" w:ascii="宋体" w:hAnsi="宋体" w:eastAsia="宋体" w:cs="宋体"/>
          <w:b w:val="0"/>
          <w:bCs w:val="0"/>
          <w:caps w:val="0"/>
          <w:sz w:val="28"/>
          <w:szCs w:val="28"/>
          <w:highlight w:val="none"/>
          <w:lang w:val="en-US" w:eastAsia="zh-CN"/>
        </w:rPr>
        <w:fldChar w:fldCharType="separate"/>
      </w:r>
      <w:r>
        <w:rPr>
          <w:rFonts w:hint="eastAsia" w:ascii="宋体" w:hAnsi="宋体" w:eastAsia="宋体" w:cs="宋体"/>
          <w:b w:val="0"/>
          <w:bCs w:val="0"/>
          <w:kern w:val="0"/>
          <w:sz w:val="28"/>
          <w:szCs w:val="28"/>
        </w:rPr>
        <w:t xml:space="preserve">第三章 </w:t>
      </w:r>
      <w:r>
        <w:rPr>
          <w:rFonts w:hint="eastAsia" w:ascii="宋体" w:hAnsi="宋体" w:eastAsia="宋体" w:cs="宋体"/>
          <w:b w:val="0"/>
          <w:bCs w:val="0"/>
          <w:kern w:val="0"/>
          <w:sz w:val="28"/>
          <w:szCs w:val="28"/>
          <w:lang w:val="en-US" w:eastAsia="zh-CN"/>
        </w:rPr>
        <w:t xml:space="preserve"> </w:t>
      </w:r>
      <w:r>
        <w:rPr>
          <w:rFonts w:hint="eastAsia" w:ascii="宋体" w:hAnsi="宋体" w:eastAsia="宋体" w:cs="宋体"/>
          <w:b w:val="0"/>
          <w:bCs w:val="0"/>
          <w:kern w:val="0"/>
          <w:sz w:val="28"/>
          <w:szCs w:val="28"/>
          <w:highlight w:val="none"/>
        </w:rPr>
        <w:t>评标办法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_Toc1286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19</w:t>
      </w:r>
      <w:r>
        <w:rPr>
          <w:rFonts w:hint="eastAsia" w:ascii="宋体" w:hAnsi="宋体" w:eastAsia="宋体" w:cs="宋体"/>
          <w:b w:val="0"/>
          <w:bCs w:val="0"/>
          <w:sz w:val="28"/>
          <w:szCs w:val="28"/>
        </w:rPr>
        <w:fldChar w:fldCharType="end"/>
      </w:r>
      <w:r>
        <w:rPr>
          <w:rFonts w:hint="eastAsia" w:ascii="宋体" w:hAnsi="宋体" w:eastAsia="宋体" w:cs="宋体"/>
          <w:b w:val="0"/>
          <w:bCs w:val="0"/>
          <w:caps w:val="0"/>
          <w:color w:val="auto"/>
          <w:sz w:val="28"/>
          <w:szCs w:val="28"/>
          <w:highlight w:val="none"/>
          <w:lang w:val="en-US" w:eastAsia="zh-CN"/>
        </w:rPr>
        <w:fldChar w:fldCharType="end"/>
      </w:r>
    </w:p>
    <w:p>
      <w:pPr>
        <w:pStyle w:val="32"/>
        <w:tabs>
          <w:tab w:val="right" w:leader="dot" w:pos="9072"/>
        </w:tabs>
        <w:rPr>
          <w:rFonts w:hint="eastAsia" w:ascii="宋体" w:hAnsi="宋体" w:eastAsia="宋体" w:cs="宋体"/>
          <w:b w:val="0"/>
          <w:bCs w:val="0"/>
          <w:sz w:val="28"/>
          <w:szCs w:val="28"/>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sz w:val="28"/>
          <w:szCs w:val="28"/>
          <w:highlight w:val="none"/>
          <w:lang w:val="en-US" w:eastAsia="zh-CN"/>
        </w:rPr>
        <w:instrText xml:space="preserve"> HYPERLINK \l _Toc8750 </w:instrText>
      </w:r>
      <w:r>
        <w:rPr>
          <w:rFonts w:hint="eastAsia" w:ascii="宋体" w:hAnsi="宋体" w:eastAsia="宋体" w:cs="宋体"/>
          <w:b w:val="0"/>
          <w:bCs w:val="0"/>
          <w:caps w:val="0"/>
          <w:sz w:val="28"/>
          <w:szCs w:val="28"/>
          <w:highlight w:val="none"/>
          <w:lang w:val="en-US" w:eastAsia="zh-CN"/>
        </w:rPr>
        <w:fldChar w:fldCharType="separate"/>
      </w:r>
      <w:r>
        <w:rPr>
          <w:rFonts w:hint="eastAsia" w:ascii="宋体" w:hAnsi="宋体" w:eastAsia="宋体" w:cs="宋体"/>
          <w:b w:val="0"/>
          <w:bCs w:val="0"/>
          <w:kern w:val="0"/>
          <w:sz w:val="28"/>
          <w:szCs w:val="28"/>
          <w:highlight w:val="none"/>
        </w:rPr>
        <w:t>第</w:t>
      </w:r>
      <w:r>
        <w:rPr>
          <w:rFonts w:hint="eastAsia" w:ascii="宋体" w:hAnsi="宋体" w:eastAsia="宋体" w:cs="宋体"/>
          <w:b w:val="0"/>
          <w:bCs w:val="0"/>
          <w:kern w:val="0"/>
          <w:sz w:val="28"/>
          <w:szCs w:val="28"/>
          <w:highlight w:val="none"/>
          <w:lang w:val="en-US" w:eastAsia="zh-CN"/>
        </w:rPr>
        <w:t>四</w:t>
      </w:r>
      <w:r>
        <w:rPr>
          <w:rFonts w:hint="eastAsia" w:ascii="宋体" w:hAnsi="宋体" w:eastAsia="宋体" w:cs="宋体"/>
          <w:b w:val="0"/>
          <w:bCs w:val="0"/>
          <w:kern w:val="0"/>
          <w:sz w:val="28"/>
          <w:szCs w:val="28"/>
          <w:highlight w:val="none"/>
        </w:rPr>
        <w:t>章  合同条款及格式</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_Toc8750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27</w:t>
      </w:r>
      <w:r>
        <w:rPr>
          <w:rFonts w:hint="eastAsia" w:ascii="宋体" w:hAnsi="宋体" w:eastAsia="宋体" w:cs="宋体"/>
          <w:b w:val="0"/>
          <w:bCs w:val="0"/>
          <w:sz w:val="28"/>
          <w:szCs w:val="28"/>
        </w:rPr>
        <w:fldChar w:fldCharType="end"/>
      </w:r>
      <w:r>
        <w:rPr>
          <w:rFonts w:hint="eastAsia" w:ascii="宋体" w:hAnsi="宋体" w:eastAsia="宋体" w:cs="宋体"/>
          <w:b w:val="0"/>
          <w:bCs w:val="0"/>
          <w:caps w:val="0"/>
          <w:color w:val="auto"/>
          <w:sz w:val="28"/>
          <w:szCs w:val="28"/>
          <w:highlight w:val="none"/>
          <w:lang w:val="en-US" w:eastAsia="zh-CN"/>
        </w:rPr>
        <w:fldChar w:fldCharType="end"/>
      </w:r>
    </w:p>
    <w:p>
      <w:pPr>
        <w:pStyle w:val="32"/>
        <w:tabs>
          <w:tab w:val="right" w:leader="dot" w:pos="9072"/>
        </w:tabs>
        <w:rPr>
          <w:rFonts w:hint="eastAsia" w:ascii="宋体" w:hAnsi="宋体" w:eastAsia="宋体" w:cs="宋体"/>
          <w:b w:val="0"/>
          <w:bCs w:val="0"/>
          <w:sz w:val="28"/>
          <w:szCs w:val="28"/>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sz w:val="28"/>
          <w:szCs w:val="28"/>
          <w:highlight w:val="none"/>
          <w:lang w:val="en-US" w:eastAsia="zh-CN"/>
        </w:rPr>
        <w:instrText xml:space="preserve"> HYPERLINK \l _Toc3388 </w:instrText>
      </w:r>
      <w:r>
        <w:rPr>
          <w:rFonts w:hint="eastAsia" w:ascii="宋体" w:hAnsi="宋体" w:eastAsia="宋体" w:cs="宋体"/>
          <w:b w:val="0"/>
          <w:bCs w:val="0"/>
          <w:caps w:val="0"/>
          <w:sz w:val="28"/>
          <w:szCs w:val="28"/>
          <w:highlight w:val="none"/>
          <w:lang w:val="en-US" w:eastAsia="zh-CN"/>
        </w:rPr>
        <w:fldChar w:fldCharType="separate"/>
      </w:r>
      <w:r>
        <w:rPr>
          <w:rFonts w:hint="eastAsia" w:ascii="宋体" w:hAnsi="宋体" w:eastAsia="宋体" w:cs="宋体"/>
          <w:b w:val="0"/>
          <w:bCs w:val="0"/>
          <w:sz w:val="28"/>
          <w:szCs w:val="28"/>
        </w:rPr>
        <w:t xml:space="preserve">第五章 </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highlight w:val="none"/>
        </w:rPr>
        <w:t>工程量清单</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_Toc3388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64</w:t>
      </w:r>
      <w:r>
        <w:rPr>
          <w:rFonts w:hint="eastAsia" w:ascii="宋体" w:hAnsi="宋体" w:eastAsia="宋体" w:cs="宋体"/>
          <w:b w:val="0"/>
          <w:bCs w:val="0"/>
          <w:sz w:val="28"/>
          <w:szCs w:val="28"/>
        </w:rPr>
        <w:fldChar w:fldCharType="end"/>
      </w:r>
      <w:r>
        <w:rPr>
          <w:rFonts w:hint="eastAsia" w:ascii="宋体" w:hAnsi="宋体" w:eastAsia="宋体" w:cs="宋体"/>
          <w:b w:val="0"/>
          <w:bCs w:val="0"/>
          <w:caps w:val="0"/>
          <w:color w:val="auto"/>
          <w:sz w:val="28"/>
          <w:szCs w:val="28"/>
          <w:highlight w:val="none"/>
          <w:lang w:val="en-US" w:eastAsia="zh-CN"/>
        </w:rPr>
        <w:fldChar w:fldCharType="end"/>
      </w:r>
    </w:p>
    <w:p>
      <w:pPr>
        <w:pStyle w:val="32"/>
        <w:tabs>
          <w:tab w:val="right" w:leader="dot" w:pos="9072"/>
        </w:tabs>
        <w:rPr>
          <w:rFonts w:hint="eastAsia" w:ascii="宋体" w:hAnsi="宋体" w:eastAsia="宋体" w:cs="宋体"/>
          <w:b w:val="0"/>
          <w:bCs w:val="0"/>
          <w:sz w:val="28"/>
          <w:szCs w:val="28"/>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sz w:val="28"/>
          <w:szCs w:val="28"/>
          <w:highlight w:val="none"/>
          <w:lang w:val="en-US" w:eastAsia="zh-CN"/>
        </w:rPr>
        <w:instrText xml:space="preserve"> HYPERLINK \l _Toc25013 </w:instrText>
      </w:r>
      <w:r>
        <w:rPr>
          <w:rFonts w:hint="eastAsia" w:ascii="宋体" w:hAnsi="宋体" w:eastAsia="宋体" w:cs="宋体"/>
          <w:b w:val="0"/>
          <w:bCs w:val="0"/>
          <w:caps w:val="0"/>
          <w:sz w:val="28"/>
          <w:szCs w:val="28"/>
          <w:highlight w:val="none"/>
          <w:lang w:val="en-US" w:eastAsia="zh-CN"/>
        </w:rPr>
        <w:fldChar w:fldCharType="separate"/>
      </w:r>
      <w:r>
        <w:rPr>
          <w:rFonts w:hint="eastAsia" w:ascii="宋体" w:hAnsi="宋体" w:eastAsia="宋体" w:cs="宋体"/>
          <w:b w:val="0"/>
          <w:bCs w:val="0"/>
          <w:sz w:val="28"/>
          <w:szCs w:val="28"/>
        </w:rPr>
        <w:t xml:space="preserve">第六章 </w:t>
      </w:r>
      <w:r>
        <w:rPr>
          <w:rFonts w:hint="eastAsia" w:ascii="宋体" w:hAnsi="宋体" w:eastAsia="宋体" w:cs="宋体"/>
          <w:b w:val="0"/>
          <w:bCs w:val="0"/>
          <w:sz w:val="28"/>
          <w:szCs w:val="28"/>
          <w:lang w:val="en-US" w:eastAsia="zh-CN"/>
        </w:rPr>
        <w:t xml:space="preserve"> </w:t>
      </w:r>
      <w:r>
        <w:rPr>
          <w:rFonts w:hint="eastAsia" w:ascii="宋体" w:hAnsi="宋体" w:eastAsia="宋体" w:cs="宋体"/>
          <w:b w:val="0"/>
          <w:bCs w:val="0"/>
          <w:sz w:val="28"/>
          <w:szCs w:val="28"/>
          <w:highlight w:val="none"/>
          <w:lang w:val="en-US" w:eastAsia="zh-CN"/>
        </w:rPr>
        <w:t>图纸</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_Toc25013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64</w:t>
      </w:r>
      <w:r>
        <w:rPr>
          <w:rFonts w:hint="eastAsia" w:ascii="宋体" w:hAnsi="宋体" w:eastAsia="宋体" w:cs="宋体"/>
          <w:b w:val="0"/>
          <w:bCs w:val="0"/>
          <w:sz w:val="28"/>
          <w:szCs w:val="28"/>
        </w:rPr>
        <w:fldChar w:fldCharType="end"/>
      </w:r>
      <w:r>
        <w:rPr>
          <w:rFonts w:hint="eastAsia" w:ascii="宋体" w:hAnsi="宋体" w:eastAsia="宋体" w:cs="宋体"/>
          <w:b w:val="0"/>
          <w:bCs w:val="0"/>
          <w:caps w:val="0"/>
          <w:color w:val="auto"/>
          <w:sz w:val="28"/>
          <w:szCs w:val="28"/>
          <w:highlight w:val="none"/>
          <w:lang w:val="en-US" w:eastAsia="zh-CN"/>
        </w:rPr>
        <w:fldChar w:fldCharType="end"/>
      </w:r>
    </w:p>
    <w:p>
      <w:pPr>
        <w:pStyle w:val="32"/>
        <w:tabs>
          <w:tab w:val="right" w:leader="dot" w:pos="9072"/>
        </w:tabs>
        <w:rPr>
          <w:rFonts w:hint="eastAsia" w:ascii="宋体" w:hAnsi="宋体" w:eastAsia="宋体" w:cs="宋体"/>
          <w:b w:val="0"/>
          <w:bCs w:val="0"/>
          <w:sz w:val="28"/>
          <w:szCs w:val="28"/>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sz w:val="28"/>
          <w:szCs w:val="28"/>
          <w:highlight w:val="none"/>
          <w:lang w:val="en-US" w:eastAsia="zh-CN"/>
        </w:rPr>
        <w:instrText xml:space="preserve"> HYPERLINK \l _Toc8272 </w:instrText>
      </w:r>
      <w:r>
        <w:rPr>
          <w:rFonts w:hint="eastAsia" w:ascii="宋体" w:hAnsi="宋体" w:eastAsia="宋体" w:cs="宋体"/>
          <w:b w:val="0"/>
          <w:bCs w:val="0"/>
          <w:caps w:val="0"/>
          <w:sz w:val="28"/>
          <w:szCs w:val="28"/>
          <w:highlight w:val="none"/>
          <w:lang w:val="en-US" w:eastAsia="zh-CN"/>
        </w:rPr>
        <w:fldChar w:fldCharType="separate"/>
      </w:r>
      <w:r>
        <w:rPr>
          <w:rFonts w:hint="eastAsia" w:ascii="宋体" w:hAnsi="宋体" w:eastAsia="宋体" w:cs="宋体"/>
          <w:b w:val="0"/>
          <w:bCs w:val="0"/>
          <w:sz w:val="28"/>
          <w:szCs w:val="28"/>
          <w:highlight w:val="none"/>
        </w:rPr>
        <w:t>第</w:t>
      </w:r>
      <w:r>
        <w:rPr>
          <w:rFonts w:hint="eastAsia" w:ascii="宋体" w:hAnsi="宋体" w:eastAsia="宋体" w:cs="宋体"/>
          <w:b w:val="0"/>
          <w:bCs w:val="0"/>
          <w:sz w:val="28"/>
          <w:szCs w:val="28"/>
          <w:highlight w:val="none"/>
          <w:lang w:val="en-US" w:eastAsia="zh-CN"/>
        </w:rPr>
        <w:t>七</w:t>
      </w:r>
      <w:r>
        <w:rPr>
          <w:rFonts w:hint="eastAsia" w:ascii="宋体" w:hAnsi="宋体" w:eastAsia="宋体" w:cs="宋体"/>
          <w:b w:val="0"/>
          <w:bCs w:val="0"/>
          <w:sz w:val="28"/>
          <w:szCs w:val="28"/>
          <w:highlight w:val="none"/>
        </w:rPr>
        <w:t>章  投标文件格式</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_Toc8272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65</w:t>
      </w:r>
      <w:r>
        <w:rPr>
          <w:rFonts w:hint="eastAsia" w:ascii="宋体" w:hAnsi="宋体" w:eastAsia="宋体" w:cs="宋体"/>
          <w:b w:val="0"/>
          <w:bCs w:val="0"/>
          <w:sz w:val="28"/>
          <w:szCs w:val="28"/>
        </w:rPr>
        <w:fldChar w:fldCharType="end"/>
      </w:r>
      <w:r>
        <w:rPr>
          <w:rFonts w:hint="eastAsia" w:ascii="宋体" w:hAnsi="宋体" w:eastAsia="宋体" w:cs="宋体"/>
          <w:b w:val="0"/>
          <w:bCs w:val="0"/>
          <w:caps w:val="0"/>
          <w:color w:val="auto"/>
          <w:sz w:val="28"/>
          <w:szCs w:val="28"/>
          <w:highlight w:val="none"/>
          <w:lang w:val="en-US" w:eastAsia="zh-CN"/>
        </w:rPr>
        <w:fldChar w:fldCharType="end"/>
      </w:r>
    </w:p>
    <w:p>
      <w:pPr>
        <w:pStyle w:val="32"/>
        <w:tabs>
          <w:tab w:val="right" w:leader="dot" w:pos="9072"/>
        </w:tabs>
        <w:rPr>
          <w:rFonts w:hint="eastAsia" w:ascii="宋体" w:hAnsi="宋体" w:eastAsia="宋体" w:cs="宋体"/>
          <w:b w:val="0"/>
          <w:bCs w:val="0"/>
          <w:sz w:val="28"/>
          <w:szCs w:val="28"/>
        </w:rPr>
      </w:pPr>
      <w:r>
        <w:rPr>
          <w:rFonts w:hint="eastAsia" w:ascii="宋体" w:hAnsi="宋体" w:eastAsia="宋体" w:cs="宋体"/>
          <w:b w:val="0"/>
          <w:bCs w:val="0"/>
          <w:caps w:val="0"/>
          <w:color w:val="auto"/>
          <w:sz w:val="28"/>
          <w:szCs w:val="28"/>
          <w:highlight w:val="none"/>
          <w:lang w:val="en-US" w:eastAsia="zh-CN"/>
        </w:rPr>
        <w:fldChar w:fldCharType="begin"/>
      </w:r>
      <w:r>
        <w:rPr>
          <w:rFonts w:hint="eastAsia" w:ascii="宋体" w:hAnsi="宋体" w:eastAsia="宋体" w:cs="宋体"/>
          <w:b w:val="0"/>
          <w:bCs w:val="0"/>
          <w:caps w:val="0"/>
          <w:sz w:val="28"/>
          <w:szCs w:val="28"/>
          <w:highlight w:val="none"/>
          <w:lang w:val="en-US" w:eastAsia="zh-CN"/>
        </w:rPr>
        <w:instrText xml:space="preserve"> HYPERLINK \l _Toc29114 </w:instrText>
      </w:r>
      <w:r>
        <w:rPr>
          <w:rFonts w:hint="eastAsia" w:ascii="宋体" w:hAnsi="宋体" w:eastAsia="宋体" w:cs="宋体"/>
          <w:b w:val="0"/>
          <w:bCs w:val="0"/>
          <w:caps w:val="0"/>
          <w:sz w:val="28"/>
          <w:szCs w:val="28"/>
          <w:highlight w:val="none"/>
          <w:lang w:val="en-US" w:eastAsia="zh-CN"/>
        </w:rPr>
        <w:fldChar w:fldCharType="separate"/>
      </w:r>
      <w:r>
        <w:rPr>
          <w:rFonts w:hint="eastAsia" w:ascii="宋体" w:hAnsi="宋体" w:eastAsia="宋体" w:cs="宋体"/>
          <w:b w:val="0"/>
          <w:bCs w:val="0"/>
          <w:sz w:val="28"/>
          <w:szCs w:val="28"/>
          <w:highlight w:val="none"/>
        </w:rPr>
        <w:t>第</w:t>
      </w:r>
      <w:r>
        <w:rPr>
          <w:rFonts w:hint="eastAsia" w:ascii="宋体" w:hAnsi="宋体" w:eastAsia="宋体" w:cs="宋体"/>
          <w:b w:val="0"/>
          <w:bCs w:val="0"/>
          <w:sz w:val="28"/>
          <w:szCs w:val="28"/>
          <w:highlight w:val="none"/>
          <w:lang w:val="en-US" w:eastAsia="zh-CN"/>
        </w:rPr>
        <w:t>八</w:t>
      </w:r>
      <w:r>
        <w:rPr>
          <w:rFonts w:hint="eastAsia" w:ascii="宋体" w:hAnsi="宋体" w:eastAsia="宋体" w:cs="宋体"/>
          <w:b w:val="0"/>
          <w:bCs w:val="0"/>
          <w:sz w:val="28"/>
          <w:szCs w:val="28"/>
          <w:highlight w:val="none"/>
        </w:rPr>
        <w:t>章  招标单位、招标代理机构对本招标文件的确认</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_Toc29114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75</w:t>
      </w:r>
      <w:r>
        <w:rPr>
          <w:rFonts w:hint="eastAsia" w:ascii="宋体" w:hAnsi="宋体" w:eastAsia="宋体" w:cs="宋体"/>
          <w:b w:val="0"/>
          <w:bCs w:val="0"/>
          <w:sz w:val="28"/>
          <w:szCs w:val="28"/>
        </w:rPr>
        <w:fldChar w:fldCharType="end"/>
      </w:r>
      <w:r>
        <w:rPr>
          <w:rFonts w:hint="eastAsia" w:ascii="宋体" w:hAnsi="宋体" w:eastAsia="宋体" w:cs="宋体"/>
          <w:b w:val="0"/>
          <w:bCs w:val="0"/>
          <w:caps w:val="0"/>
          <w:color w:val="auto"/>
          <w:sz w:val="28"/>
          <w:szCs w:val="28"/>
          <w:highlight w:val="none"/>
          <w:lang w:val="en-US" w:eastAsia="zh-CN"/>
        </w:rPr>
        <w:fldChar w:fldCharType="end"/>
      </w:r>
    </w:p>
    <w:p>
      <w:pPr>
        <w:pStyle w:val="32"/>
        <w:tabs>
          <w:tab w:val="right" w:leader="dot" w:pos="9062"/>
        </w:tabs>
        <w:spacing w:line="700" w:lineRule="exact"/>
        <w:ind w:firstLine="560" w:firstLineChars="200"/>
        <w:rPr>
          <w:rFonts w:hint="default" w:ascii="宋体" w:hAnsi="宋体" w:eastAsia="宋体" w:cs="宋体"/>
          <w:b w:val="0"/>
          <w:bCs w:val="0"/>
          <w:caps w:val="0"/>
          <w:color w:val="auto"/>
          <w:sz w:val="24"/>
          <w:szCs w:val="24"/>
          <w:highlight w:val="none"/>
          <w:lang w:val="en-US" w:eastAsia="zh-CN"/>
        </w:rPr>
      </w:pPr>
      <w:r>
        <w:rPr>
          <w:rFonts w:hint="eastAsia" w:ascii="宋体" w:hAnsi="宋体" w:eastAsia="宋体" w:cs="宋体"/>
          <w:b w:val="0"/>
          <w:bCs w:val="0"/>
          <w:caps w:val="0"/>
          <w:color w:val="auto"/>
          <w:sz w:val="28"/>
          <w:szCs w:val="28"/>
          <w:highlight w:val="none"/>
          <w:lang w:val="en-US" w:eastAsia="zh-CN"/>
        </w:rPr>
        <w:fldChar w:fldCharType="end"/>
      </w:r>
    </w:p>
    <w:p>
      <w:pPr>
        <w:pStyle w:val="14"/>
        <w:spacing w:line="700" w:lineRule="exact"/>
        <w:ind w:left="0" w:leftChars="0" w:firstLine="480"/>
        <w:jc w:val="left"/>
        <w:rPr>
          <w:color w:val="auto"/>
          <w:sz w:val="24"/>
          <w:szCs w:val="24"/>
          <w:highlight w:val="none"/>
        </w:rPr>
      </w:pPr>
    </w:p>
    <w:p>
      <w:pPr>
        <w:pStyle w:val="43"/>
        <w:spacing w:line="700" w:lineRule="exact"/>
        <w:jc w:val="left"/>
        <w:rPr>
          <w:color w:val="auto"/>
          <w:sz w:val="24"/>
          <w:szCs w:val="24"/>
          <w:highlight w:val="none"/>
        </w:rPr>
        <w:sectPr>
          <w:footerReference r:id="rId5" w:type="default"/>
          <w:pgSz w:w="11906" w:h="16838"/>
          <w:pgMar w:top="1134" w:right="1417" w:bottom="1134" w:left="1417" w:header="851" w:footer="992" w:gutter="0"/>
          <w:pgNumType w:fmt="decimal" w:start="1"/>
          <w:cols w:space="720" w:num="1"/>
          <w:docGrid w:type="lines" w:linePitch="312" w:charSpace="0"/>
        </w:sectPr>
      </w:pPr>
    </w:p>
    <w:bookmarkEnd w:id="16"/>
    <w:bookmarkEnd w:id="17"/>
    <w:bookmarkEnd w:id="18"/>
    <w:bookmarkEnd w:id="19"/>
    <w:p>
      <w:pPr>
        <w:pStyle w:val="43"/>
        <w:keepNext w:val="0"/>
        <w:keepLines w:val="0"/>
        <w:pageBreakBefore w:val="0"/>
        <w:widowControl w:val="0"/>
        <w:kinsoku/>
        <w:wordWrap/>
        <w:overflowPunct/>
        <w:topLinePunct w:val="0"/>
        <w:autoSpaceDE/>
        <w:autoSpaceDN/>
        <w:bidi w:val="0"/>
        <w:adjustRightInd w:val="0"/>
        <w:snapToGrid/>
        <w:spacing w:beforeLines="50" w:afterLines="50" w:line="400" w:lineRule="exact"/>
        <w:textAlignment w:val="baseline"/>
        <w:rPr>
          <w:bCs/>
          <w:color w:val="auto"/>
          <w:szCs w:val="32"/>
          <w:highlight w:val="none"/>
        </w:rPr>
      </w:pPr>
      <w:bookmarkStart w:id="20" w:name="_Toc21980"/>
      <w:bookmarkStart w:id="21" w:name="_Toc78803320"/>
      <w:bookmarkStart w:id="22" w:name="_Toc12261"/>
      <w:bookmarkStart w:id="23" w:name="_Toc246996173"/>
      <w:bookmarkStart w:id="24" w:name="_Toc144974495"/>
      <w:bookmarkStart w:id="25" w:name="_Toc324404813"/>
      <w:bookmarkStart w:id="26" w:name="_Toc506107267"/>
      <w:bookmarkStart w:id="27" w:name="_Toc35424883"/>
      <w:bookmarkStart w:id="28" w:name="_Toc15058844"/>
      <w:bookmarkStart w:id="29" w:name="_Toc152042303"/>
      <w:bookmarkStart w:id="30" w:name="_Toc247085687"/>
      <w:bookmarkStart w:id="31" w:name="_Toc246996916"/>
      <w:bookmarkStart w:id="32" w:name="_Toc35425050"/>
      <w:bookmarkStart w:id="33" w:name="_Toc179632544"/>
      <w:bookmarkStart w:id="34" w:name="_Toc152045527"/>
      <w:r>
        <w:rPr>
          <w:rFonts w:hint="eastAsia"/>
          <w:bCs/>
          <w:color w:val="auto"/>
          <w:szCs w:val="32"/>
          <w:highlight w:val="none"/>
          <w:lang w:eastAsia="zh-CN"/>
        </w:rPr>
        <w:t>马塘湖矿矿区内道路硬化工程</w:t>
      </w:r>
      <w:r>
        <w:rPr>
          <w:rFonts w:hint="eastAsia"/>
          <w:bCs/>
          <w:color w:val="auto"/>
          <w:szCs w:val="32"/>
          <w:highlight w:val="none"/>
        </w:rPr>
        <w:t>招标公告信息</w:t>
      </w:r>
      <w:bookmarkEnd w:id="20"/>
      <w:bookmarkEnd w:id="21"/>
      <w:bookmarkEnd w:id="22"/>
    </w:p>
    <w:tbl>
      <w:tblPr>
        <w:tblStyle w:val="46"/>
        <w:tblW w:w="958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Layout w:type="fixed"/>
        <w:tblCellMar>
          <w:top w:w="0" w:type="dxa"/>
          <w:left w:w="108" w:type="dxa"/>
          <w:bottom w:w="0" w:type="dxa"/>
          <w:right w:w="108" w:type="dxa"/>
        </w:tblCellMar>
      </w:tblPr>
      <w:tblGrid>
        <w:gridCol w:w="1511"/>
        <w:gridCol w:w="50"/>
        <w:gridCol w:w="2616"/>
        <w:gridCol w:w="513"/>
        <w:gridCol w:w="1977"/>
        <w:gridCol w:w="291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kern w:val="1"/>
                <w:sz w:val="21"/>
                <w:szCs w:val="21"/>
              </w:rPr>
            </w:pPr>
            <w:bookmarkStart w:id="35" w:name="_Toc78803321"/>
            <w:r>
              <w:rPr>
                <w:rFonts w:hint="eastAsia" w:ascii="宋体" w:hAnsi="宋体" w:eastAsia="宋体" w:cs="宋体"/>
                <w:bCs/>
                <w:kern w:val="1"/>
                <w:sz w:val="21"/>
                <w:szCs w:val="21"/>
                <w:lang w:val="en-US" w:eastAsia="zh-CN" w:bidi="ar"/>
              </w:rPr>
              <w:t>招标项目名称</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autoSpaceDE w:val="0"/>
              <w:autoSpaceDN/>
              <w:spacing w:before="0" w:beforeAutospacing="0" w:after="0" w:afterAutospacing="0" w:line="300" w:lineRule="exact"/>
              <w:ind w:left="0" w:right="0"/>
              <w:jc w:val="both"/>
              <w:rPr>
                <w:rFonts w:hint="eastAsia" w:ascii="宋体" w:hAnsi="宋体" w:eastAsia="宋体" w:cs="宋体"/>
                <w:bCs/>
                <w:kern w:val="1"/>
                <w:sz w:val="21"/>
                <w:szCs w:val="21"/>
              </w:rPr>
            </w:pPr>
            <w:r>
              <w:rPr>
                <w:rFonts w:hint="eastAsia" w:ascii="宋体" w:hAnsi="宋体" w:eastAsia="宋体" w:cs="宋体"/>
                <w:bCs/>
                <w:kern w:val="1"/>
                <w:sz w:val="21"/>
                <w:szCs w:val="21"/>
              </w:rPr>
              <w:t>马塘湖矿矿区内道路硬化工程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招标方式</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公开招标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9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投标资质要求</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bidi="ar"/>
              </w:rPr>
              <w:t>1、投标人要求：须具备建设行政主管部门颁发的公路工程施工总承包叁级及以上资质；</w:t>
            </w:r>
          </w:p>
          <w:p>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bidi="ar"/>
              </w:rPr>
              <w:t>2、项目经理（建造师）要求：具有注册在投标单位的公路工程专业二级（或以上）注册建造师资格，且具备有效的安全生产考核合格(B类)证书。</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04"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是否接受联合体投标</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不接受</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招标项目规模</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估算价约</w:t>
            </w:r>
            <w:r>
              <w:rPr>
                <w:rFonts w:hint="eastAsia" w:ascii="宋体" w:hAnsi="宋体" w:cs="宋体"/>
                <w:kern w:val="0"/>
                <w:sz w:val="21"/>
                <w:szCs w:val="21"/>
                <w:lang w:val="en-US" w:eastAsia="zh-CN" w:bidi="ar"/>
              </w:rPr>
              <w:t>165</w:t>
            </w:r>
            <w:r>
              <w:rPr>
                <w:rFonts w:hint="eastAsia" w:ascii="宋体" w:hAnsi="宋体" w:eastAsia="宋体" w:cs="宋体"/>
                <w:kern w:val="0"/>
                <w:sz w:val="21"/>
                <w:szCs w:val="21"/>
                <w:lang w:val="en-US" w:eastAsia="zh-CN" w:bidi="ar"/>
              </w:rPr>
              <w:t>万元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招标项目内容范围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招标人提供的全套设计施工图纸及工程量清单中的全部内容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6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招标公告发布时间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bidi="ar"/>
              </w:rPr>
              <w:t>2024年</w:t>
            </w:r>
            <w:r>
              <w:rPr>
                <w:rFonts w:hint="eastAsia" w:ascii="宋体" w:hAnsi="宋体" w:cs="宋体"/>
                <w:b/>
                <w:bCs/>
                <w:kern w:val="0"/>
                <w:sz w:val="21"/>
                <w:szCs w:val="21"/>
                <w:lang w:val="en-US" w:eastAsia="zh-CN" w:bidi="ar"/>
              </w:rPr>
              <w:t>6</w:t>
            </w:r>
            <w:r>
              <w:rPr>
                <w:rFonts w:hint="eastAsia" w:ascii="宋体" w:hAnsi="宋体" w:eastAsia="宋体" w:cs="宋体"/>
                <w:b/>
                <w:bCs/>
                <w:kern w:val="0"/>
                <w:sz w:val="21"/>
                <w:szCs w:val="21"/>
                <w:lang w:val="en-US" w:eastAsia="zh-CN" w:bidi="ar"/>
              </w:rPr>
              <w:t>月</w:t>
            </w:r>
            <w:r>
              <w:rPr>
                <w:rFonts w:hint="eastAsia" w:ascii="宋体" w:hAnsi="宋体" w:cs="宋体"/>
                <w:b/>
                <w:bCs/>
                <w:kern w:val="0"/>
                <w:sz w:val="21"/>
                <w:szCs w:val="21"/>
                <w:lang w:val="en-US" w:eastAsia="zh-CN" w:bidi="ar"/>
              </w:rPr>
              <w:t>25</w:t>
            </w:r>
            <w:r>
              <w:rPr>
                <w:rFonts w:hint="eastAsia" w:ascii="宋体" w:hAnsi="宋体" w:eastAsia="宋体" w:cs="宋体"/>
                <w:b/>
                <w:bCs/>
                <w:kern w:val="0"/>
                <w:sz w:val="21"/>
                <w:szCs w:val="21"/>
                <w:lang w:val="en-US" w:eastAsia="zh-CN" w:bidi="ar"/>
              </w:rPr>
              <w:t>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2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0"/>
                <w:sz w:val="21"/>
                <w:szCs w:val="21"/>
              </w:rPr>
            </w:pPr>
            <w:r>
              <w:rPr>
                <w:rFonts w:hint="eastAsia" w:ascii="宋体" w:hAnsi="宋体" w:eastAsia="宋体" w:cs="宋体"/>
                <w:kern w:val="2"/>
                <w:sz w:val="21"/>
                <w:szCs w:val="21"/>
                <w:lang w:val="en-US" w:eastAsia="zh-CN" w:bidi="ar"/>
              </w:rPr>
              <w:t>递交投标文件的截止时间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bidi="ar"/>
              </w:rPr>
              <w:t>2024年</w:t>
            </w:r>
            <w:r>
              <w:rPr>
                <w:rFonts w:hint="eastAsia" w:ascii="宋体" w:hAnsi="宋体" w:cs="宋体"/>
                <w:b/>
                <w:bCs/>
                <w:kern w:val="0"/>
                <w:sz w:val="21"/>
                <w:szCs w:val="21"/>
                <w:lang w:val="en-US" w:eastAsia="zh-CN" w:bidi="ar"/>
              </w:rPr>
              <w:t>7</w:t>
            </w:r>
            <w:r>
              <w:rPr>
                <w:rFonts w:hint="eastAsia" w:ascii="宋体" w:hAnsi="宋体" w:eastAsia="宋体" w:cs="宋体"/>
                <w:b/>
                <w:bCs/>
                <w:kern w:val="0"/>
                <w:sz w:val="21"/>
                <w:szCs w:val="21"/>
                <w:lang w:val="en-US" w:eastAsia="zh-CN" w:bidi="ar"/>
              </w:rPr>
              <w:t>月</w:t>
            </w:r>
            <w:r>
              <w:rPr>
                <w:rFonts w:hint="eastAsia" w:ascii="宋体" w:hAnsi="宋体" w:cs="宋体"/>
                <w:b/>
                <w:bCs/>
                <w:kern w:val="0"/>
                <w:sz w:val="21"/>
                <w:szCs w:val="21"/>
                <w:lang w:val="en-US" w:eastAsia="zh-CN" w:bidi="ar"/>
              </w:rPr>
              <w:t>1</w:t>
            </w:r>
            <w:r>
              <w:rPr>
                <w:rFonts w:hint="eastAsia" w:ascii="宋体" w:hAnsi="宋体" w:eastAsia="宋体" w:cs="宋体"/>
                <w:b/>
                <w:bCs/>
                <w:kern w:val="0"/>
                <w:sz w:val="21"/>
                <w:szCs w:val="21"/>
                <w:lang w:val="en-US" w:eastAsia="zh-CN" w:bidi="ar"/>
              </w:rPr>
              <w:t>日1</w:t>
            </w:r>
            <w:r>
              <w:rPr>
                <w:rFonts w:hint="eastAsia" w:ascii="宋体" w:hAnsi="宋体" w:cs="宋体"/>
                <w:b/>
                <w:bCs/>
                <w:kern w:val="0"/>
                <w:sz w:val="21"/>
                <w:szCs w:val="21"/>
                <w:lang w:val="en-US" w:eastAsia="zh-CN" w:bidi="ar"/>
              </w:rPr>
              <w:t>5</w:t>
            </w:r>
            <w:r>
              <w:rPr>
                <w:rFonts w:hint="eastAsia" w:ascii="宋体" w:hAnsi="宋体" w:eastAsia="宋体" w:cs="宋体"/>
                <w:b/>
                <w:bCs/>
                <w:kern w:val="0"/>
                <w:sz w:val="21"/>
                <w:szCs w:val="21"/>
                <w:lang w:val="en-US" w:eastAsia="zh-CN" w:bidi="ar"/>
              </w:rPr>
              <w:t>时(北京时间)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2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投标文件递交的方式</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网上递交，发送至电子邮箱：czsctgczx@163.com（滁州市城投工程咨询管理有限公司邮箱）</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1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0"/>
                <w:sz w:val="21"/>
                <w:szCs w:val="21"/>
              </w:rPr>
            </w:pPr>
            <w:r>
              <w:rPr>
                <w:rFonts w:hint="eastAsia" w:ascii="宋体" w:hAnsi="宋体" w:eastAsia="宋体" w:cs="宋体"/>
                <w:kern w:val="2"/>
                <w:sz w:val="21"/>
                <w:szCs w:val="21"/>
                <w:lang w:val="en-US" w:eastAsia="zh-CN" w:bidi="ar"/>
              </w:rPr>
              <w:t>开标时间</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bidi="ar"/>
              </w:rPr>
              <w:t>2024年</w:t>
            </w:r>
            <w:r>
              <w:rPr>
                <w:rFonts w:hint="eastAsia" w:ascii="宋体" w:hAnsi="宋体" w:cs="宋体"/>
                <w:b/>
                <w:bCs/>
                <w:kern w:val="0"/>
                <w:sz w:val="21"/>
                <w:szCs w:val="21"/>
                <w:lang w:val="en-US" w:eastAsia="zh-CN" w:bidi="ar"/>
              </w:rPr>
              <w:t>7</w:t>
            </w:r>
            <w:r>
              <w:rPr>
                <w:rFonts w:hint="eastAsia" w:ascii="宋体" w:hAnsi="宋体" w:eastAsia="宋体" w:cs="宋体"/>
                <w:b/>
                <w:bCs/>
                <w:kern w:val="0"/>
                <w:sz w:val="21"/>
                <w:szCs w:val="21"/>
                <w:lang w:val="en-US" w:eastAsia="zh-CN" w:bidi="ar"/>
              </w:rPr>
              <w:t>月</w:t>
            </w:r>
            <w:r>
              <w:rPr>
                <w:rFonts w:hint="eastAsia" w:ascii="宋体" w:hAnsi="宋体" w:cs="宋体"/>
                <w:b/>
                <w:bCs/>
                <w:kern w:val="0"/>
                <w:sz w:val="21"/>
                <w:szCs w:val="21"/>
                <w:lang w:val="en-US" w:eastAsia="zh-CN" w:bidi="ar"/>
              </w:rPr>
              <w:t>1</w:t>
            </w:r>
            <w:r>
              <w:rPr>
                <w:rFonts w:hint="eastAsia" w:ascii="宋体" w:hAnsi="宋体" w:eastAsia="宋体" w:cs="宋体"/>
                <w:b/>
                <w:bCs/>
                <w:kern w:val="0"/>
                <w:sz w:val="21"/>
                <w:szCs w:val="21"/>
                <w:lang w:val="en-US" w:eastAsia="zh-CN" w:bidi="ar"/>
              </w:rPr>
              <w:t>日1</w:t>
            </w:r>
            <w:r>
              <w:rPr>
                <w:rFonts w:hint="eastAsia" w:ascii="宋体" w:hAnsi="宋体" w:cs="宋体"/>
                <w:b/>
                <w:bCs/>
                <w:kern w:val="0"/>
                <w:sz w:val="21"/>
                <w:szCs w:val="21"/>
                <w:lang w:val="en-US" w:eastAsia="zh-CN" w:bidi="ar"/>
              </w:rPr>
              <w:t>5</w:t>
            </w:r>
            <w:r>
              <w:rPr>
                <w:rFonts w:hint="eastAsia" w:ascii="宋体" w:hAnsi="宋体" w:eastAsia="宋体" w:cs="宋体"/>
                <w:b/>
                <w:bCs/>
                <w:kern w:val="0"/>
                <w:sz w:val="21"/>
                <w:szCs w:val="21"/>
                <w:lang w:val="en-US" w:eastAsia="zh-CN" w:bidi="ar"/>
              </w:rPr>
              <w:t>时(北京时间)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15"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0"/>
                <w:sz w:val="21"/>
                <w:szCs w:val="21"/>
              </w:rPr>
            </w:pPr>
            <w:r>
              <w:rPr>
                <w:rFonts w:hint="eastAsia" w:ascii="宋体" w:hAnsi="宋体" w:eastAsia="宋体" w:cs="宋体"/>
                <w:kern w:val="2"/>
                <w:sz w:val="21"/>
                <w:szCs w:val="21"/>
                <w:lang w:val="en-US" w:eastAsia="zh-CN" w:bidi="ar"/>
              </w:rPr>
              <w:t>开标地点</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滁州市龙蟠大道109号房产商务大厦6楼622会议室</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0" w:hRule="atLeast"/>
          <w:jc w:val="center"/>
        </w:trPr>
        <w:tc>
          <w:tcPr>
            <w:tcW w:w="1561"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300" w:lineRule="exact"/>
              <w:ind w:left="0" w:right="0"/>
              <w:jc w:val="left"/>
              <w:rPr>
                <w:rFonts w:hint="eastAsia" w:ascii="宋体" w:hAnsi="宋体" w:eastAsia="宋体" w:cs="宋体"/>
                <w:kern w:val="0"/>
                <w:sz w:val="21"/>
                <w:szCs w:val="21"/>
              </w:rPr>
            </w:pPr>
            <w:r>
              <w:rPr>
                <w:rFonts w:hint="eastAsia" w:ascii="宋体" w:hAnsi="宋体" w:eastAsia="宋体" w:cs="宋体"/>
                <w:kern w:val="2"/>
                <w:sz w:val="21"/>
                <w:szCs w:val="21"/>
                <w:lang w:val="en-US" w:eastAsia="zh-CN" w:bidi="ar"/>
              </w:rPr>
              <w:t>招标文件售价</w:t>
            </w:r>
          </w:p>
        </w:tc>
        <w:tc>
          <w:tcPr>
            <w:tcW w:w="8022"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0元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48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autoSpaceDE w:val="0"/>
              <w:autoSpaceDN/>
              <w:spacing w:before="0" w:beforeAutospacing="0" w:after="0" w:afterAutospacing="0" w:line="300" w:lineRule="exact"/>
              <w:ind w:left="0" w:right="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信  息  内  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872"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工程概况</w:t>
            </w:r>
          </w:p>
        </w:tc>
        <w:tc>
          <w:tcPr>
            <w:tcW w:w="807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bidi="ar"/>
              </w:rPr>
              <w:t>本工程施工内容包括路基工程、路面工程、环境保护与景观提升、交通安全设施等，具体内容详见施工图纸及工程量清单。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标段划分</w:t>
            </w:r>
          </w:p>
        </w:tc>
        <w:tc>
          <w:tcPr>
            <w:tcW w:w="8072" w:type="dxa"/>
            <w:gridSpan w:val="5"/>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一个标段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评标办法</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综合评估法</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rPr>
            </w:pPr>
            <w:r>
              <w:rPr>
                <w:rFonts w:hint="eastAsia" w:ascii="宋体" w:hAnsi="宋体" w:eastAsia="宋体" w:cs="宋体"/>
                <w:kern w:val="0"/>
                <w:sz w:val="21"/>
                <w:szCs w:val="21"/>
                <w:lang w:val="en-US" w:eastAsia="zh-CN" w:bidi="ar"/>
              </w:rPr>
              <w:t>工程款支付方式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详见招标文件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工程概算</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约</w:t>
            </w:r>
            <w:r>
              <w:rPr>
                <w:rFonts w:hint="eastAsia" w:ascii="宋体" w:hAnsi="宋体" w:cs="宋体"/>
                <w:kern w:val="2"/>
                <w:sz w:val="21"/>
                <w:szCs w:val="21"/>
                <w:lang w:val="en-US" w:eastAsia="zh-CN" w:bidi="ar"/>
              </w:rPr>
              <w:t>165</w:t>
            </w:r>
            <w:r>
              <w:rPr>
                <w:rFonts w:hint="eastAsia" w:ascii="宋体" w:hAnsi="宋体" w:eastAsia="宋体" w:cs="宋体"/>
                <w:kern w:val="2"/>
                <w:sz w:val="21"/>
                <w:szCs w:val="21"/>
                <w:lang w:val="en-US" w:eastAsia="zh-CN" w:bidi="ar"/>
              </w:rPr>
              <w:t>万元</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计划工期</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详见招标文件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1511" w:type="dxa"/>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资金来源</w:t>
            </w:r>
          </w:p>
        </w:tc>
        <w:tc>
          <w:tcPr>
            <w:tcW w:w="2666"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自筹资金</w:t>
            </w:r>
          </w:p>
        </w:tc>
        <w:tc>
          <w:tcPr>
            <w:tcW w:w="2490"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spacing w:val="-4"/>
                <w:kern w:val="0"/>
                <w:sz w:val="21"/>
                <w:szCs w:val="21"/>
              </w:rPr>
            </w:pPr>
            <w:r>
              <w:rPr>
                <w:rFonts w:hint="eastAsia" w:ascii="宋体" w:hAnsi="宋体" w:eastAsia="宋体" w:cs="宋体"/>
                <w:kern w:val="2"/>
                <w:sz w:val="21"/>
                <w:szCs w:val="21"/>
                <w:lang w:val="en-US" w:eastAsia="zh-CN" w:bidi="ar"/>
              </w:rPr>
              <w:t>招标文件等获取方式</w:t>
            </w:r>
          </w:p>
        </w:tc>
        <w:tc>
          <w:tcPr>
            <w:tcW w:w="2916" w:type="dxa"/>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spacing w:val="-4"/>
                <w:kern w:val="0"/>
                <w:sz w:val="21"/>
                <w:szCs w:val="21"/>
              </w:rPr>
            </w:pPr>
            <w:r>
              <w:rPr>
                <w:rFonts w:hint="eastAsia" w:ascii="宋体" w:hAnsi="宋体" w:eastAsia="宋体" w:cs="宋体"/>
                <w:kern w:val="2"/>
                <w:sz w:val="21"/>
                <w:szCs w:val="21"/>
                <w:lang w:val="en-US" w:eastAsia="zh-CN" w:bidi="ar"/>
              </w:rPr>
              <w:t>网上下载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是否要求提交投标保证金：要求，投标保证金的金额：3万元。</w:t>
            </w:r>
          </w:p>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 xml:space="preserve">投标保证金的形式：☑银行转账 </w:t>
            </w:r>
          </w:p>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投标保证金须投标截止时间前交纳完毕；投标保证金须从投标人基本账户转入以下账户，投标保证金付款人的账户名称必须与投标人名称一致，不接受汇票和结算卡汇入，以资金到账时间为确认保证金交纳完毕时间。</w:t>
            </w:r>
          </w:p>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开户名称：滁州市兴全矿业投资有限公司</w:t>
            </w:r>
          </w:p>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开户银行：中国银行股份有限公司全椒支行</w:t>
            </w:r>
          </w:p>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银行帐号：187242929688</w:t>
            </w:r>
          </w:p>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 xml:space="preserve">保证金到账截止时间同投标文件递交截止时间，交纳保证金时须在交易附言中注明：“马塘湖矿矿区内道路硬化工程”投标保证金。 </w:t>
            </w:r>
          </w:p>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注：各投标人请严格按照招标公告和招标文件载明的银行、账户汇入投标保证金，否则在开标时将无法查询保证金是否到账，导致评标委员会否决其投标！</w:t>
            </w:r>
          </w:p>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投标保证金退还期限：中标通知书发放后五个工作日内退还未中标单位的投标保证金，签订合同后中标单位的投标保证金转为履约保证金（多退少补，1个工作日内完成办理）。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rPr>
            </w:pPr>
            <w:r>
              <w:rPr>
                <w:rFonts w:hint="eastAsia" w:ascii="宋体" w:hAnsi="宋体" w:eastAsia="宋体" w:cs="宋体"/>
                <w:kern w:val="2"/>
                <w:sz w:val="21"/>
                <w:szCs w:val="21"/>
                <w:lang w:val="en-US" w:eastAsia="zh-CN" w:bidi="ar"/>
              </w:rPr>
              <w:t>招标文件获取方式：投标人从滁州市兴滁矿业投资集团有限公司（http://www.xckytz.com/）下载。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1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招标文件获取时间：</w:t>
            </w:r>
            <w:r>
              <w:rPr>
                <w:rFonts w:hint="eastAsia" w:ascii="宋体" w:hAnsi="宋体" w:eastAsia="宋体" w:cs="宋体"/>
                <w:b/>
                <w:bCs/>
                <w:kern w:val="0"/>
                <w:sz w:val="21"/>
                <w:szCs w:val="21"/>
                <w:lang w:val="en-US" w:eastAsia="zh-CN" w:bidi="ar"/>
              </w:rPr>
              <w:t>2024年</w:t>
            </w:r>
            <w:r>
              <w:rPr>
                <w:rFonts w:hint="eastAsia" w:ascii="宋体" w:hAnsi="宋体" w:cs="宋体"/>
                <w:b/>
                <w:bCs/>
                <w:kern w:val="0"/>
                <w:sz w:val="21"/>
                <w:szCs w:val="21"/>
                <w:lang w:val="en-US" w:eastAsia="zh-CN" w:bidi="ar"/>
              </w:rPr>
              <w:t>6</w:t>
            </w:r>
            <w:r>
              <w:rPr>
                <w:rFonts w:hint="eastAsia" w:ascii="宋体" w:hAnsi="宋体" w:eastAsia="宋体" w:cs="宋体"/>
                <w:b/>
                <w:bCs/>
                <w:kern w:val="0"/>
                <w:sz w:val="21"/>
                <w:szCs w:val="21"/>
                <w:lang w:val="en-US" w:eastAsia="zh-CN" w:bidi="ar"/>
              </w:rPr>
              <w:t>月</w:t>
            </w:r>
            <w:r>
              <w:rPr>
                <w:rFonts w:hint="eastAsia" w:ascii="宋体" w:hAnsi="宋体" w:cs="宋体"/>
                <w:b/>
                <w:bCs/>
                <w:kern w:val="0"/>
                <w:sz w:val="21"/>
                <w:szCs w:val="21"/>
                <w:lang w:val="en-US" w:eastAsia="zh-CN" w:bidi="ar"/>
              </w:rPr>
              <w:t>25</w:t>
            </w:r>
            <w:r>
              <w:rPr>
                <w:rFonts w:hint="eastAsia" w:ascii="宋体" w:hAnsi="宋体" w:eastAsia="宋体" w:cs="宋体"/>
                <w:b/>
                <w:bCs/>
                <w:kern w:val="0"/>
                <w:sz w:val="21"/>
                <w:szCs w:val="21"/>
                <w:lang w:val="en-US" w:eastAsia="zh-CN" w:bidi="ar"/>
              </w:rPr>
              <w:t>日17时后</w:t>
            </w:r>
            <w:r>
              <w:rPr>
                <w:rFonts w:hint="eastAsia" w:ascii="宋体" w:hAnsi="宋体" w:eastAsia="宋体" w:cs="宋体"/>
                <w:kern w:val="0"/>
                <w:sz w:val="21"/>
                <w:szCs w:val="21"/>
                <w:lang w:val="en-US" w:eastAsia="zh-CN" w:bidi="ar"/>
              </w:rPr>
              <w:t>，如投标人不及时下载招标文件，造成后果由投标人自负。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clear" w:color="auto" w:fill="auto"/>
          <w:tblCellMar>
            <w:top w:w="0" w:type="dxa"/>
            <w:left w:w="108" w:type="dxa"/>
            <w:bottom w:w="0" w:type="dxa"/>
            <w:right w:w="108" w:type="dxa"/>
          </w:tblCellMar>
        </w:tblPrEx>
        <w:trPr>
          <w:trHeight w:val="515"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lang w:val="en-US" w:eastAsia="zh-CN" w:bidi="ar"/>
              </w:rPr>
            </w:pPr>
            <w:r>
              <w:rPr>
                <w:rFonts w:hint="eastAsia" w:ascii="宋体" w:hAnsi="宋体" w:eastAsia="宋体" w:cs="宋体"/>
                <w:b/>
                <w:bCs/>
                <w:kern w:val="0"/>
                <w:sz w:val="21"/>
                <w:szCs w:val="21"/>
                <w:lang w:val="en-US" w:eastAsia="zh-CN" w:bidi="ar"/>
              </w:rPr>
              <w:t>特别提示：</w:t>
            </w:r>
          </w:p>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1.施工场地及周边场地、道路、绿化等，若被施工方损坏，施工方必须无偿按照原貌恢复。</w:t>
            </w:r>
          </w:p>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2.投标人自行勘察施工现场情况，因投标人未勘察现场而造成的损失由投标人自行承担。</w:t>
            </w:r>
          </w:p>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3.中标人在合同履行期内与各方发生各种矛盾、纠纷时，由中标人自主解决。</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3" w:hRule="atLeast"/>
          <w:jc w:val="center"/>
        </w:trPr>
        <w:tc>
          <w:tcPr>
            <w:tcW w:w="4690" w:type="dxa"/>
            <w:gridSpan w:val="4"/>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招标人名称：滁州市兴全矿业投资有限公司</w:t>
            </w:r>
          </w:p>
          <w:p>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地址：安徽省滁州市全椒县六镇镇孙家村神山人家安置小区888栋1楼</w:t>
            </w:r>
          </w:p>
          <w:p>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联 系 人：李云鹏</w:t>
            </w:r>
          </w:p>
          <w:p>
            <w:pPr>
              <w:keepNext w:val="0"/>
              <w:keepLines w:val="0"/>
              <w:widowControl/>
              <w:suppressLineNumbers w:val="0"/>
              <w:autoSpaceDE w:val="0"/>
              <w:autoSpaceDN/>
              <w:spacing w:before="0" w:beforeAutospacing="0" w:after="0" w:afterAutospacing="0" w:line="440" w:lineRule="exact"/>
              <w:ind w:left="0" w:right="0"/>
              <w:jc w:val="left"/>
              <w:rPr>
                <w:rFonts w:hint="default" w:ascii="宋体" w:hAnsi="宋体" w:eastAsia="宋体" w:cs="宋体"/>
                <w:kern w:val="2"/>
                <w:sz w:val="21"/>
                <w:szCs w:val="21"/>
                <w:lang w:val="en-US"/>
              </w:rPr>
            </w:pPr>
            <w:r>
              <w:rPr>
                <w:rFonts w:hint="eastAsia" w:ascii="宋体" w:hAnsi="宋体" w:eastAsia="宋体" w:cs="宋体"/>
                <w:kern w:val="0"/>
                <w:sz w:val="21"/>
                <w:szCs w:val="21"/>
                <w:lang w:val="en-US" w:eastAsia="zh-CN" w:bidi="ar"/>
              </w:rPr>
              <w:t>联系方式：</w:t>
            </w:r>
            <w:r>
              <w:rPr>
                <w:rFonts w:hint="eastAsia" w:ascii="宋体" w:hAnsi="宋体" w:cs="宋体"/>
                <w:kern w:val="0"/>
                <w:sz w:val="21"/>
                <w:szCs w:val="21"/>
                <w:lang w:val="en-US" w:eastAsia="zh-CN" w:bidi="ar"/>
              </w:rPr>
              <w:t>19955096231</w:t>
            </w:r>
          </w:p>
        </w:tc>
        <w:tc>
          <w:tcPr>
            <w:tcW w:w="4893" w:type="dxa"/>
            <w:gridSpan w:val="2"/>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招标代理机构名称：滁州市城投工程咨询管理有限公司</w:t>
            </w:r>
          </w:p>
          <w:p>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地址：滁州市龙蟠大道109号房产商务大厦6楼</w:t>
            </w:r>
          </w:p>
          <w:p>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bidi="ar"/>
              </w:rPr>
              <w:t>联系人：胡国庆</w:t>
            </w:r>
          </w:p>
          <w:p>
            <w:pPr>
              <w:keepNext w:val="0"/>
              <w:keepLines w:val="0"/>
              <w:widowControl/>
              <w:suppressLineNumbers w:val="0"/>
              <w:autoSpaceDE w:val="0"/>
              <w:autoSpaceDN/>
              <w:spacing w:before="0" w:beforeAutospacing="0" w:after="0" w:afterAutospacing="0" w:line="440" w:lineRule="exact"/>
              <w:ind w:left="0" w:right="0"/>
              <w:jc w:val="left"/>
              <w:rPr>
                <w:rFonts w:hint="eastAsia" w:ascii="宋体" w:hAnsi="宋体" w:eastAsia="宋体" w:cs="宋体"/>
                <w:kern w:val="0"/>
                <w:sz w:val="21"/>
                <w:szCs w:val="21"/>
                <w:u w:val="single"/>
              </w:rPr>
            </w:pPr>
            <w:r>
              <w:rPr>
                <w:rFonts w:hint="eastAsia" w:ascii="宋体" w:hAnsi="宋体" w:eastAsia="宋体" w:cs="宋体"/>
                <w:kern w:val="0"/>
                <w:sz w:val="21"/>
                <w:szCs w:val="21"/>
                <w:lang w:val="en-US" w:eastAsia="zh-CN" w:bidi="ar"/>
              </w:rPr>
              <w:t>联系方式：0550-3519517、18005500950</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9583" w:type="dxa"/>
            <w:gridSpan w:val="6"/>
            <w:tcBorders>
              <w:top w:val="single" w:color="auto" w:sz="12" w:space="0"/>
              <w:left w:val="single" w:color="auto" w:sz="12" w:space="0"/>
              <w:bottom w:val="single" w:color="auto" w:sz="12" w:space="0"/>
              <w:right w:val="single" w:color="auto" w:sz="12" w:space="0"/>
            </w:tcBorders>
            <w:shd w:val="clear" w:color="auto" w:fill="auto"/>
            <w:vAlign w:val="center"/>
          </w:tcPr>
          <w:p>
            <w:pPr>
              <w:keepNext w:val="0"/>
              <w:keepLines w:val="0"/>
              <w:widowControl w:val="0"/>
              <w:suppressLineNumbers w:val="0"/>
              <w:autoSpaceDE w:val="0"/>
              <w:autoSpaceDN/>
              <w:spacing w:before="0" w:beforeAutospacing="0" w:after="0" w:afterAutospacing="0" w:line="440" w:lineRule="exact"/>
              <w:ind w:left="0" w:right="0"/>
              <w:jc w:val="left"/>
              <w:rPr>
                <w:rFonts w:hint="eastAsia" w:ascii="宋体" w:hAnsi="宋体" w:eastAsia="宋体" w:cs="宋体"/>
                <w:kern w:val="2"/>
                <w:sz w:val="21"/>
                <w:szCs w:val="21"/>
              </w:rPr>
            </w:pPr>
            <w:r>
              <w:rPr>
                <w:rFonts w:hint="eastAsia" w:ascii="宋体" w:hAnsi="宋体" w:eastAsia="宋体" w:cs="宋体"/>
                <w:b/>
                <w:bCs w:val="0"/>
                <w:kern w:val="2"/>
                <w:sz w:val="21"/>
                <w:szCs w:val="21"/>
                <w:lang w:val="en-US" w:eastAsia="zh-CN" w:bidi="ar"/>
              </w:rPr>
              <w:t>公告发布媒体</w:t>
            </w:r>
            <w:r>
              <w:rPr>
                <w:rFonts w:hint="eastAsia" w:ascii="宋体" w:hAnsi="宋体" w:eastAsia="宋体" w:cs="宋体"/>
                <w:kern w:val="2"/>
                <w:sz w:val="21"/>
                <w:szCs w:val="21"/>
                <w:lang w:val="en-US" w:eastAsia="zh-CN" w:bidi="ar"/>
              </w:rPr>
              <w:t>：滁州市兴滁矿业投资集团有限公司网站</w:t>
            </w:r>
          </w:p>
        </w:tc>
      </w:tr>
    </w:tbl>
    <w:p>
      <w:pPr>
        <w:pStyle w:val="43"/>
        <w:spacing w:beforeLines="50" w:afterLines="50" w:line="440" w:lineRule="exact"/>
        <w:rPr>
          <w:bCs/>
          <w:color w:val="auto"/>
          <w:szCs w:val="32"/>
          <w:highlight w:val="none"/>
        </w:rPr>
      </w:pPr>
      <w:r>
        <w:rPr>
          <w:rFonts w:hint="eastAsia"/>
          <w:bCs/>
          <w:color w:val="auto"/>
          <w:szCs w:val="32"/>
          <w:highlight w:val="none"/>
        </w:rPr>
        <w:br w:type="page"/>
      </w:r>
      <w:bookmarkStart w:id="36" w:name="_Toc18989"/>
      <w:bookmarkStart w:id="37" w:name="_Toc22947"/>
      <w:r>
        <w:rPr>
          <w:rFonts w:hint="eastAsia"/>
          <w:bCs/>
          <w:color w:val="auto"/>
          <w:szCs w:val="32"/>
          <w:highlight w:val="none"/>
        </w:rPr>
        <w:t>第一章  投标人须知</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pPr>
        <w:spacing w:beforeLines="50" w:afterLines="50" w:line="440" w:lineRule="exact"/>
        <w:jc w:val="center"/>
        <w:rPr>
          <w:b/>
          <w:bCs/>
          <w:color w:val="auto"/>
          <w:sz w:val="28"/>
          <w:szCs w:val="28"/>
          <w:highlight w:val="none"/>
        </w:rPr>
      </w:pPr>
      <w:bookmarkStart w:id="38" w:name="_Toc35424884"/>
      <w:bookmarkStart w:id="39" w:name="_Toc152042304"/>
      <w:bookmarkStart w:id="40" w:name="_Toc35425051"/>
      <w:bookmarkStart w:id="41" w:name="_Toc506107268"/>
      <w:bookmarkStart w:id="42" w:name="_Toc15058845"/>
      <w:bookmarkStart w:id="43" w:name="_Toc179632545"/>
      <w:bookmarkStart w:id="44" w:name="_Toc246996917"/>
      <w:bookmarkStart w:id="45" w:name="_Toc152045528"/>
      <w:bookmarkStart w:id="46" w:name="_Toc144974496"/>
      <w:bookmarkStart w:id="47" w:name="_Toc246996174"/>
      <w:bookmarkStart w:id="48" w:name="_Toc247085688"/>
      <w:bookmarkStart w:id="49" w:name="_Toc324404814"/>
      <w:r>
        <w:rPr>
          <w:rFonts w:hint="eastAsia"/>
          <w:b/>
          <w:bCs/>
          <w:color w:val="auto"/>
          <w:sz w:val="28"/>
          <w:szCs w:val="28"/>
          <w:highlight w:val="none"/>
        </w:rPr>
        <w:t>投标人须知前附表</w:t>
      </w:r>
      <w:bookmarkEnd w:id="38"/>
      <w:bookmarkEnd w:id="39"/>
      <w:bookmarkEnd w:id="40"/>
      <w:bookmarkEnd w:id="41"/>
      <w:bookmarkEnd w:id="42"/>
      <w:bookmarkEnd w:id="43"/>
      <w:bookmarkEnd w:id="44"/>
      <w:bookmarkEnd w:id="45"/>
      <w:bookmarkEnd w:id="46"/>
      <w:bookmarkEnd w:id="47"/>
      <w:bookmarkEnd w:id="48"/>
      <w:bookmarkEnd w:id="49"/>
    </w:p>
    <w:tbl>
      <w:tblPr>
        <w:tblStyle w:val="46"/>
        <w:tblW w:w="10328" w:type="dxa"/>
        <w:jc w:val="center"/>
        <w:tblLayout w:type="fixed"/>
        <w:tblCellMar>
          <w:top w:w="0" w:type="dxa"/>
          <w:left w:w="108" w:type="dxa"/>
          <w:bottom w:w="0" w:type="dxa"/>
          <w:right w:w="108" w:type="dxa"/>
        </w:tblCellMar>
      </w:tblPr>
      <w:tblGrid>
        <w:gridCol w:w="868"/>
        <w:gridCol w:w="910"/>
        <w:gridCol w:w="1299"/>
        <w:gridCol w:w="7251"/>
      </w:tblGrid>
      <w:tr>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bookmarkStart w:id="50" w:name="_Toc247085689"/>
            <w:bookmarkStart w:id="51" w:name="_Toc324404815"/>
            <w:bookmarkStart w:id="52" w:name="_Toc152042305"/>
            <w:bookmarkStart w:id="53" w:name="_Toc246996175"/>
            <w:bookmarkStart w:id="54" w:name="_Toc152045529"/>
            <w:bookmarkStart w:id="55" w:name="_Toc179632546"/>
            <w:bookmarkStart w:id="56" w:name="_Toc506107269"/>
            <w:bookmarkStart w:id="57" w:name="_Toc144974497"/>
            <w:bookmarkStart w:id="58" w:name="_Toc246996918"/>
            <w:r>
              <w:rPr>
                <w:rFonts w:hint="eastAsia" w:ascii="宋体" w:hAnsi="宋体" w:cs="宋体"/>
                <w:b/>
                <w:color w:val="auto"/>
                <w:szCs w:val="21"/>
                <w:highlight w:val="none"/>
              </w:rPr>
              <w:t>序号</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条  款  名  称</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b/>
                <w:color w:val="auto"/>
                <w:szCs w:val="21"/>
                <w:highlight w:val="none"/>
              </w:rPr>
            </w:pPr>
            <w:r>
              <w:rPr>
                <w:rFonts w:hint="eastAsia" w:ascii="宋体" w:hAnsi="宋体" w:cs="宋体"/>
                <w:b/>
                <w:color w:val="auto"/>
                <w:szCs w:val="21"/>
                <w:highlight w:val="none"/>
              </w:rPr>
              <w:t>编  列  内  容</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left"/>
              <w:textAlignment w:val="auto"/>
              <w:rPr>
                <w:rFonts w:hint="eastAsia" w:eastAsia="宋体"/>
                <w:color w:val="auto"/>
                <w:kern w:val="2"/>
                <w:sz w:val="21"/>
                <w:szCs w:val="21"/>
                <w:highlight w:val="none"/>
                <w:lang w:eastAsia="zh-CN"/>
              </w:rPr>
            </w:pPr>
            <w:r>
              <w:rPr>
                <w:rFonts w:hint="eastAsia" w:ascii="宋体" w:hAnsi="宋体" w:eastAsia="宋体" w:cs="宋体"/>
                <w:color w:val="auto"/>
                <w:kern w:val="0"/>
                <w:szCs w:val="21"/>
                <w:highlight w:val="none"/>
              </w:rPr>
              <w:t>详见招标公告</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招标代理机构</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rPr>
              <w:t>详见招标公告</w:t>
            </w:r>
          </w:p>
        </w:tc>
      </w:tr>
      <w:tr>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项目名称</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详见招标公告</w:t>
            </w:r>
          </w:p>
        </w:tc>
      </w:tr>
      <w:tr>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建设地点</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Cs w:val="21"/>
                <w:highlight w:val="none"/>
              </w:rPr>
              <w:t>详见招标公告</w:t>
            </w:r>
          </w:p>
        </w:tc>
      </w:tr>
      <w:tr>
        <w:tblPrEx>
          <w:tblCellMar>
            <w:top w:w="0" w:type="dxa"/>
            <w:left w:w="108" w:type="dxa"/>
            <w:bottom w:w="0" w:type="dxa"/>
            <w:right w:w="108" w:type="dxa"/>
          </w:tblCellMar>
        </w:tblPrEx>
        <w:trPr>
          <w:trHeight w:val="555"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资金落实情况</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lang w:val="en-US" w:eastAsia="zh-CN"/>
              </w:rPr>
              <w:t>已落实</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招标范围</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color w:val="auto"/>
                <w:szCs w:val="21"/>
                <w:highlight w:val="none"/>
              </w:rPr>
              <w:t>详见招标公告</w:t>
            </w:r>
          </w:p>
        </w:tc>
      </w:tr>
      <w:tr>
        <w:tblPrEx>
          <w:tblCellMar>
            <w:top w:w="0" w:type="dxa"/>
            <w:left w:w="108" w:type="dxa"/>
            <w:bottom w:w="0" w:type="dxa"/>
            <w:right w:w="108" w:type="dxa"/>
          </w:tblCellMar>
        </w:tblPrEx>
        <w:trPr>
          <w:trHeight w:val="496"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评标办法</w:t>
            </w:r>
          </w:p>
        </w:tc>
        <w:tc>
          <w:tcPr>
            <w:tcW w:w="7251" w:type="dxa"/>
            <w:tcBorders>
              <w:top w:val="single" w:color="auto" w:sz="4" w:space="0"/>
              <w:left w:val="single" w:color="auto" w:sz="4" w:space="0"/>
              <w:bottom w:val="single" w:color="auto" w:sz="4" w:space="0"/>
              <w:right w:val="single" w:color="auto" w:sz="4" w:space="0"/>
            </w:tcBorders>
            <w:noWrap/>
            <w:vAlign w:val="center"/>
          </w:tcPr>
          <w:p>
            <w:pPr>
              <w:pStyle w:val="96"/>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highlight w:val="none"/>
              </w:rPr>
            </w:pPr>
            <w:r>
              <w:rPr>
                <w:rFonts w:hint="eastAsia" w:ascii="宋体" w:hAnsi="宋体" w:cs="宋体"/>
                <w:color w:val="auto"/>
                <w:highlight w:val="none"/>
              </w:rPr>
              <w:t>综合评估法</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工期</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b/>
                <w:color w:val="auto"/>
                <w:sz w:val="21"/>
                <w:szCs w:val="21"/>
                <w:highlight w:val="none"/>
                <w:lang w:val="en-US" w:eastAsia="zh-CN"/>
              </w:rPr>
            </w:pPr>
            <w:r>
              <w:rPr>
                <w:rFonts w:hint="eastAsia" w:ascii="宋体" w:hAnsi="宋体" w:cs="宋体"/>
                <w:b/>
                <w:color w:val="auto"/>
                <w:sz w:val="21"/>
                <w:szCs w:val="21"/>
                <w:highlight w:val="none"/>
              </w:rPr>
              <w:t>计划工期：</w:t>
            </w:r>
            <w:r>
              <w:rPr>
                <w:rFonts w:hint="eastAsia" w:ascii="宋体" w:hAnsi="宋体" w:cs="宋体"/>
                <w:b/>
                <w:color w:val="auto"/>
                <w:sz w:val="21"/>
                <w:szCs w:val="21"/>
                <w:highlight w:val="none"/>
                <w:lang w:val="en-US" w:eastAsia="zh-CN"/>
              </w:rPr>
              <w:t>不高于</w:t>
            </w:r>
            <w:r>
              <w:rPr>
                <w:rFonts w:hint="eastAsia" w:ascii="宋体" w:hAnsi="宋体" w:cs="宋体"/>
                <w:b/>
                <w:color w:val="auto"/>
                <w:sz w:val="21"/>
                <w:szCs w:val="21"/>
                <w:highlight w:val="none"/>
                <w:u w:val="single"/>
                <w:lang w:val="en-US" w:eastAsia="zh-CN"/>
              </w:rPr>
              <w:t xml:space="preserve"> 45 </w:t>
            </w:r>
            <w:r>
              <w:rPr>
                <w:rFonts w:hint="eastAsia" w:ascii="宋体" w:hAnsi="宋体" w:cs="宋体"/>
                <w:b/>
                <w:color w:val="auto"/>
                <w:sz w:val="21"/>
                <w:szCs w:val="21"/>
                <w:highlight w:val="none"/>
                <w:u w:val="none"/>
                <w:lang w:val="en-US" w:eastAsia="zh-CN"/>
              </w:rPr>
              <w:t>个</w:t>
            </w:r>
            <w:r>
              <w:rPr>
                <w:rFonts w:hint="eastAsia" w:ascii="宋体" w:hAnsi="宋体" w:cs="宋体"/>
                <w:b/>
                <w:color w:val="auto"/>
                <w:sz w:val="21"/>
                <w:szCs w:val="21"/>
                <w:highlight w:val="none"/>
                <w:lang w:val="en-US" w:eastAsia="zh-CN"/>
              </w:rPr>
              <w:t>日历天。</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计划开工日期：双方签订合同时明确</w:t>
            </w:r>
            <w:r>
              <w:rPr>
                <w:rFonts w:hint="eastAsia" w:ascii="宋体" w:hAnsi="宋体" w:cs="宋体"/>
                <w:color w:val="auto"/>
                <w:sz w:val="21"/>
                <w:szCs w:val="21"/>
                <w:highlight w:val="none"/>
                <w:lang w:val="en-US" w:eastAsia="zh-CN"/>
              </w:rPr>
              <w:t xml:space="preserve"> </w:t>
            </w:r>
          </w:p>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计划竣工日期：双方签订合同时明确</w:t>
            </w:r>
          </w:p>
          <w:p>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注：投标人自报的承诺工期为考核标准。工期每延误一天，处以</w:t>
            </w:r>
            <w:r>
              <w:rPr>
                <w:rFonts w:hint="eastAsia" w:ascii="宋体" w:hAnsi="宋体" w:cs="宋体"/>
                <w:color w:val="auto"/>
                <w:sz w:val="21"/>
                <w:szCs w:val="21"/>
                <w:highlight w:val="none"/>
                <w:u w:val="single"/>
                <w:lang w:val="en-US" w:eastAsia="zh-CN"/>
              </w:rPr>
              <w:t xml:space="preserve"> 1000 </w:t>
            </w:r>
            <w:r>
              <w:rPr>
                <w:rFonts w:hint="eastAsia" w:ascii="宋体" w:hAnsi="宋体" w:cs="宋体"/>
                <w:color w:val="auto"/>
                <w:sz w:val="21"/>
                <w:szCs w:val="21"/>
                <w:highlight w:val="none"/>
              </w:rPr>
              <w:t xml:space="preserve">元违约金，工期提前不奖励。   </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质量要求</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必须达到国家工程施工质量验收</w:t>
            </w:r>
            <w:r>
              <w:rPr>
                <w:rFonts w:hint="eastAsia" w:ascii="宋体" w:hAnsi="宋体" w:cs="宋体"/>
                <w:color w:val="auto"/>
                <w:kern w:val="0"/>
                <w:szCs w:val="21"/>
                <w:highlight w:val="none"/>
                <w:u w:val="single"/>
              </w:rPr>
              <w:t xml:space="preserve"> 合格 </w:t>
            </w:r>
            <w:r>
              <w:rPr>
                <w:rFonts w:hint="eastAsia" w:ascii="宋体" w:hAnsi="宋体" w:cs="宋体"/>
                <w:color w:val="auto"/>
                <w:kern w:val="0"/>
                <w:szCs w:val="21"/>
                <w:highlight w:val="none"/>
              </w:rPr>
              <w:t>标准</w:t>
            </w:r>
            <w:r>
              <w:rPr>
                <w:rFonts w:hint="eastAsia" w:ascii="宋体" w:hAnsi="宋体" w:cs="宋体"/>
                <w:color w:val="auto"/>
                <w:szCs w:val="21"/>
                <w:highlight w:val="none"/>
              </w:rPr>
              <w:t xml:space="preserve">。 </w:t>
            </w:r>
          </w:p>
        </w:tc>
      </w:tr>
      <w:tr>
        <w:tblPrEx>
          <w:tblCellMar>
            <w:top w:w="0" w:type="dxa"/>
            <w:left w:w="108" w:type="dxa"/>
            <w:bottom w:w="0" w:type="dxa"/>
            <w:right w:w="108" w:type="dxa"/>
          </w:tblCellMar>
        </w:tblPrEx>
        <w:trPr>
          <w:trHeight w:val="90" w:hRule="atLeast"/>
          <w:jc w:val="center"/>
        </w:trPr>
        <w:tc>
          <w:tcPr>
            <w:tcW w:w="868"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投标人资质条件、能力和信誉</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tblPrEx>
          <w:tblCellMar>
            <w:top w:w="0" w:type="dxa"/>
            <w:left w:w="108" w:type="dxa"/>
            <w:bottom w:w="0" w:type="dxa"/>
            <w:right w:w="108" w:type="dxa"/>
          </w:tblCellMar>
        </w:tblPrEx>
        <w:trPr>
          <w:trHeight w:val="575" w:hRule="atLeast"/>
          <w:jc w:val="center"/>
        </w:trPr>
        <w:tc>
          <w:tcPr>
            <w:tcW w:w="868"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招标文件发布时间</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详见招标公告</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踏勘现场</w:t>
            </w:r>
          </w:p>
        </w:tc>
        <w:tc>
          <w:tcPr>
            <w:tcW w:w="7251" w:type="dxa"/>
            <w:tcBorders>
              <w:top w:val="single" w:color="auto" w:sz="4" w:space="0"/>
              <w:left w:val="single" w:color="auto" w:sz="4" w:space="0"/>
              <w:bottom w:val="single" w:color="auto" w:sz="4" w:space="0"/>
              <w:right w:val="single" w:color="auto" w:sz="4" w:space="0"/>
            </w:tcBorders>
            <w:noWrap/>
            <w:vAlign w:val="center"/>
          </w:tcPr>
          <w:p>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rPr>
              <w:t>☑</w:t>
            </w:r>
            <w:r>
              <w:rPr>
                <w:rFonts w:hint="eastAsia" w:hAnsi="宋体" w:cs="宋体"/>
                <w:color w:val="auto"/>
                <w:spacing w:val="-4"/>
                <w:kern w:val="0"/>
                <w:sz w:val="21"/>
                <w:szCs w:val="21"/>
                <w:highlight w:val="none"/>
              </w:rPr>
              <w:t>不组织，投标人自行组织踏勘现场</w:t>
            </w:r>
            <w:r>
              <w:rPr>
                <w:rFonts w:hint="eastAsia" w:hAnsi="宋体" w:cs="宋体"/>
                <w:color w:val="auto"/>
                <w:sz w:val="21"/>
                <w:szCs w:val="21"/>
                <w:highlight w:val="none"/>
              </w:rPr>
              <w:t>；□组织</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pacing w:val="-4"/>
                <w:kern w:val="0"/>
                <w:szCs w:val="21"/>
                <w:highlight w:val="none"/>
              </w:rPr>
            </w:pPr>
            <w:r>
              <w:rPr>
                <w:rFonts w:hint="eastAsia" w:ascii="宋体" w:hAnsi="宋体" w:cs="宋体"/>
                <w:color w:val="auto"/>
                <w:spacing w:val="-4"/>
                <w:kern w:val="0"/>
                <w:szCs w:val="21"/>
                <w:highlight w:val="none"/>
              </w:rPr>
              <w:t>投标预备会</w:t>
            </w:r>
          </w:p>
        </w:tc>
        <w:tc>
          <w:tcPr>
            <w:tcW w:w="7251" w:type="dxa"/>
            <w:tcBorders>
              <w:top w:val="single" w:color="auto" w:sz="4" w:space="0"/>
              <w:left w:val="single" w:color="auto" w:sz="4" w:space="0"/>
              <w:bottom w:val="single" w:color="auto" w:sz="4" w:space="0"/>
              <w:right w:val="single" w:color="auto" w:sz="4" w:space="0"/>
            </w:tcBorders>
            <w:noWrap/>
            <w:vAlign w:val="center"/>
          </w:tcPr>
          <w:p>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pacing w:val="-4"/>
                <w:kern w:val="0"/>
                <w:sz w:val="21"/>
                <w:szCs w:val="21"/>
                <w:highlight w:val="none"/>
              </w:rPr>
            </w:pPr>
            <w:r>
              <w:rPr>
                <w:rFonts w:hint="eastAsia" w:hAnsi="宋体" w:cs="宋体"/>
                <w:color w:val="auto"/>
                <w:sz w:val="21"/>
                <w:szCs w:val="21"/>
                <w:highlight w:val="none"/>
                <w:lang w:eastAsia="zh-CN"/>
              </w:rPr>
              <w:t>☑</w:t>
            </w:r>
            <w:r>
              <w:rPr>
                <w:rFonts w:hint="eastAsia" w:hAnsi="宋体" w:cs="宋体"/>
                <w:color w:val="auto"/>
                <w:spacing w:val="-4"/>
                <w:kern w:val="0"/>
                <w:sz w:val="21"/>
                <w:szCs w:val="21"/>
                <w:highlight w:val="none"/>
              </w:rPr>
              <w:t>不召开</w:t>
            </w:r>
            <w:r>
              <w:rPr>
                <w:rFonts w:hint="eastAsia" w:hAnsi="宋体" w:cs="宋体"/>
                <w:color w:val="auto"/>
                <w:sz w:val="21"/>
                <w:szCs w:val="21"/>
                <w:highlight w:val="none"/>
              </w:rPr>
              <w:t>；</w:t>
            </w:r>
            <w:r>
              <w:rPr>
                <w:rFonts w:hint="eastAsia" w:hAnsi="宋体" w:cs="宋体"/>
                <w:color w:val="auto"/>
                <w:sz w:val="21"/>
                <w:szCs w:val="21"/>
                <w:highlight w:val="none"/>
                <w:lang w:eastAsia="zh-CN"/>
              </w:rPr>
              <w:t>□</w:t>
            </w:r>
            <w:r>
              <w:rPr>
                <w:rFonts w:hint="eastAsia" w:hAnsi="宋体" w:cs="宋体"/>
                <w:color w:val="auto"/>
                <w:sz w:val="21"/>
                <w:szCs w:val="21"/>
                <w:highlight w:val="none"/>
              </w:rPr>
              <w:t>召开</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投标人提出问题的截止时间及方式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pPr>
              <w:pStyle w:val="25"/>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hAnsi="宋体" w:eastAsia="宋体" w:cs="宋体"/>
                <w:color w:val="auto"/>
                <w:szCs w:val="21"/>
                <w:highlight w:val="none"/>
                <w:lang w:eastAsia="zh-CN"/>
              </w:rPr>
            </w:pPr>
            <w:r>
              <w:rPr>
                <w:rFonts w:hint="eastAsia" w:ascii="宋体" w:hAnsi="宋体" w:cs="宋体"/>
                <w:color w:val="auto"/>
                <w:kern w:val="0"/>
                <w:szCs w:val="21"/>
                <w:highlight w:val="none"/>
              </w:rPr>
              <w:t>如投标人对招标文件有疑问，请于</w:t>
            </w:r>
            <w:r>
              <w:rPr>
                <w:rFonts w:hint="eastAsia" w:ascii="宋体" w:hAnsi="宋体" w:cs="宋体"/>
                <w:b w:val="0"/>
                <w:bCs/>
                <w:color w:val="auto"/>
                <w:szCs w:val="21"/>
                <w:highlight w:val="none"/>
              </w:rPr>
              <w:t>202</w:t>
            </w:r>
            <w:r>
              <w:rPr>
                <w:rFonts w:hint="eastAsia" w:ascii="宋体" w:hAnsi="宋体" w:cs="宋体"/>
                <w:b w:val="0"/>
                <w:bCs/>
                <w:color w:val="auto"/>
                <w:szCs w:val="21"/>
                <w:highlight w:val="none"/>
                <w:lang w:val="en-US" w:eastAsia="zh-CN"/>
              </w:rPr>
              <w:t>4</w:t>
            </w:r>
            <w:r>
              <w:rPr>
                <w:rFonts w:hint="eastAsia" w:ascii="宋体" w:hAnsi="宋体" w:cs="宋体"/>
                <w:b w:val="0"/>
                <w:bCs/>
                <w:color w:val="auto"/>
                <w:szCs w:val="21"/>
                <w:highlight w:val="none"/>
              </w:rPr>
              <w:t>年</w:t>
            </w:r>
            <w:r>
              <w:rPr>
                <w:rFonts w:hint="eastAsia" w:ascii="宋体" w:hAnsi="宋体" w:cs="宋体"/>
                <w:b w:val="0"/>
                <w:bCs/>
                <w:color w:val="auto"/>
                <w:szCs w:val="21"/>
                <w:highlight w:val="none"/>
                <w:lang w:val="en-US" w:eastAsia="zh-CN"/>
              </w:rPr>
              <w:t>6</w:t>
            </w:r>
            <w:r>
              <w:rPr>
                <w:rFonts w:hint="eastAsia" w:ascii="宋体" w:hAnsi="宋体" w:cs="宋体"/>
                <w:b w:val="0"/>
                <w:bCs/>
                <w:color w:val="auto"/>
                <w:szCs w:val="21"/>
                <w:highlight w:val="none"/>
              </w:rPr>
              <w:t>月</w:t>
            </w:r>
            <w:r>
              <w:rPr>
                <w:rFonts w:hint="eastAsia" w:ascii="宋体" w:hAnsi="宋体" w:cs="宋体"/>
                <w:b w:val="0"/>
                <w:bCs/>
                <w:color w:val="auto"/>
                <w:szCs w:val="21"/>
                <w:highlight w:val="none"/>
                <w:lang w:val="en-US" w:eastAsia="zh-CN"/>
              </w:rPr>
              <w:t>28</w:t>
            </w:r>
            <w:r>
              <w:rPr>
                <w:rFonts w:hint="eastAsia" w:ascii="宋体" w:hAnsi="宋体" w:cs="宋体"/>
                <w:b w:val="0"/>
                <w:bCs/>
                <w:color w:val="auto"/>
                <w:szCs w:val="21"/>
                <w:highlight w:val="none"/>
              </w:rPr>
              <w:t>日1</w:t>
            </w:r>
            <w:r>
              <w:rPr>
                <w:rFonts w:hint="eastAsia" w:ascii="宋体" w:hAnsi="宋体" w:cs="宋体"/>
                <w:b w:val="0"/>
                <w:bCs/>
                <w:color w:val="auto"/>
                <w:szCs w:val="21"/>
                <w:highlight w:val="none"/>
                <w:lang w:val="en-US" w:eastAsia="zh-CN"/>
              </w:rPr>
              <w:t>1</w:t>
            </w:r>
            <w:r>
              <w:rPr>
                <w:rFonts w:hint="eastAsia" w:ascii="宋体" w:hAnsi="宋体" w:cs="宋体"/>
                <w:b w:val="0"/>
                <w:bCs/>
                <w:color w:val="auto"/>
                <w:szCs w:val="21"/>
                <w:highlight w:val="none"/>
              </w:rPr>
              <w:t>时</w:t>
            </w:r>
            <w:r>
              <w:rPr>
                <w:rFonts w:hint="eastAsia" w:ascii="宋体" w:hAnsi="宋体" w:cs="宋体"/>
                <w:color w:val="auto"/>
                <w:kern w:val="0"/>
                <w:szCs w:val="21"/>
                <w:highlight w:val="none"/>
              </w:rPr>
              <w:t>前将疑问内容以电子邮件形式发送至</w:t>
            </w:r>
            <w:r>
              <w:rPr>
                <w:rFonts w:hint="eastAsia" w:ascii="宋体" w:hAnsi="宋体" w:cs="宋体"/>
                <w:color w:val="auto"/>
                <w:kern w:val="0"/>
                <w:szCs w:val="21"/>
                <w:highlight w:val="none"/>
                <w:lang w:eastAsia="zh-CN"/>
              </w:rPr>
              <w:t>czsctgczx@163.com（滁州市城投工程咨询管理有限公司邮箱）</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14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招标人澄清的时间及方式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"mailto:日11时前将疑问内容以电子邮件形式发送至66267656@qq.com（安徽佳宝信项目管理有限公司邮箱），招标人将在2020年6月"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招标人将在202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rPr>
              <w:fldChar w:fldCharType="end"/>
            </w:r>
            <w:r>
              <w:rPr>
                <w:rFonts w:hint="eastAsia" w:ascii="宋体" w:hAnsi="宋体" w:cs="宋体"/>
                <w:color w:val="auto"/>
                <w:szCs w:val="21"/>
                <w:highlight w:val="none"/>
                <w:lang w:val="en-US" w:eastAsia="zh-CN"/>
              </w:rPr>
              <w:t>28</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时后</w:t>
            </w:r>
            <w:r>
              <w:rPr>
                <w:rFonts w:hint="eastAsia" w:ascii="宋体" w:hAnsi="宋体" w:cs="宋体"/>
                <w:color w:val="auto"/>
                <w:szCs w:val="21"/>
                <w:highlight w:val="none"/>
                <w:lang w:val="en-US" w:eastAsia="zh-CN"/>
              </w:rPr>
              <w:t>在“</w:t>
            </w:r>
            <w:r>
              <w:rPr>
                <w:rFonts w:hint="eastAsia" w:ascii="宋体" w:hAnsi="宋体" w:eastAsia="宋体" w:cs="宋体"/>
                <w:color w:val="auto"/>
                <w:kern w:val="2"/>
                <w:sz w:val="21"/>
                <w:szCs w:val="21"/>
                <w:highlight w:val="none"/>
                <w:lang w:val="en-US" w:eastAsia="zh-CN" w:bidi="ar"/>
              </w:rPr>
              <w:t>滁州市兴滁矿业投资集团有限公司</w:t>
            </w:r>
            <w:r>
              <w:rPr>
                <w:rFonts w:hint="eastAsia" w:ascii="宋体" w:hAnsi="宋体" w:cs="宋体"/>
                <w:color w:val="auto"/>
                <w:szCs w:val="21"/>
                <w:highlight w:val="none"/>
              </w:rPr>
              <w:t>”</w:t>
            </w:r>
            <w:r>
              <w:rPr>
                <w:rFonts w:hint="eastAsia" w:ascii="宋体" w:hAnsi="宋体" w:eastAsia="宋体" w:cs="宋体"/>
                <w:color w:val="auto"/>
                <w:kern w:val="2"/>
                <w:sz w:val="21"/>
                <w:szCs w:val="21"/>
                <w:highlight w:val="none"/>
                <w:lang w:val="en-US" w:eastAsia="zh-CN" w:bidi="ar"/>
              </w:rPr>
              <w:t>（http://www.xckytz.com/）</w:t>
            </w:r>
            <w:r>
              <w:rPr>
                <w:rFonts w:hint="eastAsia" w:ascii="宋体" w:hAnsi="宋体" w:cs="宋体"/>
                <w:color w:val="auto"/>
                <w:szCs w:val="21"/>
                <w:highlight w:val="none"/>
              </w:rPr>
              <w:t>发布 ，请各位投标人注意查看有关澄清内容，如不及时查看造成后果由投标人自负。</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7251" w:type="dxa"/>
            <w:tcBorders>
              <w:top w:val="single" w:color="auto" w:sz="4" w:space="0"/>
              <w:left w:val="single" w:color="auto" w:sz="4" w:space="0"/>
              <w:bottom w:val="single" w:color="auto" w:sz="4" w:space="0"/>
              <w:right w:val="single" w:color="auto" w:sz="4" w:space="0"/>
            </w:tcBorders>
            <w:noWrap/>
            <w:vAlign w:val="center"/>
          </w:tcPr>
          <w:p>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hAnsi="宋体" w:cs="宋体"/>
                <w:color w:val="auto"/>
                <w:sz w:val="21"/>
                <w:szCs w:val="21"/>
                <w:highlight w:val="none"/>
              </w:rPr>
            </w:pPr>
            <w:r>
              <w:rPr>
                <w:rFonts w:hint="eastAsia" w:hAnsi="宋体" w:cs="宋体"/>
                <w:color w:val="auto"/>
                <w:sz w:val="21"/>
                <w:szCs w:val="21"/>
                <w:highlight w:val="none"/>
                <w:lang w:eastAsia="zh-CN"/>
              </w:rPr>
              <w:t>☑</w:t>
            </w:r>
            <w:r>
              <w:rPr>
                <w:rFonts w:hint="eastAsia" w:hAnsi="宋体" w:cs="宋体"/>
                <w:color w:val="auto"/>
                <w:sz w:val="21"/>
                <w:szCs w:val="21"/>
                <w:highlight w:val="none"/>
              </w:rPr>
              <w:t>不允许</w:t>
            </w:r>
          </w:p>
          <w:p>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szCs w:val="21"/>
                <w:highlight w:val="none"/>
              </w:rPr>
            </w:pPr>
            <w:r>
              <w:rPr>
                <w:rFonts w:hint="eastAsia" w:hAnsi="宋体" w:cs="宋体"/>
                <w:color w:val="auto"/>
                <w:sz w:val="21"/>
                <w:szCs w:val="21"/>
                <w:highlight w:val="none"/>
                <w:lang w:eastAsia="zh-CN"/>
              </w:rPr>
              <w:t>□</w:t>
            </w:r>
            <w:r>
              <w:rPr>
                <w:rFonts w:hint="eastAsia" w:ascii="宋体" w:hAnsi="宋体" w:cs="宋体"/>
                <w:color w:val="auto"/>
                <w:szCs w:val="21"/>
                <w:highlight w:val="none"/>
              </w:rPr>
              <w:t>允许，分包内容要求：/</w:t>
            </w:r>
          </w:p>
          <w:p>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分包金额要求：/</w:t>
            </w:r>
          </w:p>
          <w:p>
            <w:pPr>
              <w:pStyle w:val="19"/>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color w:val="auto"/>
                <w:highlight w:val="none"/>
              </w:rPr>
            </w:pPr>
            <w:r>
              <w:rPr>
                <w:rFonts w:hint="eastAsia" w:hAnsi="宋体" w:cs="宋体"/>
                <w:color w:val="auto"/>
                <w:sz w:val="21"/>
                <w:szCs w:val="21"/>
                <w:highlight w:val="none"/>
              </w:rPr>
              <w:t>接受分包的第三人资质要求：/</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偏离</w:t>
            </w:r>
          </w:p>
        </w:tc>
        <w:tc>
          <w:tcPr>
            <w:tcW w:w="7251" w:type="dxa"/>
            <w:tcBorders>
              <w:top w:val="single" w:color="auto" w:sz="4" w:space="0"/>
              <w:left w:val="single" w:color="auto" w:sz="4" w:space="0"/>
              <w:bottom w:val="single" w:color="auto" w:sz="4" w:space="0"/>
              <w:right w:val="single" w:color="auto" w:sz="4" w:space="0"/>
            </w:tcBorders>
            <w:noWrap/>
            <w:vAlign w:val="center"/>
          </w:tcPr>
          <w:p>
            <w:pPr>
              <w:pStyle w:val="19"/>
              <w:keepNext w:val="0"/>
              <w:keepLines w:val="0"/>
              <w:pageBreakBefore w:val="0"/>
              <w:suppressLineNumbers w:val="0"/>
              <w:kinsoku/>
              <w:wordWrap/>
              <w:overflowPunct/>
              <w:topLinePunct/>
              <w:autoSpaceDN/>
              <w:bidi w:val="0"/>
              <w:spacing w:before="0" w:beforeAutospacing="0" w:after="0" w:afterAutospacing="0" w:line="440" w:lineRule="exact"/>
              <w:ind w:left="0" w:right="0"/>
              <w:textAlignment w:val="auto"/>
              <w:rPr>
                <w:rFonts w:hint="default" w:hAnsi="宋体" w:cs="宋体"/>
                <w:color w:val="auto"/>
                <w:sz w:val="21"/>
                <w:szCs w:val="21"/>
                <w:highlight w:val="none"/>
              </w:rPr>
            </w:pPr>
            <w:r>
              <w:rPr>
                <w:rFonts w:hint="eastAsia"/>
                <w:color w:val="auto"/>
                <w:highlight w:val="none"/>
              </w:rPr>
              <w:t>☑</w:t>
            </w:r>
            <w:r>
              <w:rPr>
                <w:rFonts w:hint="eastAsia" w:hAnsi="宋体" w:cs="宋体"/>
                <w:color w:val="auto"/>
                <w:sz w:val="21"/>
                <w:szCs w:val="21"/>
                <w:highlight w:val="none"/>
              </w:rPr>
              <w:t>不允许；□允许</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构成招标文件的其他材料</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招标人提供的其他材料及招标澄清答疑文件</w:t>
            </w:r>
            <w:r>
              <w:rPr>
                <w:rFonts w:hint="eastAsia" w:ascii="宋体" w:hAnsi="宋体" w:cs="宋体"/>
                <w:color w:val="auto"/>
                <w:szCs w:val="21"/>
                <w:highlight w:val="none"/>
                <w:lang w:val="en-US" w:eastAsia="zh-CN"/>
              </w:rPr>
              <w:t>等</w:t>
            </w:r>
            <w:r>
              <w:rPr>
                <w:rFonts w:hint="eastAsia" w:ascii="宋体" w:hAnsi="宋体" w:cs="宋体"/>
                <w:color w:val="auto"/>
                <w:szCs w:val="21"/>
                <w:highlight w:val="none"/>
              </w:rPr>
              <w:t>。</w:t>
            </w:r>
          </w:p>
        </w:tc>
      </w:tr>
      <w:tr>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投标人要求澄清招标文件的截止时间及方式</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同本表第13条</w:t>
            </w:r>
          </w:p>
        </w:tc>
      </w:tr>
      <w:tr>
        <w:tblPrEx>
          <w:tblCellMar>
            <w:top w:w="0" w:type="dxa"/>
            <w:left w:w="108" w:type="dxa"/>
            <w:bottom w:w="0" w:type="dxa"/>
            <w:right w:w="108" w:type="dxa"/>
          </w:tblCellMar>
        </w:tblPrEx>
        <w:trPr>
          <w:trHeight w:val="404"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19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rPr>
              <w:t>增值税税金</w:t>
            </w:r>
          </w:p>
        </w:tc>
        <w:tc>
          <w:tcPr>
            <w:tcW w:w="7251"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（1）计税方法：</w:t>
            </w:r>
          </w:p>
          <w:p>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一般计税方法</w:t>
            </w:r>
          </w:p>
          <w:p>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 xml:space="preserve">□简易计算方法 </w:t>
            </w:r>
          </w:p>
          <w:p>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（2）发票类型：</w:t>
            </w:r>
          </w:p>
          <w:p>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lang w:eastAsia="zh-CN"/>
              </w:rPr>
              <w:t>☑</w:t>
            </w:r>
            <w:r>
              <w:rPr>
                <w:rFonts w:hint="eastAsia" w:ascii="宋体" w:hAnsi="宋体" w:eastAsia="宋体" w:cs="宋体"/>
                <w:bCs/>
                <w:snapToGrid w:val="0"/>
                <w:color w:val="auto"/>
                <w:kern w:val="0"/>
                <w:sz w:val="21"/>
                <w:szCs w:val="21"/>
                <w:highlight w:val="none"/>
              </w:rPr>
              <w:t>增值税专用发票</w:t>
            </w:r>
          </w:p>
          <w:p>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firstLine="420" w:firstLineChars="20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□增值税普通发票</w:t>
            </w:r>
          </w:p>
          <w:p>
            <w:pPr>
              <w:keepNext w:val="0"/>
              <w:keepLines w:val="0"/>
              <w:pageBreakBefore w:val="0"/>
              <w:numPr>
                <w:ilvl w:val="0"/>
                <w:numId w:val="1"/>
              </w:numPr>
              <w:suppressLineNumbers w:val="0"/>
              <w:kinsoku/>
              <w:wordWrap/>
              <w:overflowPunct/>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Cs/>
                <w:snapToGrid w:val="0"/>
                <w:color w:val="auto"/>
                <w:kern w:val="0"/>
                <w:sz w:val="21"/>
                <w:szCs w:val="21"/>
                <w:highlight w:val="none"/>
              </w:rPr>
            </w:pPr>
            <w:r>
              <w:rPr>
                <w:rFonts w:hint="eastAsia" w:ascii="宋体" w:hAnsi="宋体" w:eastAsia="宋体" w:cs="宋体"/>
                <w:bCs/>
                <w:snapToGrid w:val="0"/>
                <w:color w:val="auto"/>
                <w:kern w:val="0"/>
                <w:sz w:val="21"/>
                <w:szCs w:val="21"/>
                <w:highlight w:val="none"/>
              </w:rPr>
              <w:t>增值税税率按照国家有关规定执行。</w:t>
            </w:r>
          </w:p>
          <w:p>
            <w:pPr>
              <w:pStyle w:val="19"/>
              <w:keepNext w:val="0"/>
              <w:keepLines w:val="0"/>
              <w:pageBreakBefore w:val="0"/>
              <w:suppressLineNumbers w:val="0"/>
              <w:kinsoku/>
              <w:wordWrap/>
              <w:overflowPunct/>
              <w:topLinePunct/>
              <w:autoSpaceDN/>
              <w:bidi w:val="0"/>
              <w:adjustRightInd w:val="0"/>
              <w:snapToGrid w:val="0"/>
              <w:spacing w:before="0" w:beforeAutospacing="0" w:after="0" w:afterAutospacing="0" w:line="440" w:lineRule="exact"/>
              <w:ind w:left="0" w:right="0" w:firstLine="525" w:firstLineChars="250"/>
              <w:textAlignment w:val="auto"/>
              <w:rPr>
                <w:rFonts w:hint="eastAsia" w:ascii="宋体" w:hAnsi="宋体" w:cs="宋体"/>
                <w:color w:val="auto"/>
                <w:szCs w:val="21"/>
                <w:highlight w:val="none"/>
              </w:rPr>
            </w:pPr>
            <w:r>
              <w:rPr>
                <w:rFonts w:hint="eastAsia" w:ascii="宋体" w:hAnsi="宋体" w:eastAsia="宋体" w:cs="宋体"/>
                <w:bCs/>
                <w:snapToGrid w:val="0"/>
                <w:color w:val="auto"/>
                <w:kern w:val="0"/>
                <w:sz w:val="21"/>
                <w:szCs w:val="21"/>
                <w:highlight w:val="none"/>
              </w:rPr>
              <w:t>其它：</w:t>
            </w:r>
            <w:r>
              <w:rPr>
                <w:rFonts w:hint="eastAsia" w:ascii="宋体" w:hAnsi="宋体" w:eastAsia="宋体" w:cs="宋体"/>
                <w:bCs/>
                <w:snapToGrid w:val="0"/>
                <w:color w:val="auto"/>
                <w:kern w:val="0"/>
                <w:sz w:val="21"/>
                <w:szCs w:val="21"/>
                <w:highlight w:val="none"/>
                <w:u w:val="single"/>
                <w:lang w:val="en-US" w:eastAsia="zh-CN"/>
              </w:rPr>
              <w:t>/</w:t>
            </w:r>
            <w:r>
              <w:rPr>
                <w:rFonts w:hint="eastAsia" w:ascii="宋体" w:hAnsi="宋体" w:eastAsia="宋体" w:cs="宋体"/>
                <w:bCs/>
                <w:snapToGrid w:val="0"/>
                <w:color w:val="auto"/>
                <w:kern w:val="0"/>
                <w:sz w:val="21"/>
                <w:szCs w:val="21"/>
                <w:highlight w:val="none"/>
              </w:rPr>
              <w:t xml:space="preserve"> 。</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b/>
                <w:bCs/>
                <w:color w:val="auto"/>
                <w:sz w:val="21"/>
                <w:szCs w:val="21"/>
                <w:highlight w:val="none"/>
              </w:rPr>
              <w:t>最高投标限价</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b/>
                <w:color w:val="auto"/>
                <w:szCs w:val="21"/>
                <w:highlight w:val="none"/>
                <w:u w:val="single"/>
                <w:lang w:eastAsia="zh-CN"/>
              </w:rPr>
            </w:pPr>
            <w:r>
              <w:rPr>
                <w:rFonts w:hint="eastAsia" w:ascii="宋体" w:hAnsi="宋体" w:cs="宋体"/>
                <w:color w:val="auto"/>
                <w:sz w:val="21"/>
                <w:szCs w:val="21"/>
                <w:highlight w:val="none"/>
              </w:rPr>
              <w:t>公布的最高投标限价：</w:t>
            </w:r>
            <w:r>
              <w:rPr>
                <w:rFonts w:hint="eastAsia" w:ascii="宋体" w:hAnsi="宋体" w:cs="宋体"/>
                <w:color w:val="auto"/>
                <w:sz w:val="21"/>
                <w:szCs w:val="21"/>
                <w:highlight w:val="none"/>
                <w:u w:val="single"/>
                <w:lang w:val="en-US" w:eastAsia="zh-CN"/>
              </w:rPr>
              <w:t xml:space="preserve"> 1640921.34 </w:t>
            </w:r>
            <w:r>
              <w:rPr>
                <w:rFonts w:hint="eastAsia" w:ascii="宋体" w:hAnsi="宋体" w:cs="宋体"/>
                <w:color w:val="auto"/>
                <w:sz w:val="21"/>
                <w:szCs w:val="21"/>
                <w:highlight w:val="none"/>
              </w:rPr>
              <w:t>元（其中含暂列金额</w:t>
            </w:r>
            <w:r>
              <w:rPr>
                <w:rFonts w:hint="eastAsia" w:ascii="宋体" w:hAnsi="宋体" w:cs="宋体"/>
                <w:color w:val="auto"/>
                <w:sz w:val="21"/>
                <w:szCs w:val="21"/>
                <w:highlight w:val="none"/>
                <w:u w:val="single"/>
                <w:lang w:val="en-US" w:eastAsia="zh-CN"/>
              </w:rPr>
              <w:t xml:space="preserve"> 150000 </w:t>
            </w:r>
            <w:r>
              <w:rPr>
                <w:rFonts w:hint="eastAsia" w:ascii="宋体" w:hAnsi="宋体" w:cs="宋体"/>
                <w:color w:val="auto"/>
                <w:sz w:val="21"/>
                <w:szCs w:val="21"/>
                <w:highlight w:val="none"/>
              </w:rPr>
              <w:t>元）。</w:t>
            </w:r>
            <w:r>
              <w:rPr>
                <w:rFonts w:hint="eastAsia" w:ascii="宋体" w:hAnsi="宋体" w:cs="宋体"/>
                <w:color w:val="auto"/>
                <w:sz w:val="21"/>
                <w:szCs w:val="21"/>
                <w:highlight w:val="none"/>
                <w:lang w:val="en-US" w:eastAsia="zh-CN"/>
              </w:rPr>
              <w:t>具体内容详见附件。</w:t>
            </w:r>
            <w:r>
              <w:rPr>
                <w:rFonts w:hint="eastAsia" w:ascii="宋体" w:hAnsi="宋体" w:cs="宋体"/>
                <w:b/>
                <w:bCs/>
                <w:color w:val="auto"/>
                <w:sz w:val="21"/>
                <w:szCs w:val="21"/>
                <w:highlight w:val="none"/>
              </w:rPr>
              <w:t xml:space="preserve"> </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投标有效期</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0"/>
                <w:sz w:val="21"/>
                <w:szCs w:val="21"/>
                <w:highlight w:val="none"/>
              </w:rPr>
              <w:t>自投标人递交投标文件截止之日起计算</w:t>
            </w:r>
            <w:r>
              <w:rPr>
                <w:rFonts w:hint="eastAsia" w:ascii="宋体" w:hAnsi="宋体" w:eastAsia="宋体" w:cs="宋体"/>
                <w:color w:val="auto"/>
                <w:kern w:val="0"/>
                <w:sz w:val="21"/>
                <w:szCs w:val="21"/>
                <w:highlight w:val="none"/>
                <w:lang w:val="en-US" w:eastAsia="zh-CN"/>
              </w:rPr>
              <w:t>90</w:t>
            </w:r>
            <w:r>
              <w:rPr>
                <w:rFonts w:hint="eastAsia" w:ascii="宋体" w:hAnsi="宋体" w:eastAsia="宋体" w:cs="宋体"/>
                <w:color w:val="auto"/>
                <w:kern w:val="0"/>
                <w:sz w:val="21"/>
                <w:szCs w:val="21"/>
                <w:highlight w:val="none"/>
              </w:rPr>
              <w:t>日历天。在此期限内，凡符合本招标文件要求的投标文件均保持有效。</w:t>
            </w:r>
          </w:p>
        </w:tc>
      </w:tr>
      <w:tr>
        <w:tblPrEx>
          <w:tblCellMar>
            <w:top w:w="0" w:type="dxa"/>
            <w:left w:w="108" w:type="dxa"/>
            <w:bottom w:w="0" w:type="dxa"/>
            <w:right w:w="108" w:type="dxa"/>
          </w:tblCellMar>
        </w:tblPrEx>
        <w:trPr>
          <w:trHeight w:val="52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2</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投标保证金</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详见招标公告</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3</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签字或盖章要求</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电子投标文件须按格式文件要求签字或盖章，招标文件格式中要求“签章”部位，指签字或盖章后扫描上传。</w:t>
            </w:r>
          </w:p>
          <w:p>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b/>
                <w:color w:val="auto"/>
                <w:kern w:val="0"/>
                <w:szCs w:val="21"/>
                <w:highlight w:val="none"/>
              </w:rPr>
              <w:t>否则经评委会一致认定按照无效投标处理。</w:t>
            </w:r>
          </w:p>
        </w:tc>
      </w:tr>
      <w:tr>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投标文件份数</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bCs/>
                <w:color w:val="auto"/>
                <w:kern w:val="0"/>
                <w:szCs w:val="21"/>
                <w:highlight w:val="none"/>
              </w:rPr>
            </w:pPr>
            <w:r>
              <w:rPr>
                <w:rFonts w:hint="eastAsia" w:ascii="宋体" w:hAnsi="宋体" w:cs="宋体"/>
                <w:b/>
                <w:color w:val="auto"/>
                <w:kern w:val="0"/>
                <w:szCs w:val="21"/>
                <w:highlight w:val="none"/>
              </w:rPr>
              <w:t>以电子邮件递交的电子投标文件：一份。以投标人在投标截止时间前电子邮件递交的电子投标文件为准，逾期提交的，投标文件将被拒绝。</w:t>
            </w:r>
          </w:p>
          <w:p>
            <w:pPr>
              <w:pStyle w:val="14"/>
              <w:keepNext w:val="0"/>
              <w:keepLines w:val="0"/>
              <w:pageBreakBefore w:val="0"/>
              <w:suppressLineNumbers w:val="0"/>
              <w:kinsoku/>
              <w:wordWrap/>
              <w:overflowPunct/>
              <w:autoSpaceDN/>
              <w:bidi w:val="0"/>
              <w:spacing w:before="0" w:beforeAutospacing="0" w:after="0" w:afterAutospacing="0" w:line="440" w:lineRule="exact"/>
              <w:ind w:left="0" w:leftChars="0" w:right="0" w:firstLine="0" w:firstLineChars="0"/>
              <w:textAlignment w:val="auto"/>
              <w:rPr>
                <w:rFonts w:hint="default"/>
                <w:color w:val="auto"/>
                <w:highlight w:val="none"/>
              </w:rPr>
            </w:pPr>
            <w:r>
              <w:rPr>
                <w:rFonts w:hint="eastAsia" w:ascii="宋体" w:hAnsi="宋体" w:cs="宋体"/>
                <w:b/>
                <w:bCs/>
                <w:color w:val="auto"/>
                <w:kern w:val="0"/>
                <w:szCs w:val="21"/>
                <w:highlight w:val="none"/>
              </w:rPr>
              <w:t>（投标单位中标后须递交与网上电子投标文件完全一致的纸质版投标文件，并按要求加盖公章；份数：正本1份，副本</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份；中标单位领取中标通知书时，一并递交给代理机构）</w:t>
            </w:r>
          </w:p>
        </w:tc>
      </w:tr>
      <w:tr>
        <w:tblPrEx>
          <w:tblCellMar>
            <w:top w:w="0" w:type="dxa"/>
            <w:left w:w="108" w:type="dxa"/>
            <w:bottom w:w="0" w:type="dxa"/>
            <w:right w:w="108" w:type="dxa"/>
          </w:tblCellMar>
        </w:tblPrEx>
        <w:trPr>
          <w:trHeight w:val="0" w:hRule="atLeast"/>
          <w:jc w:val="center"/>
        </w:trPr>
        <w:tc>
          <w:tcPr>
            <w:tcW w:w="868"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投标截止时间</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18" w:firstLineChars="9"/>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2024年</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15</w:t>
            </w:r>
            <w:r>
              <w:rPr>
                <w:rFonts w:hint="eastAsia" w:ascii="宋体" w:hAnsi="宋体" w:eastAsia="宋体" w:cs="宋体"/>
                <w:color w:val="auto"/>
                <w:sz w:val="21"/>
                <w:szCs w:val="21"/>
                <w:highlight w:val="none"/>
                <w:lang w:val="en-US" w:eastAsia="zh-CN"/>
              </w:rPr>
              <w:t>时00分（北京时间）</w:t>
            </w:r>
          </w:p>
        </w:tc>
      </w:tr>
      <w:tr>
        <w:tblPrEx>
          <w:tblCellMar>
            <w:top w:w="0" w:type="dxa"/>
            <w:left w:w="108" w:type="dxa"/>
            <w:bottom w:w="0" w:type="dxa"/>
            <w:right w:w="108" w:type="dxa"/>
          </w:tblCellMar>
        </w:tblPrEx>
        <w:trPr>
          <w:trHeight w:val="0" w:hRule="atLeast"/>
          <w:jc w:val="center"/>
        </w:trPr>
        <w:tc>
          <w:tcPr>
            <w:tcW w:w="868"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kern w:val="2"/>
                <w:highlight w:val="none"/>
                <w:lang w:val="en-US" w:eastAsia="zh-CN"/>
              </w:rPr>
            </w:pP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ascii="宋体"/>
                <w:color w:val="auto"/>
                <w:sz w:val="21"/>
                <w:szCs w:val="21"/>
                <w:highlight w:val="none"/>
              </w:rPr>
            </w:pPr>
            <w:r>
              <w:rPr>
                <w:rFonts w:hint="eastAsia" w:ascii="宋体"/>
                <w:color w:val="auto"/>
                <w:sz w:val="21"/>
                <w:szCs w:val="21"/>
                <w:highlight w:val="none"/>
              </w:rPr>
              <w:t>投标文件</w:t>
            </w:r>
            <w:r>
              <w:rPr>
                <w:rFonts w:hint="eastAsia" w:ascii="宋体"/>
                <w:color w:val="auto"/>
                <w:sz w:val="21"/>
                <w:szCs w:val="21"/>
                <w:highlight w:val="none"/>
                <w:lang w:val="en-US" w:eastAsia="zh-CN"/>
              </w:rPr>
              <w:t>的提交</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1、本项目的投标人无需到达开标现场，投标文件采用加密电子文件（压缩包）在投标截止时间前通过邮箱发送至代理机构邮箱（</w:t>
            </w:r>
            <w:r>
              <w:rPr>
                <w:rFonts w:hint="eastAsia" w:ascii="宋体" w:hAnsi="宋体" w:cs="宋体"/>
                <w:b/>
                <w:bCs/>
                <w:color w:val="auto"/>
                <w:szCs w:val="21"/>
                <w:highlight w:val="none"/>
                <w:lang w:eastAsia="zh-CN"/>
              </w:rPr>
              <w:t>czsctgczx@163.com</w:t>
            </w:r>
            <w:r>
              <w:rPr>
                <w:rFonts w:hint="eastAsia" w:ascii="宋体" w:hAnsi="宋体" w:cs="宋体"/>
                <w:b/>
                <w:bCs/>
                <w:color w:val="auto"/>
                <w:szCs w:val="21"/>
                <w:highlight w:val="none"/>
              </w:rPr>
              <w:t>），命名为“公司名称+项目名称+联系人+联系电话”。未在规定时间内发送PDF格式投标文件的，投标文件将被拒绝，投标文件送达时间以邮箱显示的邮件送达时间为准，若投标单位重复发送电子投标文件的，将以投标截止时间前最后收到的投标文件为准,投标文件无法打开的，由投标人自行承担后果。</w:t>
            </w:r>
          </w:p>
          <w:p>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2、各投标人须在投标截止时间后10分钟内，将投标文件解压密码通过邮箱发送至代理机构邮箱（</w:t>
            </w:r>
            <w:r>
              <w:rPr>
                <w:rFonts w:hint="eastAsia" w:ascii="宋体" w:hAnsi="宋体" w:cs="宋体"/>
                <w:b/>
                <w:bCs/>
                <w:color w:val="auto"/>
                <w:szCs w:val="21"/>
                <w:highlight w:val="none"/>
                <w:lang w:eastAsia="zh-CN"/>
              </w:rPr>
              <w:t>czsctgczx@163.com</w:t>
            </w:r>
            <w:r>
              <w:rPr>
                <w:rFonts w:hint="eastAsia" w:ascii="宋体" w:hAnsi="宋体" w:cs="宋体"/>
                <w:b/>
                <w:bCs/>
                <w:color w:val="auto"/>
                <w:szCs w:val="21"/>
                <w:highlight w:val="none"/>
              </w:rPr>
              <w:t>）。逾期发送或未发送或发送材料无法识别的，投标将被拒绝。</w:t>
            </w:r>
          </w:p>
          <w:p>
            <w:pPr>
              <w:keepNext w:val="0"/>
              <w:keepLines w:val="0"/>
              <w:pageBreakBefore w:val="0"/>
              <w:suppressLineNumbers w:val="0"/>
              <w:kinsoku/>
              <w:wordWrap/>
              <w:overflowPunct/>
              <w:autoSpaceDN/>
              <w:bidi w:val="0"/>
              <w:spacing w:before="0" w:beforeAutospacing="0" w:after="0" w:afterAutospacing="0" w:line="440" w:lineRule="exact"/>
              <w:ind w:left="0" w:right="0"/>
              <w:jc w:val="left"/>
              <w:textAlignment w:val="auto"/>
              <w:rPr>
                <w:rFonts w:hint="eastAsia" w:ascii="宋体" w:hAnsi="宋体" w:eastAsia="宋体" w:cs="宋体"/>
                <w:b/>
                <w:bCs/>
                <w:color w:val="auto"/>
                <w:szCs w:val="21"/>
                <w:highlight w:val="none"/>
                <w:u w:val="none"/>
              </w:rPr>
            </w:pPr>
            <w:r>
              <w:rPr>
                <w:rFonts w:hint="eastAsia" w:ascii="宋体" w:hAnsi="宋体" w:cs="宋体"/>
                <w:b/>
                <w:bCs/>
                <w:color w:val="auto"/>
                <w:szCs w:val="21"/>
                <w:highlight w:val="none"/>
              </w:rPr>
              <w:t>注：发送解压密码的邮箱应与加密电子投标文件一致。</w:t>
            </w:r>
          </w:p>
        </w:tc>
      </w:tr>
      <w:tr>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eastAsia="宋体" w:cs="宋体"/>
                <w:color w:val="auto"/>
                <w:kern w:val="2"/>
                <w:highlight w:val="none"/>
                <w:lang w:val="en-US" w:eastAsia="zh-CN"/>
              </w:rPr>
            </w:pPr>
            <w:r>
              <w:rPr>
                <w:rFonts w:hint="eastAsia" w:ascii="宋体" w:hAnsi="宋体" w:cs="宋体"/>
                <w:color w:val="auto"/>
                <w:kern w:val="2"/>
                <w:highlight w:val="none"/>
                <w:lang w:val="en-US" w:eastAsia="zh-CN"/>
              </w:rPr>
              <w:t>26</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是否允许递交备选投标方案</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☑不允许；</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□允许：/</w:t>
            </w:r>
          </w:p>
        </w:tc>
      </w:tr>
      <w:tr>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7</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是否退还投标文件</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否</w:t>
            </w:r>
          </w:p>
        </w:tc>
      </w:tr>
      <w:tr>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highlight w:val="none"/>
                <w:lang w:val="en-US" w:eastAsia="zh-CN"/>
              </w:rPr>
              <w:t>2</w:t>
            </w:r>
            <w:r>
              <w:rPr>
                <w:rFonts w:hint="eastAsia" w:ascii="宋体" w:hAnsi="宋体" w:cs="宋体"/>
                <w:color w:val="auto"/>
                <w:kern w:val="2"/>
                <w:highlight w:val="none"/>
                <w:lang w:val="en-US" w:eastAsia="zh-CN"/>
              </w:rPr>
              <w:t>8</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开标时间及地点</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kern w:val="2"/>
                <w:sz w:val="21"/>
                <w:szCs w:val="21"/>
                <w:highlight w:val="none"/>
                <w:u w:color="000000"/>
                <w:lang w:val="en-US" w:eastAsia="zh-CN" w:bidi="ar"/>
              </w:rPr>
            </w:pPr>
            <w:r>
              <w:rPr>
                <w:rFonts w:hint="eastAsia" w:ascii="宋体" w:hAnsi="宋体" w:eastAsia="宋体" w:cs="宋体"/>
                <w:color w:val="auto"/>
                <w:kern w:val="2"/>
                <w:sz w:val="21"/>
                <w:szCs w:val="21"/>
                <w:highlight w:val="none"/>
                <w:u w:color="000000"/>
                <w:lang w:val="en-US" w:eastAsia="zh-CN" w:bidi="ar"/>
              </w:rPr>
              <w:t>开标时间：同投标截止时间</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u w:color="000000"/>
                <w:lang w:val="en-US" w:eastAsia="zh-CN" w:bidi="ar"/>
              </w:rPr>
              <w:t>开标地点：</w:t>
            </w:r>
            <w:r>
              <w:rPr>
                <w:rFonts w:hint="eastAsia" w:ascii="宋体" w:hAnsi="宋体" w:eastAsia="宋体" w:cs="宋体"/>
                <w:color w:val="auto"/>
                <w:szCs w:val="21"/>
                <w:highlight w:val="none"/>
                <w:lang w:val="en-US" w:eastAsia="zh-CN"/>
              </w:rPr>
              <w:t>滁州市城投工程咨询管理有限公司6</w:t>
            </w:r>
            <w:r>
              <w:rPr>
                <w:rFonts w:hint="eastAsia" w:ascii="宋体" w:hAnsi="宋体" w:cs="宋体"/>
                <w:color w:val="auto"/>
                <w:szCs w:val="21"/>
                <w:highlight w:val="none"/>
                <w:lang w:val="en-US" w:eastAsia="zh-CN"/>
              </w:rPr>
              <w:t>22</w:t>
            </w:r>
            <w:r>
              <w:rPr>
                <w:rFonts w:hint="eastAsia" w:ascii="宋体" w:hAnsi="宋体" w:eastAsia="宋体" w:cs="宋体"/>
                <w:color w:val="auto"/>
                <w:szCs w:val="21"/>
                <w:highlight w:val="none"/>
                <w:lang w:val="en-US" w:eastAsia="zh-CN"/>
              </w:rPr>
              <w:t>会议室(滁州市龙蟠大道109号房产大厦六楼)</w:t>
            </w:r>
          </w:p>
        </w:tc>
      </w:tr>
      <w:tr>
        <w:tblPrEx>
          <w:tblCellMar>
            <w:top w:w="0" w:type="dxa"/>
            <w:left w:w="108" w:type="dxa"/>
            <w:bottom w:w="0" w:type="dxa"/>
            <w:right w:w="108" w:type="dxa"/>
          </w:tblCellMar>
        </w:tblPrEx>
        <w:trPr>
          <w:trHeight w:val="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color w:val="auto"/>
                <w:szCs w:val="21"/>
                <w:highlight w:val="none"/>
                <w:lang w:val="en-US"/>
              </w:rPr>
            </w:pPr>
            <w:r>
              <w:rPr>
                <w:rFonts w:hint="eastAsia" w:ascii="宋体" w:hAnsi="宋体" w:cs="宋体"/>
                <w:color w:val="auto"/>
                <w:kern w:val="2"/>
                <w:highlight w:val="none"/>
                <w:lang w:val="en-US" w:eastAsia="zh-CN"/>
              </w:rPr>
              <w:t>29</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center"/>
              <w:textAlignment w:val="auto"/>
              <w:rPr>
                <w:rFonts w:hint="eastAsia"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开标程序</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40" w:lineRule="exact"/>
              <w:ind w:left="0" w:leftChars="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由代理机构开启电子投标文件，报评标委员会评审。</w:t>
            </w:r>
          </w:p>
        </w:tc>
      </w:tr>
      <w:tr>
        <w:tblPrEx>
          <w:tblCellMar>
            <w:top w:w="0" w:type="dxa"/>
            <w:left w:w="108" w:type="dxa"/>
            <w:bottom w:w="0" w:type="dxa"/>
            <w:right w:w="108" w:type="dxa"/>
          </w:tblCellMar>
        </w:tblPrEx>
        <w:trPr>
          <w:trHeight w:val="488"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30</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评标委员会的组建</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color w:val="auto"/>
                <w:kern w:val="2"/>
                <w:sz w:val="21"/>
                <w:szCs w:val="21"/>
                <w:highlight w:val="none"/>
                <w:u w:color="000000"/>
                <w:lang w:val="en-US" w:eastAsia="zh-CN" w:bidi="ar"/>
              </w:rPr>
              <w:t>评标委员会由招标人依法组建。</w:t>
            </w:r>
          </w:p>
        </w:tc>
      </w:tr>
      <w:tr>
        <w:tblPrEx>
          <w:tblCellMar>
            <w:top w:w="0" w:type="dxa"/>
            <w:left w:w="108" w:type="dxa"/>
            <w:bottom w:w="0" w:type="dxa"/>
            <w:right w:w="108" w:type="dxa"/>
          </w:tblCellMar>
        </w:tblPrEx>
        <w:trPr>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31</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宋体" w:hAnsi="宋体" w:cs="宋体"/>
                <w:bCs/>
                <w:color w:val="auto"/>
                <w:szCs w:val="21"/>
                <w:highlight w:val="none"/>
              </w:rPr>
            </w:pPr>
            <w:r>
              <w:rPr>
                <w:rFonts w:hint="eastAsia" w:ascii="宋体" w:hAnsi="宋体" w:eastAsia="宋体" w:cs="宋体"/>
                <w:b w:val="0"/>
                <w:bCs w:val="0"/>
                <w:color w:val="auto"/>
                <w:sz w:val="21"/>
                <w:szCs w:val="21"/>
                <w:highlight w:val="none"/>
              </w:rPr>
              <w:t>评标委员会确定中标候选人的人数</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textAlignment w:val="auto"/>
              <w:rPr>
                <w:rFonts w:hint="default" w:ascii="宋体" w:hAnsi="宋体" w:cs="宋体"/>
                <w:bCs/>
                <w:color w:val="auto"/>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名，并标明排序。</w:t>
            </w:r>
          </w:p>
        </w:tc>
      </w:tr>
      <w:tr>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32</w:t>
            </w:r>
          </w:p>
        </w:tc>
        <w:tc>
          <w:tcPr>
            <w:tcW w:w="2209" w:type="dxa"/>
            <w:gridSpan w:val="2"/>
            <w:tcBorders>
              <w:top w:val="single" w:color="auto" w:sz="4" w:space="0"/>
              <w:left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中标候选人公示媒介</w:t>
            </w:r>
          </w:p>
        </w:tc>
        <w:tc>
          <w:tcPr>
            <w:tcW w:w="7251" w:type="dxa"/>
            <w:tcBorders>
              <w:top w:val="single" w:color="auto" w:sz="4" w:space="0"/>
              <w:left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公示媒介：同招标公告发布媒介</w:t>
            </w:r>
          </w:p>
          <w:p>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eastAsia="宋体" w:cs="宋体"/>
                <w:b w:val="0"/>
                <w:bCs w:val="0"/>
                <w:color w:val="auto"/>
                <w:sz w:val="21"/>
                <w:szCs w:val="21"/>
                <w:highlight w:val="none"/>
              </w:rPr>
              <w:t>公示期限：公示发布次日起3日（如公示第三日为休息日或节假日，则顺延至休息日或节假日后第一个工作日）</w:t>
            </w:r>
          </w:p>
        </w:tc>
      </w:tr>
      <w:tr>
        <w:tblPrEx>
          <w:tblCellMar>
            <w:top w:w="0" w:type="dxa"/>
            <w:left w:w="108" w:type="dxa"/>
            <w:bottom w:w="0" w:type="dxa"/>
            <w:right w:w="108" w:type="dxa"/>
          </w:tblCellMar>
        </w:tblPrEx>
        <w:trPr>
          <w:trHeight w:val="500" w:hRule="atLeast"/>
          <w:jc w:val="center"/>
        </w:trPr>
        <w:tc>
          <w:tcPr>
            <w:tcW w:w="868" w:type="dxa"/>
            <w:tcBorders>
              <w:top w:val="single" w:color="auto" w:sz="4" w:space="0"/>
              <w:left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33</w:t>
            </w:r>
          </w:p>
        </w:tc>
        <w:tc>
          <w:tcPr>
            <w:tcW w:w="2209" w:type="dxa"/>
            <w:gridSpan w:val="2"/>
            <w:tcBorders>
              <w:top w:val="single" w:color="auto" w:sz="4" w:space="0"/>
              <w:left w:val="single" w:color="auto" w:sz="4" w:space="0"/>
              <w:right w:val="single" w:color="auto" w:sz="4" w:space="0"/>
            </w:tcBorders>
            <w:noWrap/>
            <w:vAlign w:val="center"/>
          </w:tcPr>
          <w:p>
            <w:pPr>
              <w:keepNext w:val="0"/>
              <w:keepLines w:val="0"/>
              <w:pageBreakBefore w:val="0"/>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color w:val="auto"/>
                <w:sz w:val="21"/>
                <w:szCs w:val="21"/>
                <w:highlight w:val="none"/>
              </w:rPr>
              <w:t>中标通知书发出形式</w:t>
            </w:r>
          </w:p>
        </w:tc>
        <w:tc>
          <w:tcPr>
            <w:tcW w:w="7251" w:type="dxa"/>
            <w:tcBorders>
              <w:top w:val="single" w:color="auto" w:sz="4" w:space="0"/>
              <w:left w:val="single" w:color="auto" w:sz="4" w:space="0"/>
              <w:right w:val="single" w:color="auto" w:sz="4" w:space="0"/>
            </w:tcBorders>
            <w:noWrap/>
            <w:vAlign w:val="center"/>
          </w:tcPr>
          <w:p>
            <w:pPr>
              <w:keepNext w:val="0"/>
              <w:keepLines w:val="0"/>
              <w:pageBreakBefore w:val="0"/>
              <w:widowControl/>
              <w:suppressLineNumbers w:val="0"/>
              <w:kinsoku/>
              <w:wordWrap/>
              <w:overflowPunct/>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u w:color="000000"/>
                <w:lang w:val="en-US" w:eastAsia="zh-CN" w:bidi="ar"/>
              </w:rPr>
              <w:t>中标通知书须加盖招标人、招标代理公司公章后方可发出。</w:t>
            </w:r>
          </w:p>
        </w:tc>
      </w:tr>
      <w:tr>
        <w:tblPrEx>
          <w:tblCellMar>
            <w:top w:w="0" w:type="dxa"/>
            <w:left w:w="108" w:type="dxa"/>
            <w:bottom w:w="0" w:type="dxa"/>
            <w:right w:w="108" w:type="dxa"/>
          </w:tblCellMar>
        </w:tblPrEx>
        <w:trPr>
          <w:trHeight w:val="97"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34</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履约担保</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bCs/>
                <w:color w:val="auto"/>
                <w:szCs w:val="21"/>
                <w:highlight w:val="none"/>
              </w:rPr>
            </w:pPr>
            <w:r>
              <w:rPr>
                <w:rFonts w:hint="eastAsia" w:ascii="宋体" w:hAnsi="宋体" w:cs="宋体"/>
                <w:bCs/>
                <w:color w:val="auto"/>
                <w:szCs w:val="21"/>
                <w:highlight w:val="none"/>
              </w:rPr>
              <w:t>履约担保的形式：支持银行转账、银行电汇、银行保函、担保机构担保、保证保险使用</w:t>
            </w:r>
            <w:r>
              <w:rPr>
                <w:rFonts w:hint="eastAsia" w:ascii="宋体" w:hAnsi="宋体" w:cs="宋体"/>
                <w:color w:val="auto"/>
                <w:szCs w:val="21"/>
                <w:highlight w:val="none"/>
              </w:rPr>
              <w:t xml:space="preserve"> </w:t>
            </w:r>
          </w:p>
          <w:p>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履约担保的金额：中标</w:t>
            </w:r>
            <w:r>
              <w:rPr>
                <w:rFonts w:hint="eastAsia" w:ascii="宋体" w:hAnsi="宋体" w:cs="宋体"/>
                <w:color w:val="auto"/>
                <w:szCs w:val="21"/>
                <w:highlight w:val="none"/>
                <w:lang w:val="en-US" w:eastAsia="zh-CN"/>
              </w:rPr>
              <w:t>合同价款</w:t>
            </w:r>
            <w:r>
              <w:rPr>
                <w:rFonts w:hint="eastAsia" w:ascii="宋体" w:hAnsi="宋体" w:cs="宋体"/>
                <w:bCs/>
                <w:color w:val="auto"/>
                <w:szCs w:val="21"/>
                <w:highlight w:val="none"/>
              </w:rPr>
              <w:t>×2%</w:t>
            </w:r>
          </w:p>
          <w:p>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注：投标保证金可转为履约保证金，金额不足的可按以上形式补齐。</w:t>
            </w:r>
          </w:p>
          <w:p>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收款单位：中标后另行通知                 </w:t>
            </w:r>
          </w:p>
          <w:p>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开户银行：中标后另行通知                   </w:t>
            </w:r>
          </w:p>
          <w:p>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银行账号：中标后另行通知                   </w:t>
            </w:r>
          </w:p>
          <w:p>
            <w:pPr>
              <w:keepNext w:val="0"/>
              <w:keepLines w:val="0"/>
              <w:pageBreakBefore w:val="0"/>
              <w:suppressLineNumbers w:val="0"/>
              <w:kinsoku/>
              <w:wordWrap/>
              <w:overflowPunct/>
              <w:autoSpaceDN/>
              <w:bidi w:val="0"/>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缴纳时限：</w:t>
            </w:r>
            <w:r>
              <w:rPr>
                <w:rFonts w:hint="eastAsia" w:ascii="宋体" w:hAnsi="宋体" w:cs="宋体"/>
                <w:color w:val="auto"/>
                <w:szCs w:val="21"/>
                <w:highlight w:val="none"/>
              </w:rPr>
              <w:t>中标人须在中标通知书发出后</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日内完成履约保证金或履约保函缴纳及合同签订。中标单位原因造成合同延期签订的，每延期一天按1000元</w:t>
            </w:r>
            <w:r>
              <w:rPr>
                <w:rFonts w:hint="eastAsia" w:ascii="宋体" w:hAnsi="宋体" w:cs="宋体"/>
                <w:color w:val="auto"/>
                <w:szCs w:val="21"/>
                <w:highlight w:val="none"/>
                <w:lang w:val="en-US" w:eastAsia="zh-CN"/>
              </w:rPr>
              <w:t>处以违约金</w:t>
            </w:r>
            <w:r>
              <w:rPr>
                <w:rFonts w:hint="eastAsia" w:ascii="宋体" w:hAnsi="宋体" w:cs="宋体"/>
                <w:color w:val="auto"/>
                <w:szCs w:val="21"/>
                <w:highlight w:val="none"/>
              </w:rPr>
              <w:t xml:space="preserve">，延期签订情节严重的，招标人有权取消其中标资格。并承担给招标人造成的损失，同时依法承担相应法律责任。  </w:t>
            </w:r>
          </w:p>
          <w:p>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履约保证金退还时限：履约保证金有效期满7日内</w:t>
            </w:r>
            <w:r>
              <w:rPr>
                <w:rFonts w:hint="eastAsia" w:cs="宋体"/>
                <w:color w:val="auto"/>
                <w:sz w:val="21"/>
                <w:szCs w:val="21"/>
                <w:highlight w:val="none"/>
                <w:lang w:val="en-US" w:eastAsia="zh-CN"/>
              </w:rPr>
              <w:t>。</w:t>
            </w:r>
          </w:p>
          <w:p>
            <w:pPr>
              <w:pStyle w:val="4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right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其他相关要求：</w:t>
            </w:r>
          </w:p>
          <w:p>
            <w:pPr>
              <w:keepNext w:val="0"/>
              <w:keepLines w:val="0"/>
              <w:pageBreakBefore w:val="0"/>
              <w:suppressLineNumbers w:val="0"/>
              <w:kinsoku/>
              <w:wordWrap/>
              <w:overflowPunct/>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①保函形式须为见索即付型（无条件保函）；②须有保函编号；③须加盖银行公章而非银行业务专用章；④格式见合同附件；⑤保函的有效期不低于本项目质量验收合格后</w:t>
            </w:r>
            <w:r>
              <w:rPr>
                <w:rFonts w:hint="eastAsia" w:ascii="宋体" w:hAnsi="宋体" w:cs="宋体"/>
                <w:color w:val="auto"/>
                <w:szCs w:val="21"/>
                <w:highlight w:val="none"/>
                <w:lang w:eastAsia="zh-CN"/>
              </w:rPr>
              <w:t>；</w:t>
            </w:r>
            <w:r>
              <w:rPr>
                <w:rFonts w:hint="eastAsia" w:ascii="宋体" w:hAnsi="宋体" w:cs="宋体"/>
                <w:color w:val="auto"/>
                <w:szCs w:val="21"/>
                <w:highlight w:val="none"/>
              </w:rPr>
              <w:t>⑥须由滁州本地银行或在滁州具有分支机构的银行出具。 </w:t>
            </w:r>
          </w:p>
        </w:tc>
      </w:tr>
      <w:tr>
        <w:tblPrEx>
          <w:tblCellMar>
            <w:top w:w="0" w:type="dxa"/>
            <w:left w:w="108" w:type="dxa"/>
            <w:bottom w:w="0" w:type="dxa"/>
            <w:right w:w="108" w:type="dxa"/>
          </w:tblCellMar>
        </w:tblPrEx>
        <w:trPr>
          <w:trHeight w:val="90" w:hRule="atLeast"/>
          <w:jc w:val="center"/>
        </w:trPr>
        <w:tc>
          <w:tcPr>
            <w:tcW w:w="86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35</w:t>
            </w:r>
          </w:p>
        </w:tc>
        <w:tc>
          <w:tcPr>
            <w:tcW w:w="2209"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eastAsia="宋体" w:cs="宋体"/>
                <w:b/>
                <w:bCs/>
                <w:color w:val="auto"/>
                <w:sz w:val="21"/>
                <w:szCs w:val="21"/>
                <w:highlight w:val="none"/>
              </w:rPr>
              <w:t>付款方式</w:t>
            </w:r>
          </w:p>
        </w:tc>
        <w:tc>
          <w:tcPr>
            <w:tcW w:w="725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default" w:ascii="宋体" w:hAnsi="宋体" w:cs="宋体"/>
                <w:color w:val="auto"/>
                <w:szCs w:val="21"/>
                <w:highlight w:val="none"/>
              </w:rPr>
            </w:pPr>
            <w:r>
              <w:rPr>
                <w:rFonts w:hint="eastAsia" w:ascii="宋体" w:hAnsi="宋体" w:eastAsia="宋体" w:cs="宋体"/>
                <w:color w:val="auto"/>
                <w:szCs w:val="21"/>
                <w:highlight w:val="none"/>
                <w:lang w:val="en-US" w:eastAsia="zh-CN"/>
              </w:rPr>
              <w:t>按月进度付款，当月完成进度计划的合格分部分项工程按85%付进度款；工程竣工验收合格后支付至已完成合格工程量价款的90%；竣工结算完成审计且经审核或复核后付至结算总造价的98%，剩余2%作为工程质量保证金，工程缺陷责任期（缺陷责任期两年，从验收合格之日起计算）满回访合格后一个月内付清。质量保证金支持保函（银行保函、担保机构担保、保证保险）使用。采用保函的不再从工程进度款中扣留质量保证金，保函有效期须与工程缺陷责任期截止时间保持一致。</w:t>
            </w:r>
          </w:p>
        </w:tc>
      </w:tr>
      <w:tr>
        <w:tblPrEx>
          <w:tblCellMar>
            <w:top w:w="0" w:type="dxa"/>
            <w:left w:w="108" w:type="dxa"/>
            <w:bottom w:w="0" w:type="dxa"/>
            <w:right w:w="108" w:type="dxa"/>
          </w:tblCellMar>
        </w:tblPrEx>
        <w:trPr>
          <w:trHeight w:val="90" w:hRule="atLeast"/>
          <w:jc w:val="center"/>
        </w:trPr>
        <w:tc>
          <w:tcPr>
            <w:tcW w:w="10328" w:type="dxa"/>
            <w:gridSpan w:val="4"/>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Cs w:val="21"/>
                <w:highlight w:val="none"/>
              </w:rPr>
              <w:t>需要补充的其他内容</w:t>
            </w:r>
          </w:p>
        </w:tc>
      </w:tr>
      <w:tr>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cs="宋体"/>
                <w:color w:val="auto"/>
                <w:szCs w:val="21"/>
                <w:highlight w:val="none"/>
              </w:rPr>
            </w:pPr>
            <w:r>
              <w:rPr>
                <w:rFonts w:hint="eastAsia" w:ascii="宋体" w:hAnsi="宋体" w:cs="宋体"/>
                <w:color w:val="auto"/>
                <w:sz w:val="21"/>
                <w:szCs w:val="21"/>
                <w:highlight w:val="none"/>
              </w:rPr>
              <w:t>招标代理服务费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kern w:val="0"/>
                <w:szCs w:val="21"/>
                <w:highlight w:val="none"/>
              </w:rPr>
            </w:pPr>
            <w:r>
              <w:rPr>
                <w:rFonts w:hint="eastAsia" w:ascii="宋体" w:hAnsi="宋体" w:cs="宋体"/>
                <w:color w:val="auto"/>
                <w:kern w:val="0"/>
                <w:szCs w:val="21"/>
                <w:highlight w:val="none"/>
              </w:rPr>
              <w:t>代理服务具体金额：</w:t>
            </w:r>
            <w:r>
              <w:rPr>
                <w:rFonts w:hint="eastAsia" w:ascii="宋体" w:hAnsi="宋体" w:cs="宋体"/>
                <w:color w:val="auto"/>
                <w:kern w:val="0"/>
                <w:szCs w:val="21"/>
                <w:highlight w:val="none"/>
                <w:lang w:val="en-US" w:eastAsia="zh-CN"/>
              </w:rPr>
              <w:t>8150</w:t>
            </w:r>
            <w:r>
              <w:rPr>
                <w:rFonts w:hint="eastAsia" w:ascii="宋体" w:hAnsi="宋体" w:cs="宋体"/>
                <w:color w:val="auto"/>
                <w:kern w:val="0"/>
                <w:szCs w:val="21"/>
                <w:highlight w:val="none"/>
              </w:rPr>
              <w:t>元</w:t>
            </w:r>
            <w:r>
              <w:rPr>
                <w:rFonts w:hint="eastAsia" w:ascii="宋体" w:hAnsi="宋体" w:cs="宋体"/>
                <w:bCs/>
                <w:color w:val="auto"/>
                <w:kern w:val="0"/>
                <w:highlight w:val="none"/>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kern w:val="0"/>
                <w:szCs w:val="21"/>
                <w:highlight w:val="none"/>
              </w:rPr>
              <w:t>代理服务费支付主体</w:t>
            </w:r>
            <w:r>
              <w:rPr>
                <w:rFonts w:hint="eastAsia" w:ascii="宋体" w:hAnsi="宋体" w:cs="宋体"/>
                <w:color w:val="auto"/>
                <w:szCs w:val="21"/>
                <w:highlight w:val="none"/>
              </w:rPr>
              <w:t>：中标单位</w:t>
            </w:r>
            <w:r>
              <w:rPr>
                <w:rFonts w:hint="eastAsia" w:ascii="宋体" w:hAnsi="宋体" w:cs="宋体"/>
                <w:color w:val="auto"/>
                <w:szCs w:val="21"/>
                <w:highlight w:val="none"/>
                <w:lang w:eastAsia="zh-CN"/>
              </w:rPr>
              <w:t>，</w:t>
            </w:r>
            <w:r>
              <w:rPr>
                <w:rFonts w:hint="eastAsia" w:ascii="宋体" w:hAnsi="宋体" w:cs="宋体"/>
                <w:color w:val="auto"/>
                <w:kern w:val="0"/>
                <w:szCs w:val="21"/>
                <w:highlight w:val="none"/>
              </w:rPr>
              <w:t>由中标单位在领取中标通知书时，一次性支付给代理机构。</w:t>
            </w:r>
          </w:p>
        </w:tc>
      </w:tr>
      <w:tr>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 w:val="21"/>
                <w:szCs w:val="21"/>
                <w:highlight w:val="none"/>
              </w:rPr>
              <w:t>专家评审劳务费</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rPr>
              <w:t>费用或支付标准：</w:t>
            </w:r>
            <w:r>
              <w:rPr>
                <w:rFonts w:hint="eastAsia" w:ascii="宋体" w:hAnsi="宋体" w:cs="宋体"/>
                <w:color w:val="auto"/>
                <w:sz w:val="21"/>
                <w:szCs w:val="21"/>
                <w:highlight w:val="none"/>
                <w:lang w:val="en-US" w:eastAsia="zh-CN"/>
              </w:rPr>
              <w:t>以实际发生为准。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宋体" w:hAnsi="宋体" w:cs="宋体"/>
                <w:color w:val="auto"/>
                <w:kern w:val="0"/>
                <w:szCs w:val="21"/>
                <w:highlight w:val="none"/>
              </w:rPr>
            </w:pPr>
            <w:r>
              <w:rPr>
                <w:rFonts w:hint="eastAsia"/>
                <w:color w:val="auto"/>
                <w:sz w:val="21"/>
                <w:szCs w:val="21"/>
                <w:highlight w:val="none"/>
              </w:rPr>
              <w:t>支付主体：</w:t>
            </w:r>
            <w:r>
              <w:rPr>
                <w:rFonts w:hint="eastAsia"/>
                <w:color w:val="auto"/>
                <w:sz w:val="21"/>
                <w:szCs w:val="21"/>
                <w:highlight w:val="none"/>
                <w:lang w:val="en-US" w:eastAsia="zh-CN"/>
              </w:rPr>
              <w:t>中标单位</w:t>
            </w:r>
          </w:p>
        </w:tc>
      </w:tr>
      <w:tr>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adjustRightInd w:val="0"/>
              <w:snapToGrid w:val="0"/>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相关要求</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1、除非合同另有规定，工程量清单中有标价的单价和总价均已包括了为实施和完成合同工程所需的劳务、材料、机械、质检（自检）、安装、缺陷修复、管理、保险、税费、利润等费用，以及合同明示或暗示的所有责任、义务和一般风险。投标人应将工程量清单与交易文件、合同通用条款、专用条款以及技术规范和图纸一起对照阅读。</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2、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3、承包人用于本合同工程的各类装备的提供、运输、维护、拆卸、拼装等支付的费用，已包括在工程量清单的单价与总价之中。</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4、承包人驻地建设费已列入总价，投标单位自行考察现场，自行考虑围栏、驻地建设等全部费用，合理报价，自行承担风险，结算审核时不予调整。水泥混凝土路面中的压纹、刻缝等工作内容已包含在综合单价中，招标人不再另行结算。</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5、建筑工程一切险按2.5‰、第三者责任险按0.15万元；施工环保费按1.5‰，安全生产费按1.5％、承包人驻地建设0.7万元；所有项目的土石方、混凝土运距等投标人自行考虑报价；投标人在投标让利中综合考虑上述费用。</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6、本项目计量标准执行交通运输部公告2017年第51号《公路工程标准施工招标文件》（2018年版）第八章规定。实际工程量以现场计量为准，结算时据实调整。</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7、在工程施工过程中，招标人单位有权根据现场地形条件对路基路面宽度进行调整，如招标人根据需要更换主要材料或取消某个项目，施工方必须无条件服从，其调整部分由招标人认质认价，结算中调整。</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color w:val="auto"/>
                <w:sz w:val="21"/>
                <w:szCs w:val="21"/>
                <w:highlight w:val="none"/>
              </w:rPr>
              <w:t>8、依据图纸设计，本项目挖石方共计6111.00m3。其中设计标高（道路中心线处的路面顶标高）以上部分的3155.00m3由建设单位负责破碎、开挖及装车，施工单位负责配合及指导，使开挖标高满足设计要求；设计标高以下部分的2956.00m3由中标单位负责破碎、开挖及装车；施工过程中产生的石方均由建设单位负责外运。（投标人应考虑充足的费用，结算时不再调整相关费用）。</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b/>
                <w:bCs/>
                <w:color w:val="auto"/>
                <w:sz w:val="21"/>
                <w:szCs w:val="21"/>
                <w:highlight w:val="none"/>
              </w:rPr>
            </w:pPr>
            <w:r>
              <w:rPr>
                <w:rFonts w:hint="eastAsia"/>
                <w:b/>
                <w:bCs/>
                <w:color w:val="auto"/>
                <w:sz w:val="21"/>
                <w:szCs w:val="21"/>
                <w:highlight w:val="none"/>
              </w:rPr>
              <w:t>9、本工程施工过程中产生的石方中标单位不得自行处理，如中标单位私自处理石料，依法按盗采处理。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b/>
                <w:bCs/>
                <w:color w:val="auto"/>
                <w:sz w:val="21"/>
                <w:szCs w:val="21"/>
                <w:highlight w:val="none"/>
                <w:lang w:eastAsia="zh-CN"/>
              </w:rPr>
            </w:pPr>
            <w:r>
              <w:rPr>
                <w:rFonts w:hint="eastAsia"/>
                <w:b/>
                <w:bCs/>
                <w:color w:val="auto"/>
                <w:sz w:val="21"/>
                <w:szCs w:val="21"/>
                <w:highlight w:val="none"/>
              </w:rPr>
              <w:t>10、本项目施工现场涉及的水电费用，由承包人承担，含在响应报价中</w:t>
            </w:r>
            <w:r>
              <w:rPr>
                <w:rFonts w:hint="eastAsia"/>
                <w:b/>
                <w:bCs/>
                <w:color w:val="auto"/>
                <w:sz w:val="21"/>
                <w:szCs w:val="21"/>
                <w:highlight w:val="none"/>
                <w:lang w:eastAsia="zh-CN"/>
              </w:rPr>
              <w:t>。</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olor w:val="auto"/>
                <w:sz w:val="21"/>
                <w:szCs w:val="21"/>
                <w:highlight w:val="none"/>
              </w:rPr>
            </w:pPr>
            <w:r>
              <w:rPr>
                <w:rFonts w:hint="eastAsia"/>
                <w:b/>
                <w:bCs/>
                <w:color w:val="auto"/>
                <w:sz w:val="21"/>
                <w:szCs w:val="21"/>
                <w:highlight w:val="none"/>
                <w:lang w:val="en-US" w:eastAsia="zh-CN"/>
              </w:rPr>
              <w:t>11、若施工中用到石料产品，必须从我公司采购</w:t>
            </w:r>
            <w:r>
              <w:rPr>
                <w:rFonts w:hint="eastAsia"/>
                <w:b/>
                <w:bCs/>
                <w:color w:val="auto"/>
                <w:sz w:val="21"/>
                <w:szCs w:val="21"/>
                <w:highlight w:val="none"/>
              </w:rPr>
              <w:t>。</w:t>
            </w:r>
          </w:p>
        </w:tc>
      </w:tr>
      <w:tr>
        <w:tblPrEx>
          <w:tblCellMar>
            <w:top w:w="0" w:type="dxa"/>
            <w:left w:w="108" w:type="dxa"/>
            <w:bottom w:w="0" w:type="dxa"/>
            <w:right w:w="108" w:type="dxa"/>
          </w:tblCellMar>
        </w:tblPrEx>
        <w:trPr>
          <w:jc w:val="center"/>
        </w:trPr>
        <w:tc>
          <w:tcPr>
            <w:tcW w:w="1778"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855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1、本招标文件前后条款若有不一致之处，在澄清答疑时又未作出明确规定时，各投标人的投标文件只要满足其中任一条款，均视为对本招标文件的响应。</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2、本项目招标公告与本招标文件不一致之处，以本招标文件为准。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3、本项目严禁非法转包，一经发现，招标人依法处理。</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宋体" w:hAnsi="宋体" w:cs="宋体"/>
                <w:strike/>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、本文件的最终解释权归招标人、招标代理机构所有。</w:t>
            </w:r>
          </w:p>
        </w:tc>
      </w:tr>
    </w:tbl>
    <w:p>
      <w:pPr>
        <w:rPr>
          <w:rFonts w:hint="eastAsia" w:ascii="宋体" w:hAnsi="宋体" w:eastAsia="宋体" w:cs="宋体"/>
          <w:color w:val="auto"/>
          <w:sz w:val="24"/>
          <w:szCs w:val="24"/>
          <w:highlight w:val="none"/>
        </w:rPr>
      </w:pPr>
      <w:bookmarkStart w:id="59" w:name="_Toc35424887"/>
      <w:bookmarkStart w:id="60" w:name="_Toc15058846"/>
      <w:bookmarkStart w:id="61" w:name="_Toc5813"/>
      <w:bookmarkStart w:id="62" w:name="_Toc78803322"/>
      <w:bookmarkStart w:id="63" w:name="_Toc35425053"/>
      <w:r>
        <w:rPr>
          <w:rFonts w:hint="eastAsia" w:ascii="宋体" w:hAnsi="宋体" w:eastAsia="宋体" w:cs="宋体"/>
          <w:color w:val="auto"/>
          <w:sz w:val="24"/>
          <w:szCs w:val="24"/>
          <w:highlight w:val="none"/>
        </w:rPr>
        <w:br w:type="page"/>
      </w:r>
    </w:p>
    <w:p>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总则</w:t>
      </w:r>
      <w:bookmarkEnd w:id="50"/>
      <w:bookmarkEnd w:id="51"/>
      <w:bookmarkEnd w:id="52"/>
      <w:bookmarkEnd w:id="53"/>
      <w:bookmarkEnd w:id="54"/>
      <w:bookmarkEnd w:id="55"/>
      <w:bookmarkEnd w:id="56"/>
      <w:bookmarkEnd w:id="57"/>
      <w:bookmarkEnd w:id="58"/>
      <w:bookmarkEnd w:id="59"/>
      <w:bookmarkEnd w:id="60"/>
      <w:bookmarkEnd w:id="61"/>
      <w:bookmarkEnd w:id="62"/>
      <w:bookmarkEnd w:id="63"/>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kern w:val="44"/>
          <w:highlight w:val="none"/>
        </w:rPr>
      </w:pPr>
      <w:bookmarkStart w:id="64" w:name="_Toc506107270"/>
      <w:bookmarkStart w:id="65" w:name="_Toc246996919"/>
      <w:bookmarkStart w:id="66" w:name="_Toc296602421"/>
      <w:bookmarkStart w:id="67" w:name="_Toc324404816"/>
      <w:bookmarkStart w:id="68" w:name="_Toc35425054"/>
      <w:bookmarkStart w:id="69" w:name="_Toc15058847"/>
      <w:bookmarkStart w:id="70" w:name="_Toc144974498"/>
      <w:bookmarkStart w:id="71" w:name="_Toc247085690"/>
      <w:bookmarkStart w:id="72" w:name="_Toc78803323"/>
      <w:bookmarkStart w:id="73" w:name="_Toc246996176"/>
      <w:bookmarkStart w:id="74" w:name="_Toc4678"/>
      <w:bookmarkStart w:id="75" w:name="_Toc152045530"/>
      <w:bookmarkStart w:id="76" w:name="_Toc35424888"/>
      <w:bookmarkStart w:id="77" w:name="_Toc179632547"/>
      <w:bookmarkStart w:id="78" w:name="_Toc152042306"/>
      <w:r>
        <w:rPr>
          <w:rFonts w:hint="eastAsia" w:ascii="宋体" w:hAnsi="宋体" w:eastAsia="宋体" w:cs="宋体"/>
          <w:color w:val="auto"/>
          <w:kern w:val="44"/>
          <w:highlight w:val="none"/>
        </w:rPr>
        <w:t>1.1 项目概况</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1.1.1根据《中华人民共和国招标投标法》《中华人民共和国招标投标法实施条例》等有关法律、法规和规章的规定，本招标项目已具备招标条件，现对本项目施工进行招标。</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1.1.2 本招标项目招标人：见投标人须知前附表。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1.1.3 本招标项目招标代理机构：见投标人须知前附表。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1.1.4 本招标项目名称：见投标人须知前附表。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1.1.5 本招标项目建设地点：见投标人须知前附表。</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79" w:name="_Toc78803324"/>
      <w:bookmarkStart w:id="80" w:name="_Toc506107271"/>
      <w:bookmarkStart w:id="81" w:name="_Toc144974499"/>
      <w:bookmarkStart w:id="82" w:name="_Toc7142"/>
      <w:bookmarkStart w:id="83" w:name="_Toc246996920"/>
      <w:bookmarkStart w:id="84" w:name="_Toc324404817"/>
      <w:bookmarkStart w:id="85" w:name="_Toc296602422"/>
      <w:bookmarkStart w:id="86" w:name="_Toc179632548"/>
      <w:bookmarkStart w:id="87" w:name="_Toc152045531"/>
      <w:bookmarkStart w:id="88" w:name="_Toc35425055"/>
      <w:bookmarkStart w:id="89" w:name="_Toc35424889"/>
      <w:bookmarkStart w:id="90" w:name="_Toc152042307"/>
      <w:bookmarkStart w:id="91" w:name="_Toc247085691"/>
      <w:bookmarkStart w:id="92" w:name="_Toc15058848"/>
      <w:bookmarkStart w:id="93" w:name="_Toc246996177"/>
      <w:r>
        <w:rPr>
          <w:rFonts w:hint="eastAsia" w:ascii="宋体" w:hAnsi="宋体" w:eastAsia="宋体" w:cs="宋体"/>
          <w:color w:val="auto"/>
          <w:highlight w:val="none"/>
        </w:rPr>
        <w:t>1.2 资金来源和落实情况</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1.2.1 本招标项目的资金来源及出资比例：见投标人须知前附表。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1.2.2 本招标项目的资金落实情况：见投标人须知前附表。</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94" w:name="_Toc15058849"/>
      <w:bookmarkStart w:id="95" w:name="_Toc35425056"/>
      <w:bookmarkStart w:id="96" w:name="_Toc247085692"/>
      <w:bookmarkStart w:id="97" w:name="_Toc35424890"/>
      <w:bookmarkStart w:id="98" w:name="_Toc324404818"/>
      <w:bookmarkStart w:id="99" w:name="_Toc152045532"/>
      <w:bookmarkStart w:id="100" w:name="_Toc179632549"/>
      <w:bookmarkStart w:id="101" w:name="_Toc6330"/>
      <w:bookmarkStart w:id="102" w:name="_Toc506107272"/>
      <w:bookmarkStart w:id="103" w:name="_Toc152042308"/>
      <w:bookmarkStart w:id="104" w:name="_Toc144974500"/>
      <w:bookmarkStart w:id="105" w:name="_Toc246996921"/>
      <w:bookmarkStart w:id="106" w:name="_Toc296602423"/>
      <w:bookmarkStart w:id="107" w:name="_Toc78803325"/>
      <w:bookmarkStart w:id="108" w:name="_Toc246996178"/>
      <w:r>
        <w:rPr>
          <w:rFonts w:hint="eastAsia" w:ascii="宋体" w:hAnsi="宋体" w:eastAsia="宋体" w:cs="宋体"/>
          <w:color w:val="auto"/>
          <w:highlight w:val="none"/>
        </w:rPr>
        <w:t>1.3 招标范围、</w:t>
      </w:r>
      <w:r>
        <w:rPr>
          <w:rFonts w:hint="eastAsia" w:ascii="宋体" w:hAnsi="宋体" w:eastAsia="宋体" w:cs="宋体"/>
          <w:color w:val="auto"/>
          <w:highlight w:val="none"/>
          <w:lang w:val="en-US" w:eastAsia="zh-CN"/>
        </w:rPr>
        <w:t>工期</w:t>
      </w:r>
      <w:r>
        <w:rPr>
          <w:rFonts w:hint="eastAsia" w:ascii="宋体" w:hAnsi="宋体" w:eastAsia="宋体" w:cs="宋体"/>
          <w:color w:val="auto"/>
          <w:highlight w:val="none"/>
        </w:rPr>
        <w:t>、质量要求</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1.3.1 本次招标范围：见投标人须知前附表。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1.3.2 本招标项目的</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1.3.3 本招标项目的质量要求：见投标人须知前附表。</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09" w:name="_Toc179632551"/>
      <w:bookmarkStart w:id="110" w:name="_Toc35425057"/>
      <w:bookmarkStart w:id="111" w:name="_Toc324404819"/>
      <w:bookmarkStart w:id="112" w:name="_Toc246996922"/>
      <w:bookmarkStart w:id="113" w:name="_Toc247085693"/>
      <w:bookmarkStart w:id="114" w:name="_Toc15058850"/>
      <w:bookmarkStart w:id="115" w:name="_Toc246996179"/>
      <w:bookmarkStart w:id="116" w:name="_Toc144974502"/>
      <w:bookmarkStart w:id="117" w:name="_Toc78803326"/>
      <w:bookmarkStart w:id="118" w:name="_Toc152045534"/>
      <w:bookmarkStart w:id="119" w:name="_Toc296602424"/>
      <w:bookmarkStart w:id="120" w:name="_Toc506107273"/>
      <w:bookmarkStart w:id="121" w:name="_Toc26897"/>
      <w:bookmarkStart w:id="122" w:name="_Toc35424891"/>
      <w:bookmarkStart w:id="123" w:name="_Toc152042310"/>
      <w:r>
        <w:rPr>
          <w:rFonts w:hint="eastAsia" w:ascii="宋体" w:hAnsi="宋体" w:eastAsia="宋体" w:cs="宋体"/>
          <w:color w:val="auto"/>
          <w:highlight w:val="none"/>
        </w:rPr>
        <w:t>1.4 投标人资格要求</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1.4.1 投标人应具备承担本项目</w:t>
      </w:r>
      <w:r>
        <w:rPr>
          <w:rFonts w:hint="eastAsia" w:ascii="宋体" w:hAnsi="宋体" w:cs="宋体"/>
          <w:color w:val="auto"/>
          <w:szCs w:val="21"/>
          <w:highlight w:val="none"/>
          <w:lang w:val="en-US" w:eastAsia="zh-CN"/>
        </w:rPr>
        <w:t>施工</w:t>
      </w:r>
      <w:r>
        <w:rPr>
          <w:rFonts w:hint="eastAsia" w:ascii="宋体" w:hAnsi="宋体" w:cs="宋体"/>
          <w:color w:val="auto"/>
          <w:szCs w:val="21"/>
          <w:highlight w:val="none"/>
        </w:rPr>
        <w:t>的资质条件、能力和信誉。</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（1）资质条件：见投标人须知前附表；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w:t>
      </w:r>
      <w:r>
        <w:rPr>
          <w:rFonts w:hint="eastAsia" w:ascii="宋体" w:hAnsi="宋体" w:cs="宋体"/>
          <w:color w:val="auto"/>
          <w:szCs w:val="21"/>
          <w:highlight w:val="none"/>
          <w:lang w:val="en-US" w:eastAsia="zh-CN"/>
        </w:rPr>
        <w:t>经理</w:t>
      </w:r>
      <w:r>
        <w:rPr>
          <w:rFonts w:hint="eastAsia" w:ascii="宋体" w:hAnsi="宋体" w:cs="宋体"/>
          <w:color w:val="auto"/>
          <w:szCs w:val="21"/>
          <w:highlight w:val="none"/>
        </w:rPr>
        <w:t>资格：见投标人须知前附表；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（3）信誉要求：见投标人须知前附表；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）其他要求：见投标人须知前附表。</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 投标人不得存在下列情形之一：</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（1）为招标人不具有独立法人资格的附属机构（单位）；</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（2）与招标人存在利害关系且可能影响招标公正性；</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（3）与本标段的其他投标人同为一个单位负责人；</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（4）与本标段的其他投标人存在控股、管理关系；</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（5）为本标段前期准备提供设计或咨询服务的法人或其任何附属机构（单位）；</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（6）为本标段的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（7）为本标段的代建人；</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（8）为本标段的招标代理机构；</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或代建人或招标代理机构同为一个法定代表人；</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（10）与本标段的</w:t>
      </w:r>
      <w:r>
        <w:rPr>
          <w:rFonts w:hint="eastAsia" w:ascii="宋体" w:hAnsi="宋体" w:cs="宋体"/>
          <w:color w:val="auto"/>
          <w:szCs w:val="21"/>
          <w:highlight w:val="none"/>
          <w:lang w:eastAsia="zh-CN"/>
        </w:rPr>
        <w:t>发包人</w:t>
      </w:r>
      <w:r>
        <w:rPr>
          <w:rFonts w:hint="eastAsia" w:ascii="宋体" w:hAnsi="宋体" w:cs="宋体"/>
          <w:color w:val="auto"/>
          <w:szCs w:val="21"/>
          <w:highlight w:val="none"/>
        </w:rPr>
        <w:t>或代建人或招标代理机构存在控股或参股关系；</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（11）法律法规或投标人须知前附表规定的其他情形。</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1.4.3 单位负责人为同一人或者存在控股、管理关系的不同单位，不得同时参加本招标项目投标。</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24" w:name="_Toc324404820"/>
      <w:bookmarkStart w:id="125" w:name="_Toc15058851"/>
      <w:bookmarkStart w:id="126" w:name="_Toc144974503"/>
      <w:bookmarkStart w:id="127" w:name="_Toc247085694"/>
      <w:bookmarkStart w:id="128" w:name="_Toc35424892"/>
      <w:bookmarkStart w:id="129" w:name="_Toc78803327"/>
      <w:bookmarkStart w:id="130" w:name="_Toc10179"/>
      <w:bookmarkStart w:id="131" w:name="_Toc246996923"/>
      <w:bookmarkStart w:id="132" w:name="_Toc246996180"/>
      <w:bookmarkStart w:id="133" w:name="_Toc296602425"/>
      <w:bookmarkStart w:id="134" w:name="_Toc506107274"/>
      <w:bookmarkStart w:id="135" w:name="_Toc152042311"/>
      <w:bookmarkStart w:id="136" w:name="_Toc179632552"/>
      <w:bookmarkStart w:id="137" w:name="_Toc152045535"/>
      <w:bookmarkStart w:id="138" w:name="_Toc35425058"/>
      <w:r>
        <w:rPr>
          <w:rFonts w:hint="eastAsia" w:ascii="宋体" w:hAnsi="宋体" w:eastAsia="宋体" w:cs="宋体"/>
          <w:color w:val="auto"/>
          <w:highlight w:val="none"/>
        </w:rPr>
        <w:t>1.5 费用承担</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投标人准备和参加投标活动发生的费用自理。</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39" w:name="_Toc15058852"/>
      <w:bookmarkStart w:id="140" w:name="_Toc506107275"/>
      <w:bookmarkStart w:id="141" w:name="_Toc144974504"/>
      <w:bookmarkStart w:id="142" w:name="_Toc246996924"/>
      <w:bookmarkStart w:id="143" w:name="_Toc246996181"/>
      <w:bookmarkStart w:id="144" w:name="_Toc78803328"/>
      <w:bookmarkStart w:id="145" w:name="_Toc152042312"/>
      <w:bookmarkStart w:id="146" w:name="_Toc296602426"/>
      <w:bookmarkStart w:id="147" w:name="_Toc152045536"/>
      <w:bookmarkStart w:id="148" w:name="_Toc4092"/>
      <w:bookmarkStart w:id="149" w:name="_Toc324404821"/>
      <w:bookmarkStart w:id="150" w:name="_Toc179632553"/>
      <w:bookmarkStart w:id="151" w:name="_Toc35424893"/>
      <w:bookmarkStart w:id="152" w:name="_Toc247085695"/>
      <w:bookmarkStart w:id="153" w:name="_Toc35425059"/>
      <w:r>
        <w:rPr>
          <w:rFonts w:hint="eastAsia" w:ascii="宋体" w:hAnsi="宋体" w:eastAsia="宋体" w:cs="宋体"/>
          <w:color w:val="auto"/>
          <w:highlight w:val="none"/>
        </w:rPr>
        <w:t>1.6 保密</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参与招标投标活动的各方应对招标文件和投标文件中的商业和技术等秘密保密，违者应对由此造成的后果承担法律责任。 </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54" w:name="_Toc144974505"/>
      <w:bookmarkStart w:id="155" w:name="_Toc15058853"/>
      <w:bookmarkStart w:id="156" w:name="_Toc246996925"/>
      <w:bookmarkStart w:id="157" w:name="_Toc247085696"/>
      <w:bookmarkStart w:id="158" w:name="_Toc35424894"/>
      <w:bookmarkStart w:id="159" w:name="_Toc179632554"/>
      <w:bookmarkStart w:id="160" w:name="_Toc35425060"/>
      <w:bookmarkStart w:id="161" w:name="_Toc78803329"/>
      <w:bookmarkStart w:id="162" w:name="_Toc506107276"/>
      <w:bookmarkStart w:id="163" w:name="_Toc296602427"/>
      <w:bookmarkStart w:id="164" w:name="_Toc4119"/>
      <w:bookmarkStart w:id="165" w:name="_Toc324404822"/>
      <w:bookmarkStart w:id="166" w:name="_Toc152045537"/>
      <w:bookmarkStart w:id="167" w:name="_Toc246996182"/>
      <w:bookmarkStart w:id="168" w:name="_Toc152042313"/>
      <w:r>
        <w:rPr>
          <w:rFonts w:hint="eastAsia" w:ascii="宋体" w:hAnsi="宋体" w:eastAsia="宋体" w:cs="宋体"/>
          <w:color w:val="auto"/>
          <w:highlight w:val="none"/>
        </w:rPr>
        <w:t>1.7 语言</w:t>
      </w:r>
      <w:bookmarkEnd w:id="154"/>
      <w:r>
        <w:rPr>
          <w:rFonts w:hint="eastAsia" w:ascii="宋体" w:hAnsi="宋体" w:eastAsia="宋体" w:cs="宋体"/>
          <w:color w:val="auto"/>
          <w:highlight w:val="none"/>
        </w:rPr>
        <w:t>文字</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169" w:name="_Toc179632555"/>
      <w:bookmarkStart w:id="170" w:name="_Toc152042314"/>
      <w:bookmarkStart w:id="171" w:name="_Toc246996183"/>
      <w:bookmarkStart w:id="172" w:name="_Toc144974506"/>
      <w:bookmarkStart w:id="173" w:name="_Toc246996926"/>
      <w:bookmarkStart w:id="174" w:name="_Toc247085697"/>
      <w:bookmarkStart w:id="175" w:name="_Toc152045538"/>
      <w:r>
        <w:rPr>
          <w:rFonts w:hint="eastAsia" w:ascii="宋体" w:hAnsi="宋体" w:cs="宋体"/>
          <w:color w:val="auto"/>
          <w:szCs w:val="21"/>
          <w:highlight w:val="none"/>
        </w:rPr>
        <w:t>招标投标文件使用的语言文字为中文。专用术语使用外文的，应附有中文注释。</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76" w:name="_Toc324404823"/>
      <w:bookmarkStart w:id="177" w:name="_Toc78803330"/>
      <w:bookmarkStart w:id="178" w:name="_Toc35424895"/>
      <w:bookmarkStart w:id="179" w:name="_Toc35425061"/>
      <w:bookmarkStart w:id="180" w:name="_Toc15058854"/>
      <w:bookmarkStart w:id="181" w:name="_Toc296602428"/>
      <w:bookmarkStart w:id="182" w:name="_Toc506107277"/>
      <w:bookmarkStart w:id="183" w:name="_Toc13408"/>
      <w:r>
        <w:rPr>
          <w:rFonts w:hint="eastAsia" w:ascii="宋体" w:hAnsi="宋体" w:eastAsia="宋体" w:cs="宋体"/>
          <w:color w:val="auto"/>
          <w:highlight w:val="none"/>
        </w:rPr>
        <w:t>1.8 计量单位</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所有计量均采用中华人民共和国法定计量单位。</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84" w:name="_Toc247513962"/>
      <w:bookmarkStart w:id="185" w:name="_Toc247592876"/>
      <w:bookmarkStart w:id="186" w:name="_Toc35425062"/>
      <w:bookmarkStart w:id="187" w:name="_Toc247527563"/>
      <w:bookmarkStart w:id="188" w:name="_Toc152045539"/>
      <w:bookmarkStart w:id="189" w:name="_Toc152042315"/>
      <w:bookmarkStart w:id="190" w:name="_Toc144974507"/>
      <w:bookmarkStart w:id="191" w:name="_Toc15058855"/>
      <w:bookmarkStart w:id="192" w:name="_Toc78803331"/>
      <w:bookmarkStart w:id="193" w:name="_Toc506107278"/>
      <w:bookmarkStart w:id="194" w:name="_Toc296602429"/>
      <w:bookmarkStart w:id="195" w:name="_Toc35424896"/>
      <w:bookmarkStart w:id="196" w:name="_Toc11493"/>
      <w:bookmarkStart w:id="197" w:name="_Toc324404824"/>
      <w:r>
        <w:rPr>
          <w:rFonts w:hint="eastAsia" w:ascii="宋体" w:hAnsi="宋体" w:eastAsia="宋体" w:cs="宋体"/>
          <w:color w:val="auto"/>
          <w:highlight w:val="none"/>
        </w:rPr>
        <w:t>1.9 踏勘现场</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 xml:space="preserve">1.9.1 投标人须知前附表规定组织踏勘现场的，招标人按投标人须知前附表规定的时间、地点组织投标人踏勘项目现场。 </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1.9.2 投标人踏勘现场发生的费用自理。</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1.9.3 除招标人的原因外，投标人自行负责在踏勘现场中所发生的人员伤亡和财产损失。</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1.9.4 招标人在踏勘现场中介绍的工程场地和相关的周边环境情况，供投标人在编制投标文件时参考，招标人不对投标人据此作出的判断和决策负责。</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198" w:name="_Toc506107279"/>
      <w:bookmarkStart w:id="199" w:name="_Toc78803332"/>
      <w:bookmarkStart w:id="200" w:name="_Toc324404825"/>
      <w:bookmarkStart w:id="201" w:name="_Toc152042316"/>
      <w:bookmarkStart w:id="202" w:name="_Toc247592877"/>
      <w:bookmarkStart w:id="203" w:name="_Toc247513963"/>
      <w:bookmarkStart w:id="204" w:name="_Toc144974508"/>
      <w:bookmarkStart w:id="205" w:name="_Toc296602430"/>
      <w:bookmarkStart w:id="206" w:name="_Toc247527564"/>
      <w:bookmarkStart w:id="207" w:name="_Toc15058856"/>
      <w:bookmarkStart w:id="208" w:name="_Toc35424897"/>
      <w:bookmarkStart w:id="209" w:name="_Toc22954"/>
      <w:bookmarkStart w:id="210" w:name="_Toc152045540"/>
      <w:bookmarkStart w:id="211" w:name="_Toc35425063"/>
      <w:r>
        <w:rPr>
          <w:rFonts w:hint="eastAsia" w:ascii="宋体" w:hAnsi="宋体" w:eastAsia="宋体" w:cs="宋体"/>
          <w:color w:val="auto"/>
          <w:highlight w:val="none"/>
        </w:rPr>
        <w:t>1.10 投标预备会</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1.10.1投标人须知前附表规定召开投标预备会的，招标人按投标人须知前附表规定的时间和地点召开投标预备会，澄清投标人提出的问题。</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1.10.2投标人应在投标人须知前附表规定的时间前，将提出的问题送达招标人，以便招标人澄清。</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1.10.3招标人在投标人须知前附表规定的时间，将对投标人所提的问题进行澄清。该澄清内容为招标文件的组成部分。</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12" w:name="_Toc506107280"/>
      <w:bookmarkStart w:id="213" w:name="_Toc296602431"/>
      <w:bookmarkStart w:id="214" w:name="_Toc15058857"/>
      <w:bookmarkStart w:id="215" w:name="_Toc324404826"/>
      <w:bookmarkStart w:id="216" w:name="_Toc95223347"/>
      <w:bookmarkStart w:id="217" w:name="_Toc60061444"/>
      <w:bookmarkStart w:id="218" w:name="_Toc83301699"/>
      <w:bookmarkStart w:id="219" w:name="_Toc152045542"/>
      <w:bookmarkStart w:id="220" w:name="_Toc246996187"/>
      <w:bookmarkStart w:id="221" w:name="_Toc144974510"/>
      <w:bookmarkStart w:id="222" w:name="_Toc152042318"/>
      <w:bookmarkStart w:id="223" w:name="_Toc35425065"/>
      <w:bookmarkStart w:id="224" w:name="_Toc324404827"/>
      <w:bookmarkStart w:id="225" w:name="_Toc4012"/>
      <w:bookmarkStart w:id="226" w:name="_Toc247085701"/>
      <w:bookmarkStart w:id="227" w:name="_Toc35424899"/>
      <w:bookmarkStart w:id="228" w:name="_Toc15058858"/>
      <w:bookmarkStart w:id="229" w:name="_Toc506107281"/>
      <w:bookmarkStart w:id="230" w:name="_Toc179632560"/>
      <w:bookmarkStart w:id="231" w:name="_Toc246996930"/>
      <w:bookmarkStart w:id="232" w:name="_Toc78803334"/>
      <w:r>
        <w:rPr>
          <w:rFonts w:hint="eastAsia" w:ascii="宋体" w:hAnsi="宋体" w:eastAsia="宋体" w:cs="宋体"/>
          <w:color w:val="auto"/>
          <w:highlight w:val="none"/>
        </w:rPr>
        <w:t xml:space="preserve">1.11 </w:t>
      </w:r>
      <w:bookmarkEnd w:id="212"/>
      <w:bookmarkEnd w:id="213"/>
      <w:bookmarkEnd w:id="214"/>
      <w:bookmarkEnd w:id="215"/>
      <w:r>
        <w:rPr>
          <w:rFonts w:hint="eastAsia" w:ascii="宋体" w:hAnsi="宋体" w:eastAsia="宋体" w:cs="宋体"/>
          <w:color w:val="auto"/>
          <w:highlight w:val="none"/>
        </w:rPr>
        <w:t>分包</w:t>
      </w:r>
      <w:bookmarkEnd w:id="216"/>
      <w:bookmarkEnd w:id="217"/>
      <w:bookmarkEnd w:id="218"/>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1.11.1 投标人拟在中标后将中标项目的部分非主体、非关键性工作进行分包的，应符合以下规定：</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（1）分包内容要求：招标人允许分包或不允许分包的专业工程（如有）应在投标人须知前附表中载明；</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（2）接受分包的第三人资格要求：分包人的资格能力应与其分包工程的标准和规模相适应，且具备投标人须知前附表中规定的资格条件；</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（3）其他要求：</w:t>
      </w:r>
      <w:r>
        <w:rPr>
          <w:rFonts w:hint="eastAsia" w:ascii="宋体" w:hAnsi="宋体" w:cs="宋体"/>
          <w:color w:val="auto"/>
          <w:szCs w:val="21"/>
          <w:highlight w:val="none"/>
          <w:lang w:val="en-US" w:eastAsia="zh-CN"/>
        </w:rPr>
        <w:t>无。</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1.11.2中标人不得向他人转让中标项目，接受分包的人不得再次分包。中标人应就分包项目向招标人负责，接受分包的人就分包项目承担连带责任。</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233" w:name="_Toc83301700"/>
      <w:bookmarkStart w:id="234" w:name="_Toc95223348"/>
      <w:bookmarkStart w:id="235" w:name="_Toc60061445"/>
      <w:r>
        <w:rPr>
          <w:rFonts w:hint="eastAsia" w:ascii="宋体" w:hAnsi="宋体" w:eastAsia="宋体" w:cs="宋体"/>
          <w:color w:val="auto"/>
          <w:highlight w:val="none"/>
        </w:rPr>
        <w:t>1.12 偏离</w:t>
      </w:r>
      <w:bookmarkEnd w:id="233"/>
      <w:bookmarkEnd w:id="234"/>
      <w:bookmarkEnd w:id="235"/>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1.12.1投标文件偏离招标文件某些要求，视为投标文件存在偏差。偏差包括重大偏差和细微偏差。</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1.12.2投标文件应对招标文件的实质性要求和条件作出满足性或更有利于招标人的响应，否则，视为投标文件存在重大偏差，投标人的投标将被否决。</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投标文件存在第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章“评标办法”中所列任一无效投标情形的，均属于存在重大偏差。</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1.12.3投标文件中的下列偏差为细微偏差：</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章“评标办法”的规定对投标价进行算术性错误修正及其他错误修正后，最终投标报价未超过最高投标限价（如有）或未被否决投标的情况下，出现第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章“评标办法”规定的算术性错误和投标报价的其他错误；</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（2）投标文件个别文字有遗漏错误等不影响投标文件实质性内容的偏差。</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1.12.4评标委员会对投标文件中的细微偏差按如下规定处理：</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项（1）目所述的细微偏差，按照第</w:t>
      </w:r>
      <w:r>
        <w:rPr>
          <w:rFonts w:hint="eastAsia" w:ascii="宋体" w:hAnsi="宋体" w:cs="宋体"/>
          <w:color w:val="auto"/>
          <w:szCs w:val="21"/>
          <w:highlight w:val="none"/>
          <w:lang w:val="en-US" w:eastAsia="zh-CN"/>
        </w:rPr>
        <w:t>三</w:t>
      </w:r>
      <w:r>
        <w:rPr>
          <w:rFonts w:hint="eastAsia" w:ascii="宋体" w:hAnsi="宋体" w:cs="宋体"/>
          <w:color w:val="auto"/>
          <w:szCs w:val="21"/>
          <w:highlight w:val="none"/>
        </w:rPr>
        <w:t>章“评标办法”的规定予以修正并要求投标人进行澄清；</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对于本章第 1.12.3 项（2）目所述的细微偏差，可要求投标人对细微偏差进行澄清。</w:t>
      </w:r>
    </w:p>
    <w:p>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 招标文件</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36" w:name="_Toc246996188"/>
      <w:bookmarkStart w:id="237" w:name="_Toc144974511"/>
      <w:bookmarkStart w:id="238" w:name="_Toc15058859"/>
      <w:bookmarkStart w:id="239" w:name="_Toc247085702"/>
      <w:bookmarkStart w:id="240" w:name="_Toc246996931"/>
      <w:bookmarkStart w:id="241" w:name="_Toc506107282"/>
      <w:bookmarkStart w:id="242" w:name="_Toc13213"/>
      <w:bookmarkStart w:id="243" w:name="_Toc152045543"/>
      <w:bookmarkStart w:id="244" w:name="_Toc179632561"/>
      <w:bookmarkStart w:id="245" w:name="_Toc324404828"/>
      <w:bookmarkStart w:id="246" w:name="_Toc35425066"/>
      <w:bookmarkStart w:id="247" w:name="_Toc35424900"/>
      <w:bookmarkStart w:id="248" w:name="_Toc78803335"/>
      <w:bookmarkStart w:id="249" w:name="_Toc296602433"/>
      <w:bookmarkStart w:id="250" w:name="_Toc152042319"/>
      <w:r>
        <w:rPr>
          <w:rFonts w:hint="eastAsia" w:ascii="宋体" w:hAnsi="宋体" w:eastAsia="宋体" w:cs="宋体"/>
          <w:color w:val="auto"/>
          <w:highlight w:val="none"/>
        </w:rPr>
        <w:t>2.1 招标文件的组成</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本招标文件包括：</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（1）招标公告；</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（2）投标人须知；</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（3）资格审查办法</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（4）评标办法；</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（5）合同条款及格式；</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（6）工程量清单； </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（7）图纸；</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）投标文件格式；</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）投标人须知前附表规定的其他材料。</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2.1.2 根据本章第1.10款、第2.2款和第2.3款对招标文件所作的澄清、修改，构成招标文件的组成部分。</w:t>
      </w:r>
    </w:p>
    <w:p>
      <w:pPr>
        <w:pStyle w:val="20"/>
        <w:pageBreakBefore w:val="0"/>
        <w:widowControl w:val="0"/>
        <w:kinsoku/>
        <w:wordWrap/>
        <w:overflowPunct/>
        <w:topLinePunct w:val="0"/>
        <w:autoSpaceDE/>
        <w:autoSpaceDN/>
        <w:bidi w:val="0"/>
        <w:adjustRightInd w:val="0"/>
        <w:snapToGrid w:val="0"/>
        <w:spacing w:after="0" w:line="420" w:lineRule="exact"/>
        <w:ind w:firstLine="420" w:firstLineChars="200"/>
        <w:textAlignment w:val="auto"/>
        <w:rPr>
          <w:color w:val="auto"/>
          <w:highlight w:val="none"/>
        </w:rPr>
      </w:pPr>
      <w:r>
        <w:rPr>
          <w:rFonts w:hint="eastAsia" w:ascii="宋体" w:hAnsi="宋体" w:cs="宋体"/>
          <w:color w:val="auto"/>
          <w:szCs w:val="21"/>
          <w:highlight w:val="none"/>
        </w:rPr>
        <w:t>2.1.3当招标文件、招标文件的澄清或修改等在同一内容的表述上不一致时，以最后发出的文件为准。</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51" w:name="_Toc35424901"/>
      <w:bookmarkStart w:id="252" w:name="_Toc246996189"/>
      <w:bookmarkStart w:id="253" w:name="_Toc152045544"/>
      <w:bookmarkStart w:id="254" w:name="_Toc78803336"/>
      <w:bookmarkStart w:id="255" w:name="_Toc15058860"/>
      <w:bookmarkStart w:id="256" w:name="_Toc32239"/>
      <w:bookmarkStart w:id="257" w:name="_Toc35425067"/>
      <w:bookmarkStart w:id="258" w:name="_Toc247085703"/>
      <w:bookmarkStart w:id="259" w:name="_Toc152042320"/>
      <w:bookmarkStart w:id="260" w:name="_Toc246996932"/>
      <w:bookmarkStart w:id="261" w:name="_Toc144974512"/>
      <w:bookmarkStart w:id="262" w:name="_Toc179632562"/>
      <w:bookmarkStart w:id="263" w:name="_Toc324404829"/>
      <w:bookmarkStart w:id="264" w:name="_Toc296602434"/>
      <w:bookmarkStart w:id="265" w:name="_Toc506107283"/>
      <w:r>
        <w:rPr>
          <w:rFonts w:hint="eastAsia" w:ascii="宋体" w:hAnsi="宋体" w:eastAsia="宋体" w:cs="宋体"/>
          <w:color w:val="auto"/>
          <w:highlight w:val="none"/>
        </w:rPr>
        <w:t>2.2 招标文件的</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r>
        <w:rPr>
          <w:rFonts w:hint="eastAsia" w:ascii="宋体" w:hAnsi="宋体" w:eastAsia="宋体" w:cs="宋体"/>
          <w:color w:val="auto"/>
          <w:highlight w:val="none"/>
          <w:lang w:val="en-US" w:eastAsia="zh-CN"/>
        </w:rPr>
        <w:t>异议</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投标人或其他利害关系人投标人应仔细阅读和检查招标文件的全部内容，对招标文件有异议的，应在投标人须知前附表规定的</w:t>
      </w:r>
      <w:r>
        <w:rPr>
          <w:rFonts w:hint="eastAsia" w:ascii="宋体" w:hAnsi="宋体" w:eastAsia="宋体" w:cs="宋体"/>
          <w:color w:val="auto"/>
          <w:szCs w:val="21"/>
          <w:highlight w:val="none"/>
          <w:lang w:val="en-US" w:eastAsia="zh-CN"/>
        </w:rPr>
        <w:t>时间前以</w:t>
      </w:r>
      <w:r>
        <w:rPr>
          <w:rFonts w:hint="eastAsia" w:ascii="宋体" w:hAnsi="宋体" w:eastAsia="宋体" w:cs="宋体"/>
          <w:color w:val="auto"/>
          <w:szCs w:val="21"/>
          <w:highlight w:val="none"/>
        </w:rPr>
        <w:t>网上留言或书面形式提出。招标人将在</w:t>
      </w:r>
      <w:r>
        <w:rPr>
          <w:rFonts w:hint="eastAsia" w:ascii="宋体" w:hAnsi="宋体" w:cs="宋体"/>
          <w:color w:val="auto"/>
          <w:szCs w:val="21"/>
          <w:highlight w:val="none"/>
          <w:lang w:eastAsia="zh-CN"/>
        </w:rPr>
        <w:t>“滁州市兴滁矿业投资集团有限公司”（http://www.xckytz.com/）</w:t>
      </w:r>
      <w:r>
        <w:rPr>
          <w:rFonts w:hint="eastAsia" w:ascii="宋体" w:hAnsi="宋体" w:cs="宋体"/>
          <w:color w:val="auto"/>
          <w:szCs w:val="21"/>
          <w:highlight w:val="none"/>
        </w:rPr>
        <w:t xml:space="preserve">发布，但不指明澄清问题的来源。 </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lang w:eastAsia="zh-CN"/>
        </w:rPr>
      </w:pPr>
      <w:bookmarkStart w:id="266" w:name="_Toc247085704"/>
      <w:bookmarkStart w:id="267" w:name="_Toc324404830"/>
      <w:bookmarkStart w:id="268" w:name="_Toc296602435"/>
      <w:bookmarkStart w:id="269" w:name="_Toc246996190"/>
      <w:bookmarkStart w:id="270" w:name="_Toc246996933"/>
      <w:bookmarkStart w:id="271" w:name="_Toc24633"/>
      <w:bookmarkStart w:id="272" w:name="_Toc506107284"/>
      <w:bookmarkStart w:id="273" w:name="_Toc179632563"/>
      <w:bookmarkStart w:id="274" w:name="_Toc152045545"/>
      <w:bookmarkStart w:id="275" w:name="_Toc15058861"/>
      <w:bookmarkStart w:id="276" w:name="_Toc35425068"/>
      <w:bookmarkStart w:id="277" w:name="_Toc78803337"/>
      <w:bookmarkStart w:id="278" w:name="_Toc144974513"/>
      <w:bookmarkStart w:id="279" w:name="_Toc35424902"/>
      <w:bookmarkStart w:id="280" w:name="_Toc152042321"/>
      <w:r>
        <w:rPr>
          <w:rFonts w:hint="eastAsia" w:ascii="宋体" w:hAnsi="宋体" w:eastAsia="宋体" w:cs="宋体"/>
          <w:color w:val="auto"/>
          <w:highlight w:val="none"/>
        </w:rPr>
        <w:t>2.3 招标文件的</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Pr>
          <w:rFonts w:hint="eastAsia" w:ascii="宋体" w:hAnsi="宋体" w:eastAsia="宋体" w:cs="宋体"/>
          <w:color w:val="auto"/>
          <w:highlight w:val="none"/>
          <w:lang w:val="en-US" w:eastAsia="zh-CN"/>
        </w:rPr>
        <w:t>澄清</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pacing w:val="0"/>
          <w:sz w:val="21"/>
          <w:szCs w:val="21"/>
          <w:highlight w:val="none"/>
        </w:rPr>
      </w:pPr>
      <w:r>
        <w:rPr>
          <w:rFonts w:hint="eastAsia" w:ascii="宋体" w:hAnsi="宋体" w:cs="宋体"/>
          <w:color w:val="auto"/>
          <w:spacing w:val="0"/>
          <w:sz w:val="21"/>
          <w:szCs w:val="21"/>
          <w:highlight w:val="none"/>
        </w:rPr>
        <w:t>招标人可以澄清招标文件，并以投标人须知前附表规定澄清的方式在</w:t>
      </w:r>
      <w:r>
        <w:rPr>
          <w:rFonts w:hint="eastAsia" w:ascii="宋体" w:hAnsi="宋体" w:cs="宋体"/>
          <w:color w:val="auto"/>
          <w:spacing w:val="0"/>
          <w:sz w:val="21"/>
          <w:szCs w:val="21"/>
          <w:highlight w:val="none"/>
          <w:lang w:eastAsia="zh-CN"/>
        </w:rPr>
        <w:t>“滁州市兴滁矿业投资集团有限公司”（http://www.xckytz.com/）</w:t>
      </w:r>
      <w:r>
        <w:rPr>
          <w:rFonts w:hint="eastAsia"/>
          <w:color w:val="auto"/>
          <w:spacing w:val="0"/>
          <w:sz w:val="21"/>
          <w:highlight w:val="none"/>
        </w:rPr>
        <w:t xml:space="preserve"> </w:t>
      </w:r>
      <w:r>
        <w:rPr>
          <w:rFonts w:hint="eastAsia" w:ascii="宋体" w:hAnsi="宋体" w:cs="宋体"/>
          <w:color w:val="auto"/>
          <w:spacing w:val="0"/>
          <w:sz w:val="21"/>
          <w:szCs w:val="21"/>
          <w:highlight w:val="none"/>
        </w:rPr>
        <w:t>发布。但如果修改内容影响投标文件编制的，将相应延长投标截止时间。</w:t>
      </w:r>
    </w:p>
    <w:p>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281" w:name="_Toc78803339"/>
      <w:bookmarkStart w:id="282" w:name="_Toc324404832"/>
      <w:bookmarkStart w:id="283" w:name="_Toc246996191"/>
      <w:bookmarkStart w:id="284" w:name="_Toc35424904"/>
      <w:bookmarkStart w:id="285" w:name="_Toc35425070"/>
      <w:bookmarkStart w:id="286" w:name="_Toc15058863"/>
      <w:bookmarkStart w:id="287" w:name="_Toc6464"/>
      <w:bookmarkStart w:id="288" w:name="_Toc144974514"/>
      <w:bookmarkStart w:id="289" w:name="_Toc247085705"/>
      <w:bookmarkStart w:id="290" w:name="_Toc152045546"/>
      <w:bookmarkStart w:id="291" w:name="_Toc179632564"/>
      <w:bookmarkStart w:id="292" w:name="_Toc152042322"/>
      <w:bookmarkStart w:id="293" w:name="_Toc246996934"/>
      <w:bookmarkStart w:id="294" w:name="_Toc506107285"/>
      <w:r>
        <w:rPr>
          <w:rFonts w:hint="eastAsia" w:ascii="宋体" w:hAnsi="宋体" w:eastAsia="宋体" w:cs="宋体"/>
          <w:color w:val="auto"/>
          <w:sz w:val="24"/>
          <w:szCs w:val="24"/>
          <w:highlight w:val="none"/>
        </w:rPr>
        <w:t>3. 投标文件</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295" w:name="_Toc35424905"/>
      <w:bookmarkStart w:id="296" w:name="_Toc324404833"/>
      <w:bookmarkStart w:id="297" w:name="_Toc246996935"/>
      <w:bookmarkStart w:id="298" w:name="_Toc78803340"/>
      <w:bookmarkStart w:id="299" w:name="_Toc246996192"/>
      <w:bookmarkStart w:id="300" w:name="_Toc179632565"/>
      <w:bookmarkStart w:id="301" w:name="_Toc296602437"/>
      <w:bookmarkStart w:id="302" w:name="_Toc15058864"/>
      <w:bookmarkStart w:id="303" w:name="_Toc144974515"/>
      <w:bookmarkStart w:id="304" w:name="_Toc35425071"/>
      <w:bookmarkStart w:id="305" w:name="_Toc152042323"/>
      <w:bookmarkStart w:id="306" w:name="_Toc152045547"/>
      <w:bookmarkStart w:id="307" w:name="_Toc157"/>
      <w:bookmarkStart w:id="308" w:name="_Toc247085706"/>
      <w:bookmarkStart w:id="309" w:name="_Toc506107286"/>
      <w:r>
        <w:rPr>
          <w:rFonts w:hint="eastAsia" w:ascii="宋体" w:hAnsi="宋体" w:eastAsia="宋体" w:cs="宋体"/>
          <w:color w:val="auto"/>
          <w:highlight w:val="none"/>
        </w:rPr>
        <w:t>3.1 投标文件的组成</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投标文件的具体组成部分及材料要求详见本招标文件第</w:t>
      </w:r>
      <w:r>
        <w:rPr>
          <w:rFonts w:hint="eastAsia" w:ascii="宋体" w:hAnsi="宋体" w:cs="宋体"/>
          <w:color w:val="auto"/>
          <w:szCs w:val="21"/>
          <w:highlight w:val="none"/>
          <w:lang w:val="en-US" w:eastAsia="zh-CN"/>
        </w:rPr>
        <w:t>七</w:t>
      </w:r>
      <w:r>
        <w:rPr>
          <w:rFonts w:hint="eastAsia" w:ascii="宋体" w:hAnsi="宋体" w:cs="宋体"/>
          <w:color w:val="auto"/>
          <w:szCs w:val="21"/>
          <w:highlight w:val="none"/>
        </w:rPr>
        <w:t>章“投标文件格式”。</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10" w:name="_Toc15058865"/>
      <w:bookmarkStart w:id="311" w:name="_Toc144974516"/>
      <w:bookmarkStart w:id="312" w:name="_Toc247085707"/>
      <w:bookmarkStart w:id="313" w:name="_Toc35425072"/>
      <w:bookmarkStart w:id="314" w:name="_Toc152042324"/>
      <w:bookmarkStart w:id="315" w:name="_Toc324404834"/>
      <w:bookmarkStart w:id="316" w:name="_Toc6829"/>
      <w:bookmarkStart w:id="317" w:name="_Toc179632566"/>
      <w:bookmarkStart w:id="318" w:name="_Toc78803341"/>
      <w:bookmarkStart w:id="319" w:name="_Toc246996193"/>
      <w:bookmarkStart w:id="320" w:name="_Toc296602438"/>
      <w:bookmarkStart w:id="321" w:name="_Toc506107287"/>
      <w:bookmarkStart w:id="322" w:name="_Toc152045548"/>
      <w:bookmarkStart w:id="323" w:name="_Toc246996936"/>
      <w:bookmarkStart w:id="324" w:name="_Toc35424906"/>
      <w:r>
        <w:rPr>
          <w:rFonts w:hint="eastAsia" w:ascii="宋体" w:hAnsi="宋体" w:eastAsia="宋体" w:cs="宋体"/>
          <w:color w:val="auto"/>
          <w:highlight w:val="none"/>
        </w:rPr>
        <w:t>3.2 投标报价</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25" w:name="_Toc247085708"/>
      <w:bookmarkStart w:id="326" w:name="_Toc324404835"/>
      <w:bookmarkStart w:id="327" w:name="_Toc506107288"/>
      <w:bookmarkStart w:id="328" w:name="_Toc144974517"/>
      <w:bookmarkStart w:id="329" w:name="_Toc78803342"/>
      <w:bookmarkStart w:id="330" w:name="_Toc15058866"/>
      <w:bookmarkStart w:id="331" w:name="_Toc179632567"/>
      <w:bookmarkStart w:id="332" w:name="_Toc246996194"/>
      <w:bookmarkStart w:id="333" w:name="_Toc246996937"/>
      <w:bookmarkStart w:id="334" w:name="_Toc35425073"/>
      <w:bookmarkStart w:id="335" w:name="_Toc152045549"/>
      <w:bookmarkStart w:id="336" w:name="_Toc152042325"/>
      <w:bookmarkStart w:id="337" w:name="_Toc35424907"/>
      <w:bookmarkStart w:id="338" w:name="_Toc31735"/>
      <w:bookmarkStart w:id="339" w:name="_Toc296602439"/>
      <w:r>
        <w:rPr>
          <w:rFonts w:hint="eastAsia" w:ascii="宋体" w:hAnsi="宋体" w:eastAsia="宋体" w:cs="宋体"/>
          <w:color w:val="auto"/>
          <w:szCs w:val="21"/>
          <w:highlight w:val="none"/>
        </w:rPr>
        <w:t>3.2.1投标报价应包括国家规定的增值税税金，除投标人须知前附表另有规定外，增值税税金按一般计税方法计算。投标人应按第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章“投标文件格式”的要求在投标函中进行报价并填写工程量清单相应表格。</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3.2.2投标人应充分了解本项目的总体情况以及影响投标报价的其他要素。</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3.2.3投标人在投标截止时间前修改投标函中的投标报价总额，应同时修改“已标价工程量清单”中的相应报价，投标报价总额为各分项金额之和。此修改须符合本章第4.4款的有关要求。</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3.2.4招标人设有最高投标限价的，投标人的投标报价不得超过最高投标限价，最高投标限价在投标人须知前附表中载明。</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3.3 投标有效期</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除投标人须知前附表另有规定外，投标有效期为90天。</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3.3.2在投标有效期内，投标人撤销或修改其投标文件的，应承担招标文件和法律规定的责任。</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340" w:name="_Toc78803343"/>
      <w:bookmarkStart w:id="341" w:name="_Toc35425074"/>
      <w:bookmarkStart w:id="342" w:name="_Toc246996938"/>
      <w:bookmarkStart w:id="343" w:name="_Toc247085709"/>
      <w:bookmarkStart w:id="344" w:name="_Toc246996195"/>
      <w:bookmarkStart w:id="345" w:name="_Toc152045550"/>
      <w:bookmarkStart w:id="346" w:name="_Toc35424908"/>
      <w:bookmarkStart w:id="347" w:name="_Toc10714"/>
      <w:bookmarkStart w:id="348" w:name="_Toc506107289"/>
      <w:bookmarkStart w:id="349" w:name="_Toc324404836"/>
      <w:bookmarkStart w:id="350" w:name="_Toc152042326"/>
      <w:bookmarkStart w:id="351" w:name="_Toc15058867"/>
      <w:bookmarkStart w:id="352" w:name="_Toc144974518"/>
      <w:bookmarkStart w:id="353" w:name="_Toc296602440"/>
      <w:bookmarkStart w:id="354" w:name="_Toc179632568"/>
      <w:r>
        <w:rPr>
          <w:rFonts w:hint="eastAsia" w:ascii="宋体" w:hAnsi="宋体" w:eastAsia="宋体" w:cs="宋体"/>
          <w:color w:val="auto"/>
          <w:highlight w:val="none"/>
        </w:rPr>
        <w:t>3.4 投标保证金</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 投标人须知前附表规定递交投标保证金的，投标人在递交投标文件的同时，应按投标人须知前附表规定的金额、担保形式规定的或者事先经过招标人认可的保证金格式递交保证金，并作为其投标文件的组成部分。联合体投标的，其投标保证金由牵头人递交，并应符合投标人须知前附表的规定。</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论采取何种形式的投标保证金，投标保证金有效期均应与投标有效期一致（采用保函的保证期截止时间不得早于该项目投标有效期的截止时间）。招标人如果按本章第3.3.3项的规定延长了投标有效期，则投标保证金的有效期也相应延长。</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 投标人不按本章第3.4.1项要求提交投标保证金的，评标委员会将否决其投标。</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有下列情形之一的，投标保证金将不予退还： </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（1）投标截止后投标人撤销投标文件的；</w:t>
      </w:r>
    </w:p>
    <w:p>
      <w:pPr>
        <w:pageBreakBefore w:val="0"/>
        <w:widowControl w:val="0"/>
        <w:kinsoku/>
        <w:wordWrap/>
        <w:overflowPunct/>
        <w:topLinePunct w:val="0"/>
        <w:autoSpaceDE/>
        <w:autoSpaceDN/>
        <w:bidi w:val="0"/>
        <w:spacing w:line="420" w:lineRule="exact"/>
        <w:ind w:firstLine="420" w:firstLineChars="200"/>
        <w:jc w:val="left"/>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（2）中标人无正当理由不与招标人订立合同，在签订合同时向招标人提出附加条件，或者不按照招标文件要求提交履约保证金的。</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55" w:name="_Toc324404837"/>
      <w:bookmarkStart w:id="356" w:name="_Toc19037"/>
      <w:bookmarkStart w:id="357" w:name="_Toc15058868"/>
      <w:bookmarkStart w:id="358" w:name="_Toc35425075"/>
      <w:bookmarkStart w:id="359" w:name="_Toc35424909"/>
      <w:bookmarkStart w:id="360" w:name="_Toc78803344"/>
      <w:bookmarkStart w:id="361" w:name="_Toc296602442"/>
      <w:bookmarkStart w:id="362" w:name="_Toc506107290"/>
      <w:bookmarkStart w:id="363" w:name="_Toc144974521"/>
      <w:bookmarkStart w:id="364" w:name="_Toc246996940"/>
      <w:bookmarkStart w:id="365" w:name="_Toc246996197"/>
      <w:bookmarkStart w:id="366" w:name="_Toc152045553"/>
      <w:bookmarkStart w:id="367" w:name="_Toc247085711"/>
      <w:bookmarkStart w:id="368" w:name="_Toc179632571"/>
      <w:bookmarkStart w:id="369" w:name="_Toc152042329"/>
      <w:r>
        <w:rPr>
          <w:rFonts w:hint="eastAsia" w:ascii="宋体" w:hAnsi="宋体" w:eastAsia="宋体" w:cs="宋体"/>
          <w:color w:val="auto"/>
          <w:highlight w:val="none"/>
        </w:rPr>
        <w:t>3.5投标文件的编制</w:t>
      </w:r>
      <w:bookmarkEnd w:id="355"/>
      <w:bookmarkEnd w:id="356"/>
      <w:bookmarkEnd w:id="357"/>
      <w:bookmarkEnd w:id="358"/>
      <w:bookmarkEnd w:id="359"/>
      <w:bookmarkEnd w:id="360"/>
      <w:bookmarkEnd w:id="361"/>
      <w:bookmarkEnd w:id="362"/>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3.5.1投标文件应按第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投标文件格式”进行编写，如有必要，可以增加附页，作为投标文件的组成部分。其中，投标函在满足招标文件实质性要求的基础上，可以提出比招标文件要求更有利于招标人的承诺。施工组织设计编制的特殊要求见投标人须知前附表。</w:t>
      </w:r>
    </w:p>
    <w:bookmarkEnd w:id="363"/>
    <w:bookmarkEnd w:id="364"/>
    <w:bookmarkEnd w:id="365"/>
    <w:bookmarkEnd w:id="366"/>
    <w:bookmarkEnd w:id="367"/>
    <w:bookmarkEnd w:id="368"/>
    <w:bookmarkEnd w:id="369"/>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370" w:name="_Toc152042331"/>
      <w:bookmarkStart w:id="371" w:name="_Toc246996199"/>
      <w:bookmarkStart w:id="372" w:name="_Toc246996942"/>
      <w:bookmarkStart w:id="373" w:name="_Toc152045555"/>
      <w:bookmarkStart w:id="374" w:name="_Toc144974523"/>
      <w:bookmarkStart w:id="375" w:name="_Toc247085713"/>
      <w:bookmarkStart w:id="376" w:name="_Toc324404838"/>
      <w:bookmarkStart w:id="377" w:name="_Toc179632573"/>
      <w:r>
        <w:rPr>
          <w:rFonts w:hint="eastAsia" w:ascii="宋体" w:hAnsi="宋体" w:eastAsia="宋体" w:cs="宋体"/>
          <w:color w:val="auto"/>
          <w:szCs w:val="21"/>
          <w:highlight w:val="none"/>
        </w:rPr>
        <w:t>3.5.2本次投标不需要提供纸质投标文件，投标人应按照</w:t>
      </w:r>
      <w:r>
        <w:rPr>
          <w:rFonts w:hint="eastAsia" w:ascii="宋体" w:hAnsi="宋体" w:eastAsia="宋体" w:cs="宋体"/>
          <w:color w:val="auto"/>
          <w:szCs w:val="21"/>
          <w:highlight w:val="none"/>
          <w:lang w:val="en-US" w:eastAsia="zh-CN"/>
        </w:rPr>
        <w:t>招标文件</w:t>
      </w:r>
      <w:r>
        <w:rPr>
          <w:rFonts w:hint="eastAsia" w:ascii="宋体" w:hAnsi="宋体" w:eastAsia="宋体" w:cs="宋体"/>
          <w:color w:val="auto"/>
          <w:szCs w:val="21"/>
          <w:highlight w:val="none"/>
        </w:rPr>
        <w:t>的要求，制作、签章、</w:t>
      </w:r>
      <w:r>
        <w:rPr>
          <w:rFonts w:hint="eastAsia" w:ascii="宋体" w:hAnsi="宋体" w:eastAsia="宋体" w:cs="宋体"/>
          <w:color w:val="auto"/>
          <w:szCs w:val="21"/>
          <w:highlight w:val="none"/>
          <w:lang w:val="en-US" w:eastAsia="zh-CN"/>
        </w:rPr>
        <w:t>发送</w:t>
      </w:r>
      <w:r>
        <w:rPr>
          <w:rFonts w:hint="eastAsia" w:ascii="宋体" w:hAnsi="宋体" w:eastAsia="宋体" w:cs="宋体"/>
          <w:color w:val="auto"/>
          <w:szCs w:val="21"/>
          <w:highlight w:val="none"/>
        </w:rPr>
        <w:t>加密的电子投标文件。</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3.5.3投标文件应当对招标文件有关工期、投标有效期、质量要求、技术标准和要求、招标范围等实质性内容作出响应。</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招标人有权核查投标人在投标文件中提供的资料，若在评标期间发现投标人提供了虚假资料，其投标将被否决；若在签订合同前发现作为中标候选人的投标人提供了虚假资料，招标人有权取消其中标资格；如果签订合同后发现中标人提供了虚假材料，招标人有权解除合同。同时招标人将投标人上述弄虚作假行为上报</w:t>
      </w:r>
      <w:r>
        <w:rPr>
          <w:rFonts w:hint="eastAsia" w:ascii="宋体" w:hAnsi="宋体" w:eastAsia="宋体" w:cs="宋体"/>
          <w:color w:val="auto"/>
          <w:szCs w:val="21"/>
          <w:highlight w:val="none"/>
          <w:lang w:val="en-US" w:eastAsia="zh-CN"/>
        </w:rPr>
        <w:t>相关</w:t>
      </w:r>
      <w:r>
        <w:rPr>
          <w:rFonts w:hint="eastAsia" w:ascii="宋体" w:hAnsi="宋体" w:eastAsia="宋体" w:cs="宋体"/>
          <w:color w:val="auto"/>
          <w:szCs w:val="21"/>
          <w:highlight w:val="none"/>
        </w:rPr>
        <w:t>部门处理。</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投标文件的制作应满足以下规定：</w:t>
      </w:r>
    </w:p>
    <w:p>
      <w:pPr>
        <w:pageBreakBefore w:val="0"/>
        <w:widowControl w:val="0"/>
        <w:numPr>
          <w:ilvl w:val="0"/>
          <w:numId w:val="2"/>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招标文件中“签章”是指签字或盖章。在第</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rPr>
        <w:t>章“投标文件格式”中要求签章处，投标人应加盖投标人单位电子印章和法定代表人的个人电子印章/电子签名章或直接上传加盖投标人单位印章和法定代表人的印章（或签字）的原件彩色扫描件。</w:t>
      </w:r>
    </w:p>
    <w:p>
      <w:pPr>
        <w:pageBreakBefore w:val="0"/>
        <w:widowControl w:val="0"/>
        <w:numPr>
          <w:ilvl w:val="0"/>
          <w:numId w:val="2"/>
        </w:numPr>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投标人应对投标文件进行加密，形成加密的投标文件。</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因投标人自身原因而导致投标文件无法</w:t>
      </w:r>
      <w:r>
        <w:rPr>
          <w:rFonts w:hint="eastAsia" w:ascii="宋体" w:hAnsi="宋体" w:eastAsia="宋体" w:cs="宋体"/>
          <w:color w:val="auto"/>
          <w:szCs w:val="21"/>
          <w:highlight w:val="none"/>
          <w:lang w:val="en-US" w:eastAsia="zh-CN"/>
        </w:rPr>
        <w:t>打开、读取</w:t>
      </w:r>
      <w:r>
        <w:rPr>
          <w:rFonts w:hint="eastAsia" w:ascii="宋体" w:hAnsi="宋体" w:eastAsia="宋体" w:cs="宋体"/>
          <w:color w:val="auto"/>
          <w:szCs w:val="21"/>
          <w:highlight w:val="none"/>
        </w:rPr>
        <w:t>，该投标视为无效投标，投标人自行承担由此导致的全部责任。</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投标人中标后须递交与网上电子投标文件完全一致的纸质版投标文件，在领取中标通知书时，一并递交给招标代理机构</w:t>
      </w:r>
      <w:r>
        <w:rPr>
          <w:rFonts w:hint="eastAsia" w:ascii="宋体" w:hAnsi="宋体" w:eastAsia="宋体" w:cs="宋体"/>
          <w:color w:val="auto"/>
          <w:szCs w:val="21"/>
          <w:highlight w:val="none"/>
          <w:lang w:eastAsia="zh-CN"/>
        </w:rPr>
        <w:t>。</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 备选投标方案</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3.6.1除投标人须知前附表规定允许外，投标人不得递交备选投标方案，否则其投标将被否决。</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3.6.2允许投标人递交备选投标方案的，只有中标人所递交的备选投标方案方可予以考虑。评标委员会认为中标人的备选投标方案优于其按照招标文件要求编制的投标方案的，招标人可以接受该备选投标方案。</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3.6.3投标人提供两个或两个以上投标报价，或在投标文件中提供一个报价，但同时提供两个或两个以上施工组织设计的，视为提供备选方案。</w:t>
      </w:r>
    </w:p>
    <w:p>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378" w:name="_Toc19455"/>
      <w:bookmarkStart w:id="379" w:name="_Toc506107291"/>
      <w:bookmarkStart w:id="380" w:name="_Toc35425076"/>
      <w:bookmarkStart w:id="381" w:name="_Toc35424910"/>
      <w:bookmarkStart w:id="382" w:name="_Toc15058869"/>
      <w:bookmarkStart w:id="383" w:name="_Toc78803345"/>
      <w:r>
        <w:rPr>
          <w:rFonts w:hint="eastAsia" w:ascii="宋体" w:hAnsi="宋体" w:eastAsia="宋体" w:cs="宋体"/>
          <w:color w:val="auto"/>
          <w:sz w:val="24"/>
          <w:szCs w:val="24"/>
          <w:highlight w:val="none"/>
        </w:rPr>
        <w:t>4.投标</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pPr>
        <w:pStyle w:val="4"/>
        <w:pageBreakBefore w:val="0"/>
        <w:widowControl w:val="0"/>
        <w:kinsoku/>
        <w:wordWrap/>
        <w:overflowPunct/>
        <w:topLinePunct w:val="0"/>
        <w:autoSpaceDE/>
        <w:autoSpaceDN/>
        <w:bidi w:val="0"/>
        <w:spacing w:line="420" w:lineRule="exact"/>
        <w:ind w:firstLine="422" w:firstLineChars="200"/>
        <w:textAlignment w:val="auto"/>
        <w:rPr>
          <w:rFonts w:hint="default" w:ascii="宋体" w:hAnsi="宋体" w:eastAsia="宋体" w:cs="宋体"/>
          <w:color w:val="auto"/>
          <w:highlight w:val="none"/>
          <w:lang w:val="en-US" w:eastAsia="zh-CN"/>
        </w:rPr>
      </w:pPr>
      <w:bookmarkStart w:id="384" w:name="_Toc15058870"/>
      <w:bookmarkStart w:id="385" w:name="_Toc78803346"/>
      <w:bookmarkStart w:id="386" w:name="_Toc14473"/>
      <w:bookmarkStart w:id="387" w:name="_Toc35424911"/>
      <w:bookmarkStart w:id="388" w:name="_Toc35425077"/>
      <w:r>
        <w:rPr>
          <w:rFonts w:hint="eastAsia" w:ascii="宋体" w:hAnsi="宋体" w:eastAsia="宋体" w:cs="宋体"/>
          <w:color w:val="auto"/>
          <w:highlight w:val="none"/>
        </w:rPr>
        <w:t>4.1投标文件</w:t>
      </w:r>
      <w:bookmarkEnd w:id="384"/>
      <w:bookmarkEnd w:id="385"/>
      <w:bookmarkEnd w:id="386"/>
      <w:bookmarkEnd w:id="387"/>
      <w:bookmarkEnd w:id="388"/>
      <w:r>
        <w:rPr>
          <w:rFonts w:hint="eastAsia" w:ascii="宋体" w:hAnsi="宋体" w:eastAsia="宋体" w:cs="宋体"/>
          <w:color w:val="auto"/>
          <w:highlight w:val="none"/>
          <w:lang w:val="en-US" w:eastAsia="zh-CN"/>
        </w:rPr>
        <w:t>的提交</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w:t>
      </w:r>
      <w:r>
        <w:rPr>
          <w:rFonts w:hint="eastAsia" w:ascii="宋体" w:hAnsi="宋体" w:cs="宋体"/>
          <w:color w:val="auto"/>
          <w:szCs w:val="21"/>
          <w:highlight w:val="none"/>
          <w:lang w:val="en-US" w:eastAsia="zh-CN"/>
        </w:rPr>
        <w:t>具体要求详见投标须知前附表</w:t>
      </w:r>
      <w:r>
        <w:rPr>
          <w:rFonts w:hint="eastAsia" w:ascii="宋体" w:hAnsi="宋体" w:eastAsia="宋体" w:cs="宋体"/>
          <w:color w:val="auto"/>
          <w:szCs w:val="21"/>
          <w:highlight w:val="none"/>
          <w:u w:val="none"/>
          <w:lang w:val="en-US" w:eastAsia="zh-CN"/>
        </w:rPr>
        <w:t>。</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389" w:name="_Toc144974526"/>
      <w:bookmarkStart w:id="390" w:name="_Toc296602446"/>
      <w:bookmarkStart w:id="391" w:name="_Toc179632576"/>
      <w:bookmarkStart w:id="392" w:name="_Toc35424914"/>
      <w:bookmarkStart w:id="393" w:name="_Toc152042334"/>
      <w:bookmarkStart w:id="394" w:name="_Toc19572"/>
      <w:bookmarkStart w:id="395" w:name="_Toc324404841"/>
      <w:bookmarkStart w:id="396" w:name="_Toc78803347"/>
      <w:bookmarkStart w:id="397" w:name="_Toc246996202"/>
      <w:bookmarkStart w:id="398" w:name="_Toc506107294"/>
      <w:bookmarkStart w:id="399" w:name="_Toc152045558"/>
      <w:bookmarkStart w:id="400" w:name="_Toc35425080"/>
      <w:bookmarkStart w:id="401" w:name="_Toc247085716"/>
      <w:bookmarkStart w:id="402" w:name="_Toc246996945"/>
      <w:bookmarkStart w:id="403" w:name="_Toc15058873"/>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投标文件的修改与撤回</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pPr>
        <w:pageBreakBefore w:val="0"/>
        <w:widowControl w:val="0"/>
        <w:kinsoku/>
        <w:wordWrap/>
        <w:overflowPunct/>
        <w:topLinePunct w:val="0"/>
        <w:autoSpaceDE/>
        <w:autoSpaceDN/>
        <w:bidi w:val="0"/>
        <w:spacing w:line="420" w:lineRule="exact"/>
        <w:ind w:firstLine="422" w:firstLineChars="200"/>
        <w:jc w:val="left"/>
        <w:textAlignment w:val="auto"/>
        <w:rPr>
          <w:rFonts w:ascii="宋体" w:hAnsi="宋体" w:cs="宋体"/>
          <w:color w:val="auto"/>
          <w:szCs w:val="21"/>
          <w:highlight w:val="none"/>
        </w:rPr>
      </w:pPr>
      <w:r>
        <w:rPr>
          <w:rFonts w:hint="eastAsia" w:ascii="宋体" w:hAnsi="宋体" w:cs="宋体"/>
          <w:b/>
          <w:color w:val="auto"/>
          <w:szCs w:val="21"/>
          <w:highlight w:val="none"/>
        </w:rPr>
        <w:t>4.</w:t>
      </w:r>
      <w:r>
        <w:rPr>
          <w:rFonts w:hint="eastAsia" w:ascii="宋体" w:hAnsi="宋体" w:cs="宋体"/>
          <w:b/>
          <w:color w:val="auto"/>
          <w:szCs w:val="21"/>
          <w:highlight w:val="none"/>
          <w:lang w:val="en-US" w:eastAsia="zh-CN"/>
        </w:rPr>
        <w:t>2</w:t>
      </w:r>
      <w:r>
        <w:rPr>
          <w:rFonts w:hint="eastAsia" w:ascii="宋体" w:hAnsi="宋体" w:cs="宋体"/>
          <w:b/>
          <w:color w:val="auto"/>
          <w:szCs w:val="21"/>
          <w:highlight w:val="none"/>
        </w:rPr>
        <w:t>.1 在规定的投标截止时间前，投标人可以自行从</w:t>
      </w:r>
      <w:r>
        <w:rPr>
          <w:rFonts w:hint="eastAsia" w:ascii="宋体" w:hAnsi="宋体" w:cs="宋体"/>
          <w:b/>
          <w:color w:val="auto"/>
          <w:szCs w:val="21"/>
          <w:highlight w:val="none"/>
          <w:lang w:val="en-US" w:eastAsia="zh-CN"/>
        </w:rPr>
        <w:t>邮箱</w:t>
      </w:r>
      <w:r>
        <w:rPr>
          <w:rFonts w:hint="eastAsia" w:ascii="宋体" w:hAnsi="宋体" w:cs="宋体"/>
          <w:b/>
          <w:color w:val="auto"/>
          <w:szCs w:val="21"/>
          <w:highlight w:val="none"/>
        </w:rPr>
        <w:t>撤回已递交的投标文件，并可修改后重新上传，开标时以投标截止时间前投标人最终上传的投标文件为准。</w:t>
      </w:r>
    </w:p>
    <w:p>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04" w:name="_Toc246996946"/>
      <w:bookmarkStart w:id="405" w:name="_Toc15058874"/>
      <w:bookmarkStart w:id="406" w:name="_Toc179632577"/>
      <w:bookmarkStart w:id="407" w:name="_Toc506107295"/>
      <w:bookmarkStart w:id="408" w:name="_Toc247085717"/>
      <w:bookmarkStart w:id="409" w:name="_Toc324404842"/>
      <w:bookmarkStart w:id="410" w:name="_Toc29639"/>
      <w:bookmarkStart w:id="411" w:name="_Toc35424915"/>
      <w:bookmarkStart w:id="412" w:name="_Toc152045559"/>
      <w:bookmarkStart w:id="413" w:name="_Toc246996203"/>
      <w:bookmarkStart w:id="414" w:name="_Toc144974527"/>
      <w:bookmarkStart w:id="415" w:name="_Toc35425081"/>
      <w:bookmarkStart w:id="416" w:name="_Toc152042335"/>
      <w:bookmarkStart w:id="417" w:name="_Toc78803348"/>
      <w:r>
        <w:rPr>
          <w:rFonts w:hint="eastAsia" w:ascii="宋体" w:hAnsi="宋体" w:eastAsia="宋体" w:cs="宋体"/>
          <w:color w:val="auto"/>
          <w:sz w:val="24"/>
          <w:szCs w:val="24"/>
          <w:highlight w:val="none"/>
        </w:rPr>
        <w:t>5. 开标</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18" w:name="_Toc506107296"/>
      <w:bookmarkStart w:id="419" w:name="_Toc246996947"/>
      <w:bookmarkStart w:id="420" w:name="_Toc179632578"/>
      <w:bookmarkStart w:id="421" w:name="_Toc35425082"/>
      <w:bookmarkStart w:id="422" w:name="_Toc296602448"/>
      <w:bookmarkStart w:id="423" w:name="_Toc35424916"/>
      <w:bookmarkStart w:id="424" w:name="_Toc152042336"/>
      <w:bookmarkStart w:id="425" w:name="_Toc13691"/>
      <w:bookmarkStart w:id="426" w:name="_Toc247085718"/>
      <w:bookmarkStart w:id="427" w:name="_Toc144974528"/>
      <w:bookmarkStart w:id="428" w:name="_Toc152045560"/>
      <w:bookmarkStart w:id="429" w:name="_Toc78803349"/>
      <w:bookmarkStart w:id="430" w:name="_Toc246996204"/>
      <w:bookmarkStart w:id="431" w:name="_Toc324404843"/>
      <w:bookmarkStart w:id="432" w:name="_Toc15058875"/>
      <w:r>
        <w:rPr>
          <w:rFonts w:hint="eastAsia" w:ascii="宋体" w:hAnsi="宋体" w:eastAsia="宋体" w:cs="宋体"/>
          <w:color w:val="auto"/>
          <w:highlight w:val="none"/>
        </w:rPr>
        <w:t>5.1 开标时间和地点</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招标人在投标人须知前附表规定的投标截止时间（开标时间）和地点公开开标。</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33" w:name="_Toc247085719"/>
      <w:bookmarkStart w:id="434" w:name="_Toc324404844"/>
      <w:bookmarkStart w:id="435" w:name="_Toc246996948"/>
      <w:bookmarkStart w:id="436" w:name="_Toc144974529"/>
      <w:bookmarkStart w:id="437" w:name="_Toc152045561"/>
      <w:bookmarkStart w:id="438" w:name="_Toc179632579"/>
      <w:bookmarkStart w:id="439" w:name="_Toc35424917"/>
      <w:bookmarkStart w:id="440" w:name="_Toc15058876"/>
      <w:bookmarkStart w:id="441" w:name="_Toc296602449"/>
      <w:bookmarkStart w:id="442" w:name="_Toc152042337"/>
      <w:bookmarkStart w:id="443" w:name="_Toc32451"/>
      <w:bookmarkStart w:id="444" w:name="_Toc506107297"/>
      <w:bookmarkStart w:id="445" w:name="_Toc78803350"/>
      <w:bookmarkStart w:id="446" w:name="_Toc35425083"/>
      <w:bookmarkStart w:id="447" w:name="_Toc246996205"/>
      <w:r>
        <w:rPr>
          <w:rFonts w:hint="eastAsia" w:ascii="宋体" w:hAnsi="宋体" w:eastAsia="宋体" w:cs="宋体"/>
          <w:color w:val="auto"/>
          <w:highlight w:val="none"/>
        </w:rPr>
        <w:t>5.2 开标程序</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主持人按下列程序进行开标：</w:t>
      </w:r>
      <w:bookmarkStart w:id="448" w:name="_Toc296602450"/>
      <w:bookmarkStart w:id="449" w:name="_Toc324404845"/>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50" w:name="_Toc15058877"/>
      <w:bookmarkStart w:id="451" w:name="_Toc506107298"/>
      <w:r>
        <w:rPr>
          <w:rFonts w:hint="eastAsia" w:ascii="宋体" w:hAnsi="宋体" w:cs="宋体"/>
          <w:color w:val="auto"/>
          <w:szCs w:val="21"/>
          <w:highlight w:val="none"/>
        </w:rPr>
        <w:t>（1）宣布开标纪律；</w:t>
      </w:r>
      <w:bookmarkEnd w:id="450"/>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52" w:name="_Toc15058878"/>
      <w:r>
        <w:rPr>
          <w:rFonts w:hint="eastAsia" w:ascii="宋体" w:hAnsi="宋体" w:cs="宋体"/>
          <w:color w:val="auto"/>
          <w:szCs w:val="21"/>
          <w:highlight w:val="none"/>
        </w:rPr>
        <w:t>（2）宣布招标人、代理机构主持人等有关人员姓名；</w:t>
      </w:r>
      <w:bookmarkEnd w:id="452"/>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53" w:name="_Toc15058881"/>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）公布投标人投标报价、质量目标、工期及其他内容，并记录在案；</w:t>
      </w:r>
      <w:bookmarkEnd w:id="453"/>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454" w:name="_Toc15058882"/>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）开标结束。</w:t>
      </w:r>
      <w:bookmarkEnd w:id="454"/>
    </w:p>
    <w:bookmarkEnd w:id="448"/>
    <w:bookmarkEnd w:id="449"/>
    <w:bookmarkEnd w:id="451"/>
    <w:p>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455" w:name="_Toc246996206"/>
      <w:bookmarkStart w:id="456" w:name="_Toc506107299"/>
      <w:bookmarkStart w:id="457" w:name="_Toc144974530"/>
      <w:bookmarkStart w:id="458" w:name="_Toc35424919"/>
      <w:bookmarkStart w:id="459" w:name="_Toc152042338"/>
      <w:bookmarkStart w:id="460" w:name="_Toc152045562"/>
      <w:bookmarkStart w:id="461" w:name="_Toc246996949"/>
      <w:bookmarkStart w:id="462" w:name="_Toc324404846"/>
      <w:bookmarkStart w:id="463" w:name="_Toc15058884"/>
      <w:bookmarkStart w:id="464" w:name="_Toc78803352"/>
      <w:bookmarkStart w:id="465" w:name="_Toc20689"/>
      <w:bookmarkStart w:id="466" w:name="_Toc35425085"/>
      <w:bookmarkStart w:id="467" w:name="_Toc179632580"/>
      <w:bookmarkStart w:id="468" w:name="_Toc247085720"/>
      <w:r>
        <w:rPr>
          <w:rFonts w:hint="eastAsia" w:ascii="宋体" w:hAnsi="宋体" w:eastAsia="宋体" w:cs="宋体"/>
          <w:color w:val="auto"/>
          <w:sz w:val="24"/>
          <w:szCs w:val="24"/>
          <w:highlight w:val="none"/>
        </w:rPr>
        <w:t>6. 评标</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69" w:name="_Toc247085721"/>
      <w:bookmarkStart w:id="470" w:name="_Toc152042339"/>
      <w:bookmarkStart w:id="471" w:name="_Toc324404847"/>
      <w:bookmarkStart w:id="472" w:name="_Toc152045563"/>
      <w:bookmarkStart w:id="473" w:name="_Toc296602452"/>
      <w:bookmarkStart w:id="474" w:name="_Toc78803353"/>
      <w:bookmarkStart w:id="475" w:name="_Toc144974531"/>
      <w:bookmarkStart w:id="476" w:name="_Toc14249"/>
      <w:bookmarkStart w:id="477" w:name="_Toc179632581"/>
      <w:bookmarkStart w:id="478" w:name="_Toc35424920"/>
      <w:bookmarkStart w:id="479" w:name="_Toc246996950"/>
      <w:bookmarkStart w:id="480" w:name="_Toc506107300"/>
      <w:bookmarkStart w:id="481" w:name="_Toc246996207"/>
      <w:bookmarkStart w:id="482" w:name="_Toc35425086"/>
      <w:bookmarkStart w:id="483" w:name="_Toc15058885"/>
      <w:r>
        <w:rPr>
          <w:rFonts w:hint="eastAsia" w:ascii="宋体" w:hAnsi="宋体" w:eastAsia="宋体" w:cs="宋体"/>
          <w:color w:val="auto"/>
          <w:highlight w:val="none"/>
        </w:rPr>
        <w:t>6.1 评标委员会</w:t>
      </w:r>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6.1.1 评标由招标人依法组建的评标委员会负责。评标委员会由招标人或其委托的招标代理机构熟悉相关业务的代表，以及有关技术、经济等方面的专家组成。</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6.1.2 评标委员会成员有下列情形之一的，应当回避：</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（1）投标人或投标人主要负责人的近亲属；</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（2）项目主管部门或者行政监督部门的人员；</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（3）与投标人有经济利益关系；</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（4）曾因在招标、评标以及其他与招标投标有关活动中从事违法行为而受过行政处罚或刑事处罚的；</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（5）与投标人有其他利害关系。</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6.1.3评标过程中，评标委员会成员有回避事由、擅离职守或因健康等原因不能继续评标的， 招标人有权更换。被更换的评标委员会成员作出的评审结论无效，由更换后的评标委员会成员重新进行评审。</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84" w:name="_Toc506107301"/>
      <w:bookmarkStart w:id="485" w:name="_Toc152045564"/>
      <w:bookmarkStart w:id="486" w:name="_Toc35424921"/>
      <w:bookmarkStart w:id="487" w:name="_Toc152042340"/>
      <w:bookmarkStart w:id="488" w:name="_Toc296602453"/>
      <w:bookmarkStart w:id="489" w:name="_Toc15058886"/>
      <w:bookmarkStart w:id="490" w:name="_Toc144974532"/>
      <w:bookmarkStart w:id="491" w:name="_Toc246996208"/>
      <w:bookmarkStart w:id="492" w:name="_Toc246996951"/>
      <w:bookmarkStart w:id="493" w:name="_Toc12948"/>
      <w:bookmarkStart w:id="494" w:name="_Toc179632582"/>
      <w:bookmarkStart w:id="495" w:name="_Toc247085722"/>
      <w:bookmarkStart w:id="496" w:name="_Toc35425087"/>
      <w:bookmarkStart w:id="497" w:name="_Toc78803354"/>
      <w:bookmarkStart w:id="498" w:name="_Toc324404848"/>
      <w:r>
        <w:rPr>
          <w:rFonts w:hint="eastAsia" w:ascii="宋体" w:hAnsi="宋体" w:eastAsia="宋体" w:cs="宋体"/>
          <w:color w:val="auto"/>
          <w:highlight w:val="none"/>
        </w:rPr>
        <w:t>6.2 评标原则</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评标活动遵循公平、公正、科学和择优的原则。</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499" w:name="_Toc296602454"/>
      <w:bookmarkStart w:id="500" w:name="_Toc144974533"/>
      <w:bookmarkStart w:id="501" w:name="_Toc506107302"/>
      <w:bookmarkStart w:id="502" w:name="_Toc152045565"/>
      <w:bookmarkStart w:id="503" w:name="_Toc247085723"/>
      <w:bookmarkStart w:id="504" w:name="_Toc15058887"/>
      <w:bookmarkStart w:id="505" w:name="_Toc246996209"/>
      <w:bookmarkStart w:id="506" w:name="_Toc179632583"/>
      <w:bookmarkStart w:id="507" w:name="_Toc35424922"/>
      <w:bookmarkStart w:id="508" w:name="_Toc14892"/>
      <w:bookmarkStart w:id="509" w:name="_Toc246996952"/>
      <w:bookmarkStart w:id="510" w:name="_Toc324404849"/>
      <w:bookmarkStart w:id="511" w:name="_Toc78803355"/>
      <w:bookmarkStart w:id="512" w:name="_Toc152042341"/>
      <w:bookmarkStart w:id="513" w:name="_Toc35425088"/>
      <w:r>
        <w:rPr>
          <w:rFonts w:hint="eastAsia" w:ascii="宋体" w:hAnsi="宋体" w:eastAsia="宋体" w:cs="宋体"/>
          <w:color w:val="auto"/>
          <w:highlight w:val="none"/>
        </w:rPr>
        <w:t>6.3 评标</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514" w:name="_Toc246996210"/>
      <w:bookmarkStart w:id="515" w:name="_Toc152045566"/>
      <w:bookmarkStart w:id="516" w:name="_Toc152042342"/>
      <w:bookmarkStart w:id="517" w:name="_Toc144974534"/>
      <w:bookmarkStart w:id="518" w:name="_Toc246996953"/>
      <w:bookmarkStart w:id="519" w:name="_Toc247085724"/>
      <w:bookmarkStart w:id="520" w:name="_Toc324404850"/>
      <w:bookmarkStart w:id="521" w:name="_Toc179632584"/>
      <w:r>
        <w:rPr>
          <w:rFonts w:hint="eastAsia" w:ascii="宋体" w:hAnsi="宋体" w:cs="宋体"/>
          <w:color w:val="auto"/>
          <w:szCs w:val="21"/>
          <w:highlight w:val="none"/>
        </w:rPr>
        <w:t>6.3.1评标委员会按照第三章“评标办法”规定的方法、评审因素、标准和程序对投标文件进行评审。第三章“评标办法”没有规定的方法、评审因素和标准，不作为评标依据。</w:t>
      </w:r>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6.3.2评标完成后，评标委员会应向招标人提交书面评标报告和中标候选人名单。评标委员会推荐中标候选人的人数见投标人须知前附表。</w:t>
      </w:r>
    </w:p>
    <w:p>
      <w:pPr>
        <w:pStyle w:val="4"/>
        <w:pageBreakBefore w:val="0"/>
        <w:widowControl w:val="0"/>
        <w:kinsoku/>
        <w:wordWrap/>
        <w:overflowPunct/>
        <w:topLinePunct w:val="0"/>
        <w:autoSpaceDE/>
        <w:autoSpaceDN/>
        <w:bidi w:val="0"/>
        <w:spacing w:beforeLines="50" w:afterLines="50" w:line="420" w:lineRule="exact"/>
        <w:ind w:firstLine="482" w:firstLineChars="200"/>
        <w:textAlignment w:val="auto"/>
        <w:rPr>
          <w:rFonts w:ascii="宋体" w:hAnsi="宋体" w:eastAsia="宋体" w:cs="宋体"/>
          <w:color w:val="auto"/>
          <w:sz w:val="24"/>
          <w:szCs w:val="24"/>
          <w:highlight w:val="none"/>
        </w:rPr>
      </w:pPr>
      <w:bookmarkStart w:id="522" w:name="_Toc26182"/>
      <w:bookmarkStart w:id="523" w:name="_Toc35425089"/>
      <w:bookmarkStart w:id="524" w:name="_Toc78803356"/>
      <w:bookmarkStart w:id="525" w:name="_Toc15058888"/>
      <w:bookmarkStart w:id="526" w:name="_Toc35424923"/>
      <w:bookmarkStart w:id="527" w:name="_Toc506107303"/>
      <w:r>
        <w:rPr>
          <w:rFonts w:hint="eastAsia" w:ascii="宋体" w:hAnsi="宋体" w:eastAsia="宋体" w:cs="宋体"/>
          <w:color w:val="auto"/>
          <w:sz w:val="24"/>
          <w:szCs w:val="24"/>
          <w:highlight w:val="none"/>
        </w:rPr>
        <w:t>7. 合同授予</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28" w:name="_Toc15058890"/>
      <w:bookmarkStart w:id="529" w:name="_Toc95223374"/>
      <w:bookmarkStart w:id="530" w:name="_Toc83301726"/>
      <w:bookmarkStart w:id="531" w:name="_Toc60061472"/>
      <w:bookmarkStart w:id="532" w:name="_Toc506107305"/>
      <w:bookmarkStart w:id="533" w:name="_Toc324404852"/>
      <w:bookmarkStart w:id="534" w:name="_Toc296602457"/>
      <w:bookmarkStart w:id="535" w:name="_Toc4204"/>
      <w:bookmarkStart w:id="536" w:name="_Toc144974536"/>
      <w:bookmarkStart w:id="537" w:name="_Toc324404853"/>
      <w:bookmarkStart w:id="538" w:name="_Toc35424927"/>
      <w:bookmarkStart w:id="539" w:name="_Toc35425093"/>
      <w:bookmarkStart w:id="540" w:name="_Toc14692"/>
      <w:bookmarkStart w:id="541" w:name="_Toc152042344"/>
      <w:bookmarkStart w:id="542" w:name="_Toc246996955"/>
      <w:bookmarkStart w:id="543" w:name="_Toc152045568"/>
      <w:bookmarkStart w:id="544" w:name="_Toc179632586"/>
      <w:bookmarkStart w:id="545" w:name="_Toc506107306"/>
      <w:bookmarkStart w:id="546" w:name="_Toc15058891"/>
      <w:bookmarkStart w:id="547" w:name="_Toc247085726"/>
      <w:bookmarkStart w:id="548" w:name="_Toc78803360"/>
      <w:bookmarkStart w:id="549" w:name="_Toc246996212"/>
      <w:bookmarkStart w:id="550" w:name="_Toc296602458"/>
      <w:r>
        <w:rPr>
          <w:rFonts w:hint="eastAsia" w:ascii="宋体" w:hAnsi="宋体" w:eastAsia="宋体" w:cs="宋体"/>
          <w:color w:val="auto"/>
          <w:highlight w:val="none"/>
        </w:rPr>
        <w:t>7.1 中标候选人公示</w:t>
      </w:r>
      <w:bookmarkEnd w:id="528"/>
      <w:bookmarkEnd w:id="529"/>
      <w:bookmarkEnd w:id="530"/>
      <w:bookmarkEnd w:id="531"/>
      <w:bookmarkEnd w:id="532"/>
      <w:bookmarkEnd w:id="533"/>
      <w:bookmarkEnd w:id="534"/>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招标人在收到评标报告之日起3日内，按照投标人须知前附表规定的公示媒介和期限依法公示。中标候选人公示期不得少于3日。</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7.2 评标结果异议</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投标人或其他利害关系人对评标结果有异议的，应在中标候选人公示期内提出。招标人将在收到异议之日起3日内作出答复；作出答复前，将暂停招标投标活动。</w:t>
      </w:r>
    </w:p>
    <w:bookmarkEnd w:id="535"/>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7.3 中标候选人履约能力审查</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中标候选人的经营、财务状况发生较大变化或者存在违法行为，招标人认为可能影响其履约能力的，应当在发出中标通知书前由原评标委员会按照招标文件规定的标准和方法审查确认。</w:t>
      </w:r>
    </w:p>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51" w:name="_Toc95223375"/>
      <w:bookmarkStart w:id="552" w:name="_Toc83301727"/>
      <w:bookmarkStart w:id="553" w:name="_Toc60061474"/>
      <w:bookmarkStart w:id="554" w:name="_Toc247085728"/>
      <w:bookmarkStart w:id="555" w:name="_Toc35425096"/>
      <w:bookmarkStart w:id="556" w:name="_Toc179632588"/>
      <w:bookmarkStart w:id="557" w:name="_Toc246996214"/>
      <w:bookmarkStart w:id="558" w:name="_Toc15058893"/>
      <w:bookmarkStart w:id="559" w:name="_Toc296602460"/>
      <w:bookmarkStart w:id="560" w:name="_Toc35424930"/>
      <w:bookmarkStart w:id="561" w:name="_Toc506107308"/>
      <w:bookmarkStart w:id="562" w:name="_Toc78803363"/>
      <w:bookmarkStart w:id="563" w:name="_Toc152042346"/>
      <w:bookmarkStart w:id="564" w:name="_Toc11010"/>
      <w:bookmarkStart w:id="565" w:name="_Toc144974538"/>
      <w:bookmarkStart w:id="566" w:name="_Toc152045570"/>
      <w:bookmarkStart w:id="567" w:name="_Toc324404855"/>
      <w:bookmarkStart w:id="568" w:name="_Toc24699695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4 </w:t>
      </w:r>
      <w:r>
        <w:rPr>
          <w:rFonts w:hint="eastAsia" w:ascii="宋体" w:hAnsi="宋体" w:eastAsia="宋体" w:cs="宋体"/>
          <w:color w:val="auto"/>
          <w:highlight w:val="none"/>
        </w:rPr>
        <w:t>定标</w:t>
      </w:r>
      <w:bookmarkEnd w:id="551"/>
      <w:bookmarkEnd w:id="552"/>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69" w:name="_Toc95223376"/>
      <w:bookmarkStart w:id="570" w:name="_Toc83301728"/>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中标通知</w:t>
      </w:r>
      <w:bookmarkEnd w:id="553"/>
      <w:bookmarkEnd w:id="569"/>
      <w:bookmarkEnd w:id="570"/>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在本招标文件规定的投标有效期内，招标人向中标人发出中标通知书，同时将中标结果通知未中标的投标人。</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1" w:name="_Toc95223377"/>
      <w:r>
        <w:rPr>
          <w:rFonts w:hint="eastAsia" w:ascii="宋体" w:hAnsi="宋体" w:eastAsia="宋体" w:cs="宋体"/>
          <w:color w:val="auto"/>
          <w:highlight w:val="none"/>
        </w:rPr>
        <w:t>7.</w:t>
      </w:r>
      <w:r>
        <w:rPr>
          <w:rFonts w:hint="eastAsia" w:ascii="宋体" w:hAnsi="宋体" w:eastAsia="宋体" w:cs="宋体"/>
          <w:color w:val="auto"/>
          <w:highlight w:val="none"/>
          <w:lang w:val="en-US" w:eastAsia="zh-CN"/>
        </w:rPr>
        <w:t xml:space="preserve">6 </w:t>
      </w:r>
      <w:r>
        <w:rPr>
          <w:rFonts w:hint="eastAsia" w:ascii="宋体" w:hAnsi="宋体" w:eastAsia="宋体" w:cs="宋体"/>
          <w:color w:val="auto"/>
          <w:highlight w:val="none"/>
        </w:rPr>
        <w:t>中标结果公示</w:t>
      </w:r>
      <w:bookmarkEnd w:id="571"/>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招标人在确定中标人之日起3日内，按照投标人须知前附表规定的公示媒介和期限依法公示中标结果。</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72" w:name="_Toc152042345"/>
      <w:bookmarkStart w:id="573" w:name="_Toc83301730"/>
      <w:bookmarkStart w:id="574" w:name="_Toc324404854"/>
      <w:bookmarkStart w:id="575" w:name="_Toc60061476"/>
      <w:bookmarkStart w:id="576" w:name="_Toc152045569"/>
      <w:bookmarkStart w:id="577" w:name="_Toc246996213"/>
      <w:bookmarkStart w:id="578" w:name="_Toc144974537"/>
      <w:bookmarkStart w:id="579" w:name="_Toc246996956"/>
      <w:bookmarkStart w:id="580" w:name="_Toc506107307"/>
      <w:bookmarkStart w:id="581" w:name="_Toc95223378"/>
      <w:bookmarkStart w:id="582" w:name="_Toc15058892"/>
      <w:bookmarkStart w:id="583" w:name="_Toc179632587"/>
      <w:bookmarkStart w:id="584" w:name="_Toc247085727"/>
      <w:bookmarkStart w:id="585" w:name="_Toc296602459"/>
      <w:r>
        <w:rPr>
          <w:rFonts w:hint="eastAsia" w:ascii="宋体" w:hAnsi="宋体" w:eastAsia="宋体" w:cs="宋体"/>
          <w:color w:val="auto"/>
          <w:highlight w:val="none"/>
        </w:rPr>
        <w:t>7.8 履约担保</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7.8.1在签订合同前，中标人应按投标人须知前附表规定的担保形式和招标文件第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章“合同条款及格式”规定的或者事先经过招标人书面认可的履约担保格式向招标人提交履约担保。联合体中标的，其履约担保应符合投标人须知前附表规定的金额、担保形式和招标文件第</w:t>
      </w:r>
      <w:r>
        <w:rPr>
          <w:rFonts w:hint="eastAsia" w:ascii="宋体" w:hAnsi="宋体" w:eastAsia="宋体" w:cs="宋体"/>
          <w:color w:val="auto"/>
          <w:szCs w:val="21"/>
          <w:highlight w:val="none"/>
          <w:lang w:val="en-US" w:eastAsia="zh-CN"/>
        </w:rPr>
        <w:t>四</w:t>
      </w:r>
      <w:r>
        <w:rPr>
          <w:rFonts w:hint="eastAsia" w:ascii="宋体" w:hAnsi="宋体" w:eastAsia="宋体" w:cs="宋体"/>
          <w:color w:val="auto"/>
          <w:szCs w:val="21"/>
          <w:highlight w:val="none"/>
        </w:rPr>
        <w:t>章“合同条款及格式”规定的履约担保格式要求。</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7.8.2 中标人不能按本章第7.8.1项要求提交履约担保的，视为放弃中标，其投标保证金不予退还，给招标人造成的损失超过投标保证金数额的，中标人还应当对超过部分予以赔偿。</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586" w:name="_Toc60061477"/>
      <w:bookmarkStart w:id="587" w:name="_Toc95223379"/>
      <w:bookmarkStart w:id="588" w:name="_Toc83301731"/>
      <w:r>
        <w:rPr>
          <w:rFonts w:hint="eastAsia" w:ascii="宋体" w:hAnsi="宋体" w:eastAsia="宋体" w:cs="宋体"/>
          <w:color w:val="auto"/>
          <w:highlight w:val="none"/>
        </w:rPr>
        <w:t>7.9 签订合同</w:t>
      </w:r>
      <w:bookmarkEnd w:id="586"/>
      <w:bookmarkEnd w:id="587"/>
      <w:bookmarkEnd w:id="588"/>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7.9.1本招标工程的施工合同将授予按本须知第7.</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款规定所确定的中标人。</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7.9.3 发出中标通知书后，招标人无正当理由拒签合同的，招标人向中标人退还投标保证金；给中标人造成损失的，还应当赔偿损失。</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7.9.4 除法定情形外，建设工程合同履行期间项目经理（建造师）不得更换。项目经理（建造师）确需变更的，应根据招标文件要求，变更后的项目经理（建造师）不低于投标文件中拟派项目经理（建造师）的资格条件。</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7.9.5 联合体中标的，联合体各方应当共同与招标人签订合同，就中标项目向招标人承担连带责任。</w:t>
      </w:r>
    </w:p>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Pr>
        <w:pStyle w:val="4"/>
        <w:pageBreakBefore w:val="0"/>
        <w:widowControl w:val="0"/>
        <w:kinsoku/>
        <w:wordWrap/>
        <w:overflowPunct/>
        <w:topLinePunct w:val="0"/>
        <w:autoSpaceDE/>
        <w:autoSpaceDN/>
        <w:bidi w:val="0"/>
        <w:spacing w:beforeLines="50" w:afterLines="50" w:line="420" w:lineRule="exact"/>
        <w:ind w:firstLine="422" w:firstLineChars="200"/>
        <w:textAlignment w:val="auto"/>
        <w:rPr>
          <w:rFonts w:hint="eastAsia" w:ascii="宋体" w:hAnsi="宋体" w:eastAsia="宋体" w:cs="宋体"/>
          <w:color w:val="auto"/>
          <w:highlight w:val="none"/>
        </w:rPr>
      </w:pPr>
      <w:bookmarkStart w:id="589" w:name="_Toc95223381"/>
      <w:bookmarkStart w:id="590" w:name="_Toc83301732"/>
      <w:bookmarkStart w:id="591" w:name="_Toc152045571"/>
      <w:bookmarkStart w:id="592" w:name="_Toc179632589"/>
      <w:bookmarkStart w:id="593" w:name="_Toc144974539"/>
      <w:bookmarkStart w:id="594" w:name="_Toc60061478"/>
      <w:bookmarkStart w:id="595" w:name="_Toc152042347"/>
      <w:bookmarkStart w:id="596" w:name="_Toc35425097"/>
      <w:bookmarkStart w:id="597" w:name="_Toc78803367"/>
      <w:bookmarkStart w:id="598" w:name="_Toc35424931"/>
      <w:bookmarkStart w:id="599" w:name="_Toc25375"/>
      <w:bookmarkStart w:id="600" w:name="_Toc26974"/>
      <w:bookmarkStart w:id="601" w:name="_Toc31686"/>
      <w:bookmarkStart w:id="602" w:name="_Toc324404864"/>
      <w:bookmarkStart w:id="603" w:name="_Toc35425105"/>
      <w:bookmarkStart w:id="604" w:name="_Toc506107317"/>
      <w:bookmarkStart w:id="605" w:name="_Toc35424939"/>
      <w:bookmarkStart w:id="606" w:name="_Toc15058902"/>
      <w:bookmarkStart w:id="607" w:name="_Toc296602475"/>
      <w:r>
        <w:rPr>
          <w:rFonts w:hint="eastAsia" w:ascii="宋体" w:hAnsi="宋体" w:eastAsia="宋体" w:cs="宋体"/>
          <w:color w:val="auto"/>
          <w:highlight w:val="none"/>
        </w:rPr>
        <w:t>8. 重新招标和不再招标</w:t>
      </w:r>
      <w:bookmarkEnd w:id="589"/>
      <w:bookmarkEnd w:id="590"/>
      <w:bookmarkEnd w:id="591"/>
      <w:bookmarkEnd w:id="592"/>
      <w:bookmarkEnd w:id="593"/>
      <w:bookmarkEnd w:id="594"/>
      <w:bookmarkEnd w:id="595"/>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08" w:name="_Toc83301733"/>
      <w:bookmarkStart w:id="609" w:name="_Toc60061479"/>
      <w:bookmarkStart w:id="610" w:name="_Toc144974540"/>
      <w:bookmarkStart w:id="611" w:name="_Toc152045572"/>
      <w:bookmarkStart w:id="612" w:name="_Toc95223382"/>
      <w:bookmarkStart w:id="613" w:name="_Toc179632590"/>
      <w:bookmarkStart w:id="614" w:name="_Toc152042348"/>
      <w:r>
        <w:rPr>
          <w:rFonts w:hint="eastAsia" w:ascii="宋体" w:hAnsi="宋体" w:eastAsia="宋体" w:cs="宋体"/>
          <w:color w:val="auto"/>
          <w:highlight w:val="none"/>
        </w:rPr>
        <w:t>8.1 重新招标</w:t>
      </w:r>
      <w:bookmarkEnd w:id="608"/>
      <w:bookmarkEnd w:id="609"/>
      <w:bookmarkEnd w:id="610"/>
      <w:bookmarkEnd w:id="611"/>
      <w:bookmarkEnd w:id="612"/>
      <w:bookmarkEnd w:id="613"/>
      <w:bookmarkEnd w:id="614"/>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依法必须招标的项目有下列情形之一的，招标人将重新招标：</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（1）投标截止时间止，投标人少于3个的；</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（2）经评标委员会评审后否决所有投标的；</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（3）中标候选人均未与招标人签订合同的；</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（4）法律、法规规定的其他情形。</w:t>
      </w:r>
    </w:p>
    <w:p>
      <w:pPr>
        <w:pStyle w:val="4"/>
        <w:pageBreakBefore w:val="0"/>
        <w:widowControl w:val="0"/>
        <w:kinsoku/>
        <w:wordWrap/>
        <w:overflowPunct/>
        <w:topLinePunct w:val="0"/>
        <w:autoSpaceDE/>
        <w:autoSpaceDN/>
        <w:bidi w:val="0"/>
        <w:spacing w:line="420" w:lineRule="exact"/>
        <w:ind w:firstLine="422" w:firstLineChars="200"/>
        <w:textAlignment w:val="auto"/>
        <w:rPr>
          <w:rFonts w:hint="eastAsia" w:ascii="宋体" w:hAnsi="宋体" w:eastAsia="宋体" w:cs="宋体"/>
          <w:color w:val="auto"/>
          <w:highlight w:val="none"/>
        </w:rPr>
      </w:pPr>
      <w:bookmarkStart w:id="615" w:name="_Toc83301734"/>
      <w:bookmarkStart w:id="616" w:name="_Toc144974541"/>
      <w:bookmarkStart w:id="617" w:name="_Toc152042349"/>
      <w:bookmarkStart w:id="618" w:name="_Toc152045573"/>
      <w:bookmarkStart w:id="619" w:name="_Toc95223383"/>
      <w:bookmarkStart w:id="620" w:name="_Toc60061480"/>
      <w:bookmarkStart w:id="621" w:name="_Toc179632591"/>
      <w:r>
        <w:rPr>
          <w:rFonts w:hint="eastAsia" w:ascii="宋体" w:hAnsi="宋体" w:eastAsia="宋体" w:cs="宋体"/>
          <w:color w:val="auto"/>
          <w:highlight w:val="none"/>
        </w:rPr>
        <w:t>8.2 不再招标</w:t>
      </w:r>
      <w:bookmarkEnd w:id="615"/>
      <w:bookmarkEnd w:id="616"/>
      <w:bookmarkEnd w:id="617"/>
      <w:bookmarkEnd w:id="618"/>
      <w:bookmarkEnd w:id="619"/>
      <w:bookmarkEnd w:id="620"/>
      <w:bookmarkEnd w:id="621"/>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重新招标后投标人仍少于3个或者所有投标被否决的，属于必须审批或核准的工程建设项目，经原审批或核准部门批准后不再进行招标。</w:t>
      </w:r>
    </w:p>
    <w:p>
      <w:pPr>
        <w:pStyle w:val="4"/>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9. 纪律和监督</w:t>
      </w:r>
      <w:bookmarkEnd w:id="596"/>
      <w:bookmarkEnd w:id="597"/>
      <w:bookmarkEnd w:id="598"/>
      <w:bookmarkEnd w:id="599"/>
      <w:bookmarkEnd w:id="600"/>
      <w:bookmarkEnd w:id="601"/>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22" w:name="_Toc246996962"/>
      <w:bookmarkStart w:id="623" w:name="_Toc247085733"/>
      <w:bookmarkStart w:id="624" w:name="_Toc15607"/>
      <w:bookmarkStart w:id="625" w:name="_Toc506107310"/>
      <w:bookmarkStart w:id="626" w:name="_Toc152045575"/>
      <w:bookmarkStart w:id="627" w:name="_Toc296602462"/>
      <w:bookmarkStart w:id="628" w:name="_Toc152042351"/>
      <w:bookmarkStart w:id="629" w:name="_Toc246996219"/>
      <w:bookmarkStart w:id="630" w:name="_Toc78803368"/>
      <w:bookmarkStart w:id="631" w:name="_Toc296590983"/>
      <w:bookmarkStart w:id="632" w:name="_Toc15058895"/>
      <w:bookmarkStart w:id="633" w:name="_Toc324404857"/>
      <w:bookmarkStart w:id="634" w:name="_Toc35425098"/>
      <w:bookmarkStart w:id="635" w:name="_Toc179632593"/>
      <w:bookmarkStart w:id="636" w:name="_Toc144974543"/>
      <w:bookmarkStart w:id="637" w:name="_Toc2855"/>
      <w:bookmarkStart w:id="638" w:name="_Toc35424932"/>
      <w:r>
        <w:rPr>
          <w:rFonts w:hint="eastAsia" w:ascii="宋体" w:hAnsi="宋体" w:eastAsia="宋体" w:cs="宋体"/>
          <w:color w:val="auto"/>
          <w:highlight w:val="none"/>
        </w:rPr>
        <w:t>9.1 对招标人的纪律要求</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招标人不得泄漏招标投标活动中应当保密的情况和资料，不得与投标人串通损害国家利益、社会公共利益或者他人合法权益。</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39" w:name="_Toc15058896"/>
      <w:bookmarkStart w:id="640" w:name="_Toc296602463"/>
      <w:bookmarkStart w:id="641" w:name="_Toc35424933"/>
      <w:bookmarkStart w:id="642" w:name="_Toc35425099"/>
      <w:bookmarkStart w:id="643" w:name="_Toc144974544"/>
      <w:bookmarkStart w:id="644" w:name="_Toc247085734"/>
      <w:bookmarkStart w:id="645" w:name="_Toc506107311"/>
      <w:bookmarkStart w:id="646" w:name="_Toc324404858"/>
      <w:bookmarkStart w:id="647" w:name="_Toc246996963"/>
      <w:bookmarkStart w:id="648" w:name="_Toc152042352"/>
      <w:bookmarkStart w:id="649" w:name="_Toc179632594"/>
      <w:bookmarkStart w:id="650" w:name="_Toc19779"/>
      <w:bookmarkStart w:id="651" w:name="_Toc152045576"/>
      <w:bookmarkStart w:id="652" w:name="_Toc32177"/>
      <w:bookmarkStart w:id="653" w:name="_Toc246996220"/>
      <w:bookmarkStart w:id="654" w:name="_Toc78803369"/>
      <w:r>
        <w:rPr>
          <w:rFonts w:hint="eastAsia" w:ascii="宋体" w:hAnsi="宋体" w:eastAsia="宋体" w:cs="宋体"/>
          <w:color w:val="auto"/>
          <w:highlight w:val="none"/>
        </w:rPr>
        <w:t>9.2 对投标人的纪律要求</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55" w:name="_Toc35425100"/>
      <w:bookmarkStart w:id="656" w:name="_Toc13043"/>
      <w:bookmarkStart w:id="657" w:name="_Toc246996964"/>
      <w:bookmarkStart w:id="658" w:name="_Toc324404859"/>
      <w:bookmarkStart w:id="659" w:name="_Toc246996221"/>
      <w:bookmarkStart w:id="660" w:name="_Toc35424934"/>
      <w:bookmarkStart w:id="661" w:name="_Toc78803370"/>
      <w:bookmarkStart w:id="662" w:name="_Toc144974545"/>
      <w:bookmarkStart w:id="663" w:name="_Toc247085735"/>
      <w:bookmarkStart w:id="664" w:name="_Toc15058897"/>
      <w:bookmarkStart w:id="665" w:name="_Toc506107312"/>
      <w:bookmarkStart w:id="666" w:name="_Toc152045577"/>
      <w:bookmarkStart w:id="667" w:name="_Toc12564"/>
      <w:bookmarkStart w:id="668" w:name="_Toc179632595"/>
      <w:bookmarkStart w:id="669" w:name="_Toc152042353"/>
      <w:bookmarkStart w:id="670" w:name="_Toc296602464"/>
      <w:r>
        <w:rPr>
          <w:rFonts w:hint="eastAsia" w:ascii="宋体" w:hAnsi="宋体" w:eastAsia="宋体" w:cs="宋体"/>
          <w:color w:val="auto"/>
          <w:highlight w:val="none"/>
        </w:rPr>
        <w:t>9.3 对评标委员会成员的纪律要求</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71" w:name="_Toc296602465"/>
      <w:bookmarkStart w:id="672" w:name="_Toc152045578"/>
      <w:bookmarkStart w:id="673" w:name="_Toc179632596"/>
      <w:bookmarkStart w:id="674" w:name="_Toc35424935"/>
      <w:bookmarkStart w:id="675" w:name="_Toc246996965"/>
      <w:bookmarkStart w:id="676" w:name="_Toc246996222"/>
      <w:bookmarkStart w:id="677" w:name="_Toc35425101"/>
      <w:bookmarkStart w:id="678" w:name="_Toc18329"/>
      <w:bookmarkStart w:id="679" w:name="_Toc324404860"/>
      <w:bookmarkStart w:id="680" w:name="_Toc247085736"/>
      <w:bookmarkStart w:id="681" w:name="_Toc78803371"/>
      <w:bookmarkStart w:id="682" w:name="_Toc32214"/>
      <w:bookmarkStart w:id="683" w:name="_Toc15058898"/>
      <w:bookmarkStart w:id="684" w:name="_Toc152042354"/>
      <w:bookmarkStart w:id="685" w:name="_Toc506107313"/>
      <w:bookmarkStart w:id="686" w:name="_Toc144974546"/>
      <w:r>
        <w:rPr>
          <w:rFonts w:hint="eastAsia" w:ascii="宋体" w:hAnsi="宋体" w:eastAsia="宋体" w:cs="宋体"/>
          <w:color w:val="auto"/>
          <w:highlight w:val="none"/>
        </w:rPr>
        <w:t>9.4 对与评标活动有关的工作人员的纪律要求</w:t>
      </w:r>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687" w:name="_Toc152042355"/>
      <w:r>
        <w:rPr>
          <w:rFonts w:hint="eastAsia" w:ascii="宋体" w:hAnsi="宋体" w:cs="宋体"/>
          <w:color w:val="auto"/>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687"/>
    </w:p>
    <w:p>
      <w:pPr>
        <w:pStyle w:val="4"/>
        <w:pageBreakBefore w:val="0"/>
        <w:widowControl w:val="0"/>
        <w:kinsoku/>
        <w:wordWrap/>
        <w:overflowPunct/>
        <w:topLinePunct w:val="0"/>
        <w:autoSpaceDE/>
        <w:autoSpaceDN/>
        <w:bidi w:val="0"/>
        <w:spacing w:line="420" w:lineRule="exact"/>
        <w:ind w:firstLine="422" w:firstLineChars="200"/>
        <w:textAlignment w:val="auto"/>
        <w:rPr>
          <w:rFonts w:ascii="宋体" w:hAnsi="宋体" w:eastAsia="宋体" w:cs="宋体"/>
          <w:color w:val="auto"/>
          <w:highlight w:val="none"/>
        </w:rPr>
      </w:pPr>
      <w:bookmarkStart w:id="688" w:name="_Toc247085737"/>
      <w:bookmarkStart w:id="689" w:name="_Toc2811"/>
      <w:bookmarkStart w:id="690" w:name="_Toc296602466"/>
      <w:bookmarkStart w:id="691" w:name="_Toc152045579"/>
      <w:bookmarkStart w:id="692" w:name="_Toc78803372"/>
      <w:bookmarkStart w:id="693" w:name="_Toc15058899"/>
      <w:bookmarkStart w:id="694" w:name="_Toc35424936"/>
      <w:bookmarkStart w:id="695" w:name="_Toc179632597"/>
      <w:bookmarkStart w:id="696" w:name="_Toc152042356"/>
      <w:bookmarkStart w:id="697" w:name="_Toc23607"/>
      <w:bookmarkStart w:id="698" w:name="_Toc324404861"/>
      <w:bookmarkStart w:id="699" w:name="_Toc506107314"/>
      <w:bookmarkStart w:id="700" w:name="_Toc246996223"/>
      <w:bookmarkStart w:id="701" w:name="_Toc35425102"/>
      <w:bookmarkStart w:id="702" w:name="_Toc246996966"/>
      <w:r>
        <w:rPr>
          <w:rFonts w:hint="eastAsia" w:ascii="宋体" w:hAnsi="宋体" w:eastAsia="宋体" w:cs="宋体"/>
          <w:color w:val="auto"/>
          <w:highlight w:val="none"/>
        </w:rPr>
        <w:t>9.5 投诉</w:t>
      </w:r>
      <w:bookmarkEnd w:id="686"/>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bookmarkStart w:id="703" w:name="_Toc246996224"/>
      <w:bookmarkStart w:id="704" w:name="_Toc16463"/>
      <w:bookmarkStart w:id="705" w:name="_Toc78803373"/>
      <w:bookmarkStart w:id="706" w:name="_Toc324404862"/>
      <w:bookmarkStart w:id="707" w:name="_Toc246996967"/>
      <w:bookmarkStart w:id="708" w:name="_Toc506107315"/>
      <w:bookmarkStart w:id="709" w:name="_Toc15058900"/>
      <w:bookmarkStart w:id="710" w:name="_Toc144974547"/>
      <w:bookmarkStart w:id="711" w:name="_Toc247085738"/>
      <w:bookmarkStart w:id="712" w:name="_Toc35425103"/>
      <w:bookmarkStart w:id="713" w:name="_Toc179632598"/>
      <w:bookmarkStart w:id="714" w:name="_Toc20669"/>
      <w:bookmarkStart w:id="715" w:name="_Toc152045580"/>
      <w:bookmarkStart w:id="716" w:name="_Toc31643"/>
      <w:bookmarkStart w:id="717" w:name="_Toc152042357"/>
      <w:bookmarkStart w:id="718" w:name="_Toc35424937"/>
      <w:r>
        <w:rPr>
          <w:rFonts w:hint="eastAsia" w:ascii="宋体" w:hAnsi="宋体" w:eastAsia="宋体" w:cs="宋体"/>
          <w:color w:val="auto"/>
          <w:szCs w:val="21"/>
          <w:highlight w:val="none"/>
        </w:rPr>
        <w:t>9.5.1投标人或者其他利害关系人认为招标投标活动违反法律、法规和规章规定的，有权向相关行政监督部门投诉。投诉应当有明确的请求和必要的证明材料。</w:t>
      </w:r>
    </w:p>
    <w:p>
      <w:pPr>
        <w:pageBreakBefore w:val="0"/>
        <w:widowControl w:val="0"/>
        <w:kinsoku/>
        <w:wordWrap/>
        <w:overflowPunct/>
        <w:topLinePunct w:val="0"/>
        <w:autoSpaceDE/>
        <w:autoSpaceDN/>
        <w:bidi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9.5.2投标人和其他利害关系人对招标文件、开标和评标结果事项投诉的，应当按照投标人须知的规定先向招标人提出异议。异议答复期间不计算在第9.5.1项规定的期限内。</w:t>
      </w:r>
    </w:p>
    <w:p>
      <w:pPr>
        <w:pStyle w:val="4"/>
        <w:pageBreakBefore w:val="0"/>
        <w:widowControl w:val="0"/>
        <w:kinsoku/>
        <w:wordWrap/>
        <w:overflowPunct/>
        <w:topLinePunct w:val="0"/>
        <w:autoSpaceDE/>
        <w:autoSpaceDN/>
        <w:bidi w:val="0"/>
        <w:spacing w:beforeLines="50" w:afterLines="50" w:line="42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10.需要补充的其他内容</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pPr>
        <w:pageBreakBefore w:val="0"/>
        <w:widowControl w:val="0"/>
        <w:kinsoku/>
        <w:wordWrap/>
        <w:overflowPunct/>
        <w:topLinePunct w:val="0"/>
        <w:autoSpaceDE/>
        <w:autoSpaceDN/>
        <w:bidi w:val="0"/>
        <w:spacing w:line="420" w:lineRule="exact"/>
        <w:ind w:firstLine="420" w:firstLineChars="200"/>
        <w:jc w:val="left"/>
        <w:textAlignment w:val="auto"/>
        <w:rPr>
          <w:rFonts w:ascii="宋体" w:hAnsi="宋体" w:cs="宋体"/>
          <w:color w:val="auto"/>
          <w:szCs w:val="21"/>
          <w:highlight w:val="none"/>
        </w:rPr>
      </w:pPr>
      <w:bookmarkStart w:id="719" w:name="_Toc15058901"/>
      <w:r>
        <w:rPr>
          <w:rFonts w:hint="eastAsia" w:ascii="宋体" w:hAnsi="宋体" w:cs="宋体"/>
          <w:color w:val="auto"/>
          <w:szCs w:val="21"/>
          <w:highlight w:val="none"/>
        </w:rPr>
        <w:t>需要补充的其他内容：见投标人须知前附表。</w:t>
      </w:r>
      <w:bookmarkEnd w:id="719"/>
    </w:p>
    <w:p>
      <w:pPr>
        <w:spacing w:line="440" w:lineRule="exact"/>
        <w:jc w:val="left"/>
        <w:rPr>
          <w:rFonts w:ascii="宋体" w:hAnsi="宋体" w:cs="宋体"/>
          <w:color w:val="auto"/>
          <w:szCs w:val="21"/>
          <w:highlight w:val="none"/>
        </w:rPr>
      </w:pPr>
    </w:p>
    <w:p>
      <w:pPr>
        <w:pageBreakBefore/>
        <w:spacing w:beforeLines="80" w:afterLines="80" w:line="440" w:lineRule="exact"/>
        <w:jc w:val="center"/>
        <w:outlineLvl w:val="0"/>
        <w:rPr>
          <w:rFonts w:ascii="宋体"/>
          <w:b/>
          <w:color w:val="auto"/>
          <w:sz w:val="32"/>
          <w:szCs w:val="32"/>
          <w:highlight w:val="none"/>
        </w:rPr>
      </w:pPr>
      <w:bookmarkStart w:id="720" w:name="_Toc78803375"/>
      <w:bookmarkStart w:id="721" w:name="_Toc5501"/>
      <w:r>
        <w:rPr>
          <w:rFonts w:hint="eastAsia" w:ascii="宋体"/>
          <w:b/>
          <w:color w:val="auto"/>
          <w:sz w:val="32"/>
          <w:szCs w:val="32"/>
          <w:highlight w:val="none"/>
        </w:rPr>
        <w:t>第二章  资格审查</w:t>
      </w:r>
      <w:bookmarkEnd w:id="602"/>
      <w:r>
        <w:rPr>
          <w:rFonts w:hint="eastAsia" w:ascii="宋体"/>
          <w:b/>
          <w:color w:val="auto"/>
          <w:sz w:val="32"/>
          <w:szCs w:val="32"/>
          <w:highlight w:val="none"/>
        </w:rPr>
        <w:t>办法</w:t>
      </w:r>
      <w:bookmarkEnd w:id="603"/>
      <w:bookmarkEnd w:id="604"/>
      <w:bookmarkEnd w:id="605"/>
      <w:bookmarkEnd w:id="606"/>
      <w:bookmarkEnd w:id="720"/>
      <w:bookmarkEnd w:id="721"/>
    </w:p>
    <w:p>
      <w:pPr>
        <w:spacing w:beforeLines="50" w:afterLines="50" w:line="440" w:lineRule="exact"/>
        <w:jc w:val="center"/>
        <w:rPr>
          <w:rFonts w:ascii="宋体" w:hAnsi="宋体" w:cs="宋体"/>
          <w:b/>
          <w:bCs/>
          <w:color w:val="auto"/>
          <w:sz w:val="28"/>
          <w:szCs w:val="22"/>
          <w:highlight w:val="none"/>
        </w:rPr>
      </w:pPr>
      <w:bookmarkStart w:id="722" w:name="_Toc15058903"/>
      <w:bookmarkStart w:id="723" w:name="_Toc506107318"/>
      <w:bookmarkStart w:id="724" w:name="_Toc324404865"/>
      <w:bookmarkStart w:id="725" w:name="_Toc35425106"/>
      <w:bookmarkStart w:id="726" w:name="_Toc35424940"/>
      <w:r>
        <w:rPr>
          <w:rFonts w:hint="eastAsia" w:ascii="宋体" w:hAnsi="宋体" w:cs="宋体"/>
          <w:b/>
          <w:bCs/>
          <w:color w:val="auto"/>
          <w:sz w:val="28"/>
          <w:szCs w:val="22"/>
          <w:highlight w:val="none"/>
        </w:rPr>
        <w:t>资格审查办法前附表</w:t>
      </w:r>
      <w:bookmarkEnd w:id="722"/>
      <w:bookmarkEnd w:id="723"/>
      <w:bookmarkEnd w:id="724"/>
      <w:bookmarkEnd w:id="725"/>
      <w:bookmarkEnd w:id="726"/>
    </w:p>
    <w:p>
      <w:pPr>
        <w:spacing w:beforeLines="50" w:afterLines="50" w:line="440" w:lineRule="exact"/>
        <w:jc w:val="center"/>
        <w:rPr>
          <w:b/>
          <w:bCs/>
          <w:color w:val="auto"/>
          <w:sz w:val="24"/>
          <w:highlight w:val="none"/>
        </w:rPr>
      </w:pPr>
      <w:r>
        <w:rPr>
          <w:rFonts w:hint="eastAsia"/>
          <w:b/>
          <w:bCs/>
          <w:color w:val="auto"/>
          <w:sz w:val="24"/>
          <w:highlight w:val="none"/>
        </w:rPr>
        <w:t>资信证明文件评审</w:t>
      </w:r>
    </w:p>
    <w:tbl>
      <w:tblPr>
        <w:tblStyle w:val="46"/>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258"/>
        <w:gridCol w:w="6183"/>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3" w:hRule="atLeast"/>
          <w:jc w:val="center"/>
        </w:trPr>
        <w:tc>
          <w:tcPr>
            <w:tcW w:w="2023" w:type="dxa"/>
            <w:gridSpan w:val="2"/>
            <w:noWrap/>
            <w:vAlign w:val="center"/>
          </w:tcPr>
          <w:p>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序号</w:t>
            </w:r>
          </w:p>
        </w:tc>
        <w:tc>
          <w:tcPr>
            <w:tcW w:w="6183" w:type="dxa"/>
            <w:noWrap/>
            <w:vAlign w:val="center"/>
          </w:tcPr>
          <w:p>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审查内容</w:t>
            </w:r>
          </w:p>
        </w:tc>
        <w:tc>
          <w:tcPr>
            <w:tcW w:w="1860" w:type="dxa"/>
            <w:noWrap/>
            <w:vAlign w:val="center"/>
          </w:tcPr>
          <w:p>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65" w:type="dxa"/>
            <w:vMerge w:val="restart"/>
            <w:noWrap/>
            <w:vAlign w:val="center"/>
          </w:tcPr>
          <w:p>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1258" w:type="dxa"/>
            <w:vMerge w:val="restart"/>
            <w:noWrap/>
            <w:vAlign w:val="center"/>
          </w:tcPr>
          <w:p>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r>
              <w:rPr>
                <w:rFonts w:hint="eastAsia" w:ascii="宋体" w:hAnsi="宋体" w:cs="宋体"/>
                <w:b/>
                <w:bCs/>
                <w:color w:val="auto"/>
                <w:szCs w:val="21"/>
                <w:highlight w:val="none"/>
              </w:rPr>
              <w:t>审查资料</w:t>
            </w:r>
          </w:p>
        </w:tc>
        <w:tc>
          <w:tcPr>
            <w:tcW w:w="6183" w:type="dxa"/>
            <w:noWrap/>
            <w:vAlign w:val="center"/>
          </w:tcPr>
          <w:p>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法定代表人身份证明文件和本人有效身份证(或法定代表人授权委托书和委托代理人有效身份证)</w:t>
            </w:r>
          </w:p>
        </w:tc>
        <w:tc>
          <w:tcPr>
            <w:tcW w:w="1860" w:type="dxa"/>
            <w:noWrap/>
            <w:vAlign w:val="center"/>
          </w:tcPr>
          <w:p>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诚信投标承诺书</w:t>
            </w:r>
          </w:p>
        </w:tc>
        <w:tc>
          <w:tcPr>
            <w:tcW w:w="1860" w:type="dxa"/>
            <w:vMerge w:val="restart"/>
            <w:noWrap/>
            <w:vAlign w:val="center"/>
          </w:tcPr>
          <w:p>
            <w:pPr>
              <w:keepNext w:val="0"/>
              <w:keepLines w:val="0"/>
              <w:suppressLineNumbers w:val="0"/>
              <w:spacing w:before="0" w:beforeAutospacing="0" w:after="0" w:afterAutospacing="0" w:line="440" w:lineRule="exact"/>
              <w:ind w:left="0" w:right="0"/>
              <w:jc w:val="center"/>
              <w:rPr>
                <w:rFonts w:hint="default" w:ascii="宋体" w:hAnsi="宋体" w:cs="宋体"/>
                <w:b/>
                <w:color w:val="auto"/>
                <w:szCs w:val="21"/>
                <w:highlight w:val="none"/>
              </w:rPr>
            </w:pPr>
            <w:r>
              <w:rPr>
                <w:rFonts w:hint="eastAsia" w:ascii="宋体" w:hAnsi="宋体" w:cs="宋体"/>
                <w:b/>
                <w:color w:val="auto"/>
                <w:szCs w:val="21"/>
                <w:highlight w:val="none"/>
              </w:rPr>
              <w:t>检验电子标书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765"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企业法人营业执照</w:t>
            </w:r>
          </w:p>
        </w:tc>
        <w:tc>
          <w:tcPr>
            <w:tcW w:w="1860" w:type="dxa"/>
            <w:vMerge w:val="continue"/>
            <w:noWrap/>
            <w:vAlign w:val="center"/>
          </w:tcPr>
          <w:p>
            <w:pPr>
              <w:keepNext w:val="0"/>
              <w:keepLines w:val="0"/>
              <w:suppressLineNumbers w:val="0"/>
              <w:spacing w:before="0" w:beforeAutospacing="0" w:after="0" w:afterAutospacing="0" w:line="440" w:lineRule="exact"/>
              <w:ind w:left="0" w:right="0"/>
              <w:rPr>
                <w:rFonts w:hint="default"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center"/>
          </w:tcPr>
          <w:p>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r>
              <w:rPr>
                <w:rFonts w:hint="eastAsia" w:ascii="宋体" w:hAnsi="宋体" w:cs="宋体"/>
                <w:color w:val="auto"/>
                <w:szCs w:val="21"/>
                <w:highlight w:val="none"/>
              </w:rPr>
              <w:t>企业资质证书</w:t>
            </w:r>
          </w:p>
        </w:tc>
        <w:tc>
          <w:tcPr>
            <w:tcW w:w="1860" w:type="dxa"/>
            <w:vMerge w:val="continue"/>
            <w:noWrap/>
            <w:vAlign w:val="center"/>
          </w:tcPr>
          <w:p>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65"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企业安全生产许可证</w:t>
            </w:r>
          </w:p>
        </w:tc>
        <w:tc>
          <w:tcPr>
            <w:tcW w:w="1860" w:type="dxa"/>
            <w:vMerge w:val="continue"/>
            <w:noWrap/>
            <w:vAlign w:val="center"/>
          </w:tcPr>
          <w:p>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65"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right="0"/>
              <w:textAlignment w:val="auto"/>
              <w:rPr>
                <w:rFonts w:hint="default" w:ascii="宋体" w:hAnsi="宋体" w:cs="宋体"/>
                <w:color w:val="auto"/>
                <w:szCs w:val="21"/>
                <w:highlight w:val="none"/>
              </w:rPr>
            </w:pPr>
            <w:r>
              <w:rPr>
                <w:rFonts w:hint="eastAsia" w:ascii="宋体" w:hAnsi="宋体" w:cs="宋体"/>
                <w:color w:val="auto"/>
                <w:szCs w:val="21"/>
                <w:highlight w:val="none"/>
              </w:rPr>
              <w:t>项目经理（建造师）有效身份证、注册证书以及安全生产考核合格证书（B证）</w:t>
            </w:r>
          </w:p>
        </w:tc>
        <w:tc>
          <w:tcPr>
            <w:tcW w:w="1860" w:type="dxa"/>
            <w:vMerge w:val="continue"/>
            <w:noWrap/>
            <w:vAlign w:val="center"/>
          </w:tcPr>
          <w:p>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765"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cs="宋体"/>
                <w:color w:val="auto"/>
                <w:szCs w:val="21"/>
                <w:highlight w:val="none"/>
              </w:rPr>
            </w:pPr>
          </w:p>
        </w:tc>
        <w:tc>
          <w:tcPr>
            <w:tcW w:w="1258" w:type="dxa"/>
            <w:vMerge w:val="continue"/>
            <w:noWrap/>
            <w:vAlign w:val="center"/>
          </w:tcPr>
          <w:p>
            <w:pPr>
              <w:keepNext w:val="0"/>
              <w:keepLines w:val="0"/>
              <w:suppressLineNumbers w:val="0"/>
              <w:spacing w:before="0" w:beforeAutospacing="0" w:after="0" w:afterAutospacing="0" w:line="440" w:lineRule="exact"/>
              <w:ind w:left="0" w:right="0"/>
              <w:jc w:val="center"/>
              <w:rPr>
                <w:rFonts w:hint="default" w:ascii="宋体" w:hAnsi="宋体" w:cs="宋体"/>
                <w:b/>
                <w:bCs/>
                <w:color w:val="auto"/>
                <w:szCs w:val="21"/>
                <w:highlight w:val="none"/>
              </w:rPr>
            </w:pPr>
          </w:p>
        </w:tc>
        <w:tc>
          <w:tcPr>
            <w:tcW w:w="6183" w:type="dxa"/>
            <w:noWrap/>
            <w:vAlign w:val="top"/>
          </w:tcPr>
          <w:p>
            <w:pPr>
              <w:keepNext w:val="0"/>
              <w:keepLines w:val="0"/>
              <w:suppressLineNumbers w:val="0"/>
              <w:spacing w:before="0" w:beforeAutospacing="0" w:after="0" w:afterAutospacing="0" w:line="440" w:lineRule="exact"/>
              <w:ind w:left="0" w:right="0"/>
              <w:rPr>
                <w:rFonts w:hint="default" w:ascii="宋体" w:hAnsi="宋体" w:cs="宋体"/>
                <w:color w:val="auto"/>
                <w:highlight w:val="none"/>
              </w:rPr>
            </w:pPr>
            <w:r>
              <w:rPr>
                <w:rFonts w:hint="eastAsia" w:ascii="宋体" w:hAnsi="宋体" w:cs="宋体"/>
                <w:color w:val="auto"/>
                <w:szCs w:val="21"/>
                <w:highlight w:val="none"/>
              </w:rPr>
              <w:t>投标人的法定代表人(或委托代理人)和拟任项目经理（建造师）须持有社保部门出具的本单位为其缴纳的投标前近三个月连续的养老保险证明（含官网在线打印件，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tc>
        <w:tc>
          <w:tcPr>
            <w:tcW w:w="1860" w:type="dxa"/>
            <w:vMerge w:val="continue"/>
            <w:noWrap/>
            <w:vAlign w:val="center"/>
          </w:tcPr>
          <w:p>
            <w:pPr>
              <w:keepNext w:val="0"/>
              <w:keepLines w:val="0"/>
              <w:suppressLineNumbers w:val="0"/>
              <w:spacing w:before="0" w:beforeAutospacing="0" w:after="0" w:afterAutospacing="0" w:line="440" w:lineRule="exact"/>
              <w:ind w:left="0" w:right="0"/>
              <w:rPr>
                <w:rFonts w:hint="default" w:ascii="宋体" w:hAnsi="宋体" w:cs="宋体"/>
                <w:color w:val="auto"/>
                <w:szCs w:val="21"/>
                <w:highlight w:val="none"/>
              </w:rPr>
            </w:pPr>
          </w:p>
        </w:tc>
      </w:tr>
    </w:tbl>
    <w:p>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重要提示：</w:t>
      </w:r>
    </w:p>
    <w:p>
      <w:pPr>
        <w:spacing w:line="440" w:lineRule="exact"/>
        <w:ind w:firstLine="422" w:firstLineChars="200"/>
        <w:jc w:val="left"/>
        <w:rPr>
          <w:rFonts w:hint="eastAsia" w:ascii="宋体" w:hAnsi="宋体" w:cs="宋体"/>
          <w:b/>
          <w:bCs/>
          <w:color w:val="auto"/>
          <w:szCs w:val="21"/>
          <w:highlight w:val="none"/>
          <w:lang w:eastAsia="zh-CN"/>
        </w:rPr>
      </w:pP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）评标专家在检验电子投标文件过程中，如果由于投标人自身原因导致评标专家无法查看并检验电子投标文件中相关资料的，视为无效标处理。即使投标人将原件携带至现场的，同样按无效标处理</w:t>
      </w:r>
      <w:r>
        <w:rPr>
          <w:rFonts w:hint="eastAsia" w:ascii="宋体" w:hAnsi="宋体" w:cs="宋体"/>
          <w:b/>
          <w:bCs/>
          <w:color w:val="auto"/>
          <w:szCs w:val="21"/>
          <w:highlight w:val="none"/>
          <w:lang w:eastAsia="zh-CN"/>
        </w:rPr>
        <w:t>。</w:t>
      </w:r>
    </w:p>
    <w:p>
      <w:pPr>
        <w:spacing w:line="440" w:lineRule="exact"/>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lang w:eastAsia="zh-CN"/>
        </w:rPr>
        <w:t>）投标人拟委任项目经理为注册建造师（含一级、二级）的，须提供有效的纸质版电子证书。投标人打印纸质电子证书后，应由建造师本人在个人签名栏手写本人签名，或附其本人知情承诺，未手写签名或与签名图片笔迹不一致的，该打印的纸质证书无效（其他省份建造师电子证书执行该省现行政策规定）。投标人应对其提供的纸质版电子证书真实性、有效性负责。投标人提供的安徽省新版二级建造师电子注册证书纸质版需在安徽省住房和城乡建设执业资格注册管理系统中打印，打印后应由二级建造师本人在证书的个人签名处手写本人签名，或在新版二级建造师电子注册证书纸质版后附其本人知情承诺（视为个人签名处的手写本人签名），格式自拟。未手写个人签名或未提供二级建造师本人知情承诺的，个人签名或知情承诺签字与签名图片笔迹不一致，此证书无效。其他省份按各省相关规定执行</w:t>
      </w:r>
      <w:r>
        <w:rPr>
          <w:rFonts w:hint="eastAsia" w:ascii="宋体" w:hAnsi="宋体" w:cs="宋体"/>
          <w:b/>
          <w:bCs/>
          <w:color w:val="auto"/>
          <w:szCs w:val="21"/>
          <w:highlight w:val="none"/>
        </w:rPr>
        <w:t>。</w:t>
      </w:r>
    </w:p>
    <w:p>
      <w:pPr>
        <w:pStyle w:val="4"/>
        <w:spacing w:beforeLines="50" w:afterLines="50"/>
        <w:ind w:firstLine="422" w:firstLineChars="200"/>
        <w:rPr>
          <w:rFonts w:ascii="宋体" w:hAnsi="宋体" w:eastAsia="宋体" w:cs="宋体"/>
          <w:color w:val="auto"/>
          <w:highlight w:val="none"/>
        </w:rPr>
      </w:pPr>
      <w:bookmarkStart w:id="727" w:name="_Toc35424942"/>
      <w:bookmarkStart w:id="728" w:name="_Toc324404867"/>
      <w:bookmarkStart w:id="729" w:name="_Toc35425108"/>
      <w:bookmarkStart w:id="730" w:name="_Toc78803377"/>
      <w:bookmarkStart w:id="731" w:name="_Toc15058909"/>
      <w:bookmarkStart w:id="732" w:name="_Toc12549"/>
      <w:bookmarkStart w:id="733" w:name="_Toc506107320"/>
      <w:r>
        <w:rPr>
          <w:rFonts w:hint="eastAsia" w:ascii="宋体" w:hAnsi="宋体" w:eastAsia="宋体" w:cs="宋体"/>
          <w:color w:val="auto"/>
          <w:highlight w:val="none"/>
        </w:rPr>
        <w:t>2.审查办法</w:t>
      </w:r>
      <w:bookmarkEnd w:id="727"/>
      <w:bookmarkEnd w:id="728"/>
      <w:bookmarkEnd w:id="729"/>
      <w:bookmarkEnd w:id="730"/>
      <w:bookmarkEnd w:id="731"/>
      <w:bookmarkEnd w:id="732"/>
      <w:bookmarkEnd w:id="733"/>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由资格审查委员会（评标委员会）按资格审查办法前附表中资格审查必要合格条件评审表要求对投标人审查资料进行核验。</w:t>
      </w:r>
    </w:p>
    <w:p>
      <w:pPr>
        <w:pStyle w:val="4"/>
        <w:spacing w:beforeLines="50" w:afterLines="50"/>
        <w:ind w:firstLine="422" w:firstLineChars="200"/>
        <w:rPr>
          <w:rFonts w:ascii="宋体" w:hAnsi="宋体" w:eastAsia="宋体" w:cs="宋体"/>
          <w:color w:val="auto"/>
          <w:highlight w:val="none"/>
        </w:rPr>
      </w:pPr>
      <w:bookmarkStart w:id="734" w:name="_Toc35425109"/>
      <w:bookmarkStart w:id="735" w:name="_Toc78803378"/>
      <w:bookmarkStart w:id="736" w:name="_Toc35424943"/>
      <w:bookmarkStart w:id="737" w:name="_Toc506107321"/>
      <w:bookmarkStart w:id="738" w:name="_Toc15058910"/>
      <w:bookmarkStart w:id="739" w:name="_Toc15626"/>
      <w:bookmarkStart w:id="740" w:name="_Toc324404868"/>
      <w:r>
        <w:rPr>
          <w:rFonts w:hint="eastAsia" w:ascii="宋体" w:hAnsi="宋体" w:eastAsia="宋体" w:cs="宋体"/>
          <w:color w:val="auto"/>
          <w:highlight w:val="none"/>
        </w:rPr>
        <w:t>3.资格审查委员会和审查标准</w:t>
      </w:r>
      <w:bookmarkEnd w:id="734"/>
      <w:bookmarkEnd w:id="735"/>
      <w:bookmarkEnd w:id="736"/>
      <w:bookmarkEnd w:id="737"/>
      <w:bookmarkEnd w:id="738"/>
      <w:bookmarkEnd w:id="739"/>
      <w:bookmarkEnd w:id="740"/>
    </w:p>
    <w:p>
      <w:pPr>
        <w:spacing w:line="440" w:lineRule="exact"/>
        <w:ind w:firstLine="420" w:firstLineChars="200"/>
        <w:jc w:val="left"/>
        <w:rPr>
          <w:rFonts w:hint="eastAsia" w:ascii="宋体" w:hAnsi="宋体" w:eastAsia="宋体" w:cs="宋体"/>
          <w:color w:val="auto"/>
          <w:szCs w:val="21"/>
          <w:highlight w:val="none"/>
        </w:rPr>
      </w:pPr>
      <w:bookmarkStart w:id="741" w:name="_Toc324404869"/>
      <w:bookmarkStart w:id="742" w:name="_Toc35424944"/>
      <w:bookmarkStart w:id="743" w:name="_Toc506107322"/>
      <w:bookmarkStart w:id="744" w:name="_Toc35425110"/>
      <w:bookmarkStart w:id="745" w:name="_Toc15058911"/>
      <w:bookmarkStart w:id="746" w:name="_Toc78803379"/>
      <w:bookmarkStart w:id="747" w:name="_Toc10330"/>
      <w:r>
        <w:rPr>
          <w:rFonts w:hint="eastAsia" w:ascii="宋体" w:hAnsi="宋体" w:eastAsia="宋体" w:cs="宋体"/>
          <w:color w:val="auto"/>
          <w:szCs w:val="21"/>
          <w:highlight w:val="none"/>
        </w:rPr>
        <w:t>3.1资格审查由招标人依法组建的资格审查委员会（或评标委员会）负责。审查标准见资格审查办法前附表。</w:t>
      </w:r>
    </w:p>
    <w:p>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3.2由资格审查委员会（评标委员会）按资格审查办法前附表要求对投标人的审查资料进行核验。投标申请人有下列情形之一的，其资格审查为不合格： </w:t>
      </w:r>
    </w:p>
    <w:p>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未上传电子标书或电子标书经审查不合格；</w:t>
      </w:r>
    </w:p>
    <w:p>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未</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招标公告</w:t>
      </w:r>
      <w:r>
        <w:rPr>
          <w:rFonts w:hint="eastAsia" w:ascii="宋体" w:hAnsi="宋体" w:eastAsia="宋体" w:cs="宋体"/>
          <w:color w:val="auto"/>
          <w:szCs w:val="21"/>
          <w:highlight w:val="none"/>
        </w:rPr>
        <w:t>要求提交投标保证金的；</w:t>
      </w:r>
    </w:p>
    <w:p>
      <w:pPr>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）法律、法规规定的其他情形。</w:t>
      </w:r>
    </w:p>
    <w:p>
      <w:pPr>
        <w:pStyle w:val="4"/>
        <w:spacing w:beforeLines="50" w:afterLines="50"/>
        <w:ind w:firstLine="422" w:firstLineChars="200"/>
        <w:rPr>
          <w:rFonts w:ascii="宋体" w:hAnsi="宋体" w:eastAsia="宋体" w:cs="宋体"/>
          <w:color w:val="auto"/>
          <w:highlight w:val="none"/>
        </w:rPr>
      </w:pPr>
      <w:r>
        <w:rPr>
          <w:rFonts w:hint="eastAsia" w:ascii="宋体" w:hAnsi="宋体" w:eastAsia="宋体" w:cs="宋体"/>
          <w:color w:val="auto"/>
          <w:highlight w:val="none"/>
        </w:rPr>
        <w:t>4.审查结果</w:t>
      </w:r>
      <w:bookmarkEnd w:id="741"/>
      <w:bookmarkEnd w:id="742"/>
      <w:bookmarkEnd w:id="743"/>
      <w:bookmarkEnd w:id="744"/>
      <w:bookmarkEnd w:id="745"/>
      <w:bookmarkEnd w:id="746"/>
      <w:bookmarkEnd w:id="747"/>
    </w:p>
    <w:p>
      <w:pPr>
        <w:spacing w:line="44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只有通过资格审查的投标人才能进入下一步的评标程序。</w:t>
      </w:r>
      <w:bookmarkStart w:id="748" w:name="_Toc506107323"/>
    </w:p>
    <w:p>
      <w:pPr>
        <w:pStyle w:val="3"/>
        <w:numPr>
          <w:ilvl w:val="0"/>
          <w:numId w:val="3"/>
        </w:numPr>
        <w:spacing w:beforeLines="50" w:afterLines="50"/>
        <w:rPr>
          <w:rFonts w:hint="eastAsia" w:ascii="Arial" w:hAnsi="Arial"/>
          <w:color w:val="auto"/>
          <w:kern w:val="0"/>
          <w:sz w:val="32"/>
          <w:szCs w:val="32"/>
          <w:highlight w:val="none"/>
        </w:rPr>
      </w:pPr>
      <w:bookmarkStart w:id="749" w:name="_Toc35425111"/>
      <w:bookmarkStart w:id="750" w:name="_Toc35424945"/>
      <w:bookmarkStart w:id="751" w:name="_Toc15058912"/>
      <w:r>
        <w:rPr>
          <w:rFonts w:hint="eastAsia"/>
          <w:color w:val="auto"/>
          <w:highlight w:val="none"/>
        </w:rPr>
        <w:br w:type="page"/>
      </w:r>
      <w:bookmarkStart w:id="752" w:name="_Toc78803380"/>
      <w:r>
        <w:rPr>
          <w:rFonts w:hint="eastAsia" w:ascii="Arial" w:hAnsi="Arial"/>
          <w:color w:val="auto"/>
          <w:kern w:val="0"/>
          <w:sz w:val="32"/>
          <w:szCs w:val="32"/>
          <w:highlight w:val="none"/>
        </w:rPr>
        <w:t xml:space="preserve"> </w:t>
      </w:r>
      <w:bookmarkStart w:id="753" w:name="_Toc1286"/>
      <w:bookmarkStart w:id="754" w:name="_Toc32602"/>
      <w:r>
        <w:rPr>
          <w:rFonts w:hint="eastAsia" w:ascii="Arial" w:hAnsi="Arial"/>
          <w:color w:val="auto"/>
          <w:kern w:val="0"/>
          <w:sz w:val="32"/>
          <w:szCs w:val="32"/>
          <w:highlight w:val="none"/>
        </w:rPr>
        <w:t>评标办法</w:t>
      </w:r>
      <w:bookmarkEnd w:id="607"/>
      <w:bookmarkEnd w:id="748"/>
      <w:bookmarkEnd w:id="749"/>
      <w:bookmarkEnd w:id="750"/>
      <w:bookmarkEnd w:id="751"/>
      <w:bookmarkEnd w:id="752"/>
      <w:bookmarkEnd w:id="753"/>
      <w:bookmarkEnd w:id="754"/>
    </w:p>
    <w:p>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8"/>
          <w:szCs w:val="21"/>
          <w:highlight w:val="none"/>
          <w:lang w:val="en-US" w:eastAsia="zh-CN"/>
        </w:rPr>
      </w:pPr>
      <w:r>
        <w:rPr>
          <w:rFonts w:hint="eastAsia" w:ascii="Times New Roman" w:hAnsi="Times New Roman" w:eastAsia="宋体" w:cs="Times New Roman"/>
          <w:b/>
          <w:color w:val="auto"/>
          <w:sz w:val="28"/>
          <w:szCs w:val="21"/>
          <w:highlight w:val="none"/>
          <w:lang w:val="en-US" w:eastAsia="zh-CN"/>
        </w:rPr>
        <w:t>（</w:t>
      </w:r>
      <w:r>
        <w:rPr>
          <w:rFonts w:hint="eastAsia" w:cs="Times New Roman"/>
          <w:b/>
          <w:color w:val="auto"/>
          <w:sz w:val="28"/>
          <w:szCs w:val="21"/>
          <w:highlight w:val="none"/>
          <w:lang w:val="en-US" w:eastAsia="zh-CN"/>
        </w:rPr>
        <w:t>一</w:t>
      </w:r>
      <w:r>
        <w:rPr>
          <w:rFonts w:hint="eastAsia" w:ascii="Times New Roman" w:hAnsi="Times New Roman" w:eastAsia="宋体" w:cs="Times New Roman"/>
          <w:b/>
          <w:color w:val="auto"/>
          <w:sz w:val="28"/>
          <w:szCs w:val="21"/>
          <w:highlight w:val="none"/>
          <w:lang w:val="en-US" w:eastAsia="zh-CN"/>
        </w:rPr>
        <w:t>）资信标评分细则（</w:t>
      </w:r>
      <w:r>
        <w:rPr>
          <w:rFonts w:hint="eastAsia" w:cs="Times New Roman"/>
          <w:b/>
          <w:color w:val="auto"/>
          <w:sz w:val="28"/>
          <w:szCs w:val="21"/>
          <w:highlight w:val="none"/>
          <w:lang w:val="en-US" w:eastAsia="zh-CN"/>
        </w:rPr>
        <w:t>20</w:t>
      </w:r>
      <w:r>
        <w:rPr>
          <w:rFonts w:hint="eastAsia" w:ascii="Times New Roman" w:hAnsi="Times New Roman" w:eastAsia="宋体" w:cs="Times New Roman"/>
          <w:b/>
          <w:color w:val="auto"/>
          <w:sz w:val="28"/>
          <w:szCs w:val="21"/>
          <w:highlight w:val="none"/>
          <w:lang w:val="en-US" w:eastAsia="zh-CN"/>
        </w:rPr>
        <w:t>分）</w:t>
      </w:r>
    </w:p>
    <w:tbl>
      <w:tblPr>
        <w:tblStyle w:val="46"/>
        <w:tblW w:w="10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5"/>
        <w:gridCol w:w="1136"/>
        <w:gridCol w:w="2610"/>
        <w:gridCol w:w="5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9" w:type="dxa"/>
            <w:gridSpan w:val="2"/>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序号</w:t>
            </w:r>
          </w:p>
        </w:tc>
        <w:tc>
          <w:tcPr>
            <w:tcW w:w="3746" w:type="dxa"/>
            <w:gridSpan w:val="2"/>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5614"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41" w:type="dxa"/>
            <w:gridSpan w:val="2"/>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2610"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5614"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leftChars="0" w:right="0" w:firstLine="0" w:firstLineChars="0"/>
              <w:jc w:val="left"/>
              <w:textAlignment w:val="auto"/>
              <w:rPr>
                <w:rFonts w:hint="eastAsia"/>
                <w:color w:val="auto"/>
                <w:highlight w:val="none"/>
              </w:rPr>
            </w:pPr>
            <w:r>
              <w:rPr>
                <w:rFonts w:hint="eastAsia"/>
                <w:color w:val="auto"/>
                <w:highlight w:val="none"/>
              </w:rPr>
              <w:t>符合第</w:t>
            </w:r>
            <w:r>
              <w:rPr>
                <w:rFonts w:hint="eastAsia"/>
                <w:color w:val="auto"/>
                <w:highlight w:val="none"/>
                <w:lang w:val="en-US" w:eastAsia="zh-CN"/>
              </w:rPr>
              <w:t>七</w:t>
            </w:r>
            <w:r>
              <w:rPr>
                <w:rFonts w:hint="eastAsia"/>
                <w:color w:val="auto"/>
                <w:highlight w:val="none"/>
              </w:rPr>
              <w:t>章“投标文件格式”的要求，</w:t>
            </w:r>
          </w:p>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leftChars="0" w:right="0" w:firstLine="0" w:firstLineChars="0"/>
              <w:jc w:val="left"/>
              <w:textAlignment w:val="auto"/>
              <w:rPr>
                <w:rFonts w:hint="eastAsia"/>
                <w:color w:val="auto"/>
                <w:highlight w:val="none"/>
              </w:rPr>
            </w:pPr>
            <w:r>
              <w:rPr>
                <w:rFonts w:hint="eastAsia"/>
                <w:color w:val="auto"/>
                <w:highlight w:val="none"/>
              </w:rPr>
              <w:t>否则经评委会一致认定后</w:t>
            </w:r>
            <w:r>
              <w:rPr>
                <w:rFonts w:hint="eastAsia"/>
                <w:color w:val="auto"/>
                <w:highlight w:val="none"/>
                <w:lang w:eastAsia="zh-CN"/>
              </w:rPr>
              <w:t>，</w:t>
            </w:r>
            <w:r>
              <w:rPr>
                <w:rFonts w:hint="eastAsia"/>
                <w:color w:val="auto"/>
                <w:highlight w:val="none"/>
              </w:rPr>
              <w:t>按照无效投标处理。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restar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41" w:type="dxa"/>
            <w:gridSpan w:val="2"/>
            <w:vMerge w:val="restar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响应性评审标准</w:t>
            </w:r>
          </w:p>
        </w:tc>
        <w:tc>
          <w:tcPr>
            <w:tcW w:w="2610"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5614" w:type="dxa"/>
            <w:noWrap w:val="0"/>
            <w:vAlign w:val="top"/>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rPr>
              <w:t>章“投标人须知”第2.1项规定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continue"/>
            <w:noWrap w:val="0"/>
            <w:vAlign w:val="top"/>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top"/>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p>
        </w:tc>
        <w:tc>
          <w:tcPr>
            <w:tcW w:w="2610"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权利义务</w:t>
            </w:r>
          </w:p>
        </w:tc>
        <w:tc>
          <w:tcPr>
            <w:tcW w:w="5614" w:type="dxa"/>
            <w:noWrap w:val="0"/>
            <w:vAlign w:val="top"/>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724" w:type="dxa"/>
            <w:vMerge w:val="continue"/>
            <w:noWrap w:val="0"/>
            <w:vAlign w:val="top"/>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top"/>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p>
        </w:tc>
        <w:tc>
          <w:tcPr>
            <w:tcW w:w="2610" w:type="dxa"/>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技术标准和要求</w:t>
            </w:r>
          </w:p>
        </w:tc>
        <w:tc>
          <w:tcPr>
            <w:tcW w:w="5614" w:type="dxa"/>
            <w:noWrap w:val="0"/>
            <w:vAlign w:val="top"/>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724" w:type="dxa"/>
            <w:vMerge w:val="restar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41" w:type="dxa"/>
            <w:gridSpan w:val="2"/>
            <w:vMerge w:val="restart"/>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资信</w:t>
            </w:r>
            <w:r>
              <w:rPr>
                <w:rFonts w:hint="eastAsia" w:ascii="宋体" w:hAnsi="宋体" w:eastAsia="宋体" w:cs="宋体"/>
                <w:color w:val="auto"/>
                <w:sz w:val="21"/>
                <w:szCs w:val="21"/>
                <w:highlight w:val="none"/>
              </w:rPr>
              <w:t>标评分标准</w:t>
            </w:r>
          </w:p>
        </w:tc>
        <w:tc>
          <w:tcPr>
            <w:tcW w:w="2610"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企业实力</w:t>
            </w:r>
          </w:p>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default" w:eastAsia="宋体"/>
                <w:color w:val="auto"/>
                <w:highlight w:val="none"/>
                <w:lang w:val="en-US" w:eastAsia="zh-CN"/>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分）</w:t>
            </w:r>
          </w:p>
        </w:tc>
        <w:tc>
          <w:tcPr>
            <w:tcW w:w="5614" w:type="dxa"/>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color w:val="auto"/>
                <w:highlight w:val="none"/>
              </w:rPr>
            </w:pPr>
            <w:r>
              <w:rPr>
                <w:rFonts w:hint="eastAsia"/>
                <w:color w:val="auto"/>
                <w:highlight w:val="none"/>
              </w:rPr>
              <w:t>企业认证体系：投标人具有经中国国家认证认可监督管理委员会认证机构颁发的有效期内的下述证书的，每有一个证书得</w:t>
            </w:r>
            <w:r>
              <w:rPr>
                <w:rFonts w:hint="eastAsia"/>
                <w:color w:val="auto"/>
                <w:highlight w:val="none"/>
                <w:lang w:val="en-US" w:eastAsia="zh-CN"/>
              </w:rPr>
              <w:t>2</w:t>
            </w:r>
            <w:r>
              <w:rPr>
                <w:rFonts w:hint="eastAsia"/>
                <w:color w:val="auto"/>
                <w:highlight w:val="none"/>
              </w:rPr>
              <w:t>分，本项最高</w:t>
            </w:r>
            <w:r>
              <w:rPr>
                <w:rFonts w:hint="eastAsia"/>
                <w:color w:val="auto"/>
                <w:highlight w:val="none"/>
                <w:lang w:val="en-US" w:eastAsia="zh-CN"/>
              </w:rPr>
              <w:t>6</w:t>
            </w:r>
            <w:r>
              <w:rPr>
                <w:rFonts w:hint="eastAsia"/>
                <w:color w:val="auto"/>
                <w:highlight w:val="none"/>
              </w:rPr>
              <w:t>分。</w:t>
            </w:r>
          </w:p>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color w:val="auto"/>
                <w:highlight w:val="none"/>
              </w:rPr>
            </w:pPr>
            <w:r>
              <w:rPr>
                <w:rFonts w:hint="eastAsia"/>
                <w:color w:val="auto"/>
                <w:highlight w:val="none"/>
              </w:rPr>
              <w:t>（1）质量管理体系认证证书</w:t>
            </w:r>
          </w:p>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color w:val="auto"/>
                <w:highlight w:val="none"/>
              </w:rPr>
            </w:pPr>
            <w:r>
              <w:rPr>
                <w:rFonts w:hint="eastAsia"/>
                <w:color w:val="auto"/>
                <w:highlight w:val="none"/>
              </w:rPr>
              <w:t>（2）环境管理体系认证证书</w:t>
            </w:r>
          </w:p>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textAlignment w:val="auto"/>
              <w:rPr>
                <w:rFonts w:hint="default" w:eastAsia="宋体"/>
                <w:color w:val="auto"/>
                <w:highlight w:val="none"/>
                <w:lang w:val="en-US" w:eastAsia="zh-CN"/>
              </w:rPr>
            </w:pPr>
            <w:r>
              <w:rPr>
                <w:rFonts w:hint="eastAsia"/>
                <w:color w:val="auto"/>
                <w:highlight w:val="none"/>
              </w:rPr>
              <w:t>（3）职业健康安全管理体系认证证书</w:t>
            </w:r>
            <w:r>
              <w:rPr>
                <w:rFonts w:hint="eastAsia"/>
                <w:color w:val="auto"/>
                <w:highlight w:val="none"/>
                <w:lang w:val="en-US" w:eastAsia="zh-CN"/>
              </w:rPr>
              <w:t xml:space="preserve">  </w:t>
            </w:r>
          </w:p>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宋体" w:hAnsi="宋体" w:eastAsia="宋体" w:cs="宋体"/>
                <w:color w:val="auto"/>
                <w:sz w:val="21"/>
                <w:szCs w:val="21"/>
                <w:highlight w:val="none"/>
                <w:lang w:val="en-US" w:eastAsia="zh-CN"/>
              </w:rPr>
            </w:pPr>
            <w:r>
              <w:rPr>
                <w:rFonts w:hint="eastAsia"/>
                <w:color w:val="auto"/>
                <w:highlight w:val="none"/>
              </w:rPr>
              <w:t>注：同时提供上述证书和中国国家认证认可监督管理委员会网站（www.cnca.gov.cn）证书查询截图，且认证范围包含拟承担的服务内容，否则不得分。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724" w:type="dxa"/>
            <w:vMerge w:val="continue"/>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lang w:val="en-US" w:eastAsia="zh-CN"/>
              </w:rPr>
            </w:pPr>
          </w:p>
        </w:tc>
        <w:tc>
          <w:tcPr>
            <w:tcW w:w="2610" w:type="dxa"/>
            <w:noWrap w:val="0"/>
            <w:vAlign w:val="center"/>
          </w:tcPr>
          <w:p>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center"/>
              <w:textAlignment w:val="auto"/>
              <w:rPr>
                <w:rFonts w:hint="eastAsia" w:ascii="宋体" w:hAnsi="宋体" w:cs="宋体"/>
                <w:color w:val="auto"/>
                <w:kern w:val="0"/>
                <w:szCs w:val="21"/>
                <w:highlight w:val="none"/>
              </w:rPr>
            </w:pPr>
            <w:r>
              <w:rPr>
                <w:rFonts w:hint="eastAsia" w:ascii="宋体" w:hAnsi="宋体"/>
                <w:color w:val="auto"/>
                <w:szCs w:val="21"/>
                <w:highlight w:val="none"/>
                <w:lang w:val="en-US" w:eastAsia="zh-CN"/>
              </w:rPr>
              <w:t>技术能力（5分）</w:t>
            </w:r>
          </w:p>
        </w:tc>
        <w:tc>
          <w:tcPr>
            <w:tcW w:w="5614" w:type="dxa"/>
            <w:shd w:val="clear" w:color="auto" w:fill="auto"/>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textAlignment w:val="auto"/>
              <w:rPr>
                <w:rFonts w:hint="default"/>
                <w:color w:val="auto"/>
                <w:highlight w:val="none"/>
                <w:lang w:val="en-US"/>
              </w:rPr>
            </w:pPr>
            <w:r>
              <w:rPr>
                <w:rFonts w:hint="default"/>
                <w:color w:val="auto"/>
                <w:highlight w:val="none"/>
                <w:lang w:val="en-US"/>
              </w:rPr>
              <w:t>“技术能力”指投标人的科研开发和技术创新能力，根据本项目的特点及施工内容，投标人主编或参编过“填充式大粒径水泥稳定碎石基层”相关的国家、行业或地方标准等。提供相关证明</w:t>
            </w:r>
            <w:r>
              <w:rPr>
                <w:rFonts w:hint="eastAsia"/>
                <w:color w:val="auto"/>
                <w:highlight w:val="none"/>
                <w:lang w:val="en-US" w:eastAsia="zh-CN"/>
              </w:rPr>
              <w:t>材料</w:t>
            </w:r>
            <w:r>
              <w:rPr>
                <w:rFonts w:hint="default"/>
                <w:color w:val="auto"/>
                <w:highlight w:val="none"/>
                <w:lang w:val="en-US"/>
              </w:rPr>
              <w:t>扫描件，得</w:t>
            </w:r>
            <w:r>
              <w:rPr>
                <w:rFonts w:hint="eastAsia"/>
                <w:color w:val="auto"/>
                <w:highlight w:val="none"/>
                <w:lang w:val="en-US" w:eastAsia="zh-CN"/>
              </w:rPr>
              <w:t>5</w:t>
            </w:r>
            <w:r>
              <w:rPr>
                <w:rFonts w:hint="default"/>
                <w:color w:val="auto"/>
                <w:highlight w:val="none"/>
                <w:lang w:val="en-US"/>
              </w:rPr>
              <w:t xml:space="preserve">分；否则不得分。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724" w:type="dxa"/>
            <w:vMerge w:val="continue"/>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pPr>
              <w:keepNext w:val="0"/>
              <w:keepLines w:val="0"/>
              <w:pageBreakBefore w:val="0"/>
              <w:suppressLineNumbers w:val="0"/>
              <w:kinsoku/>
              <w:wordWrap/>
              <w:overflowPunct/>
              <w:topLinePunct w:val="0"/>
              <w:autoSpaceDE/>
              <w:autoSpaceDN/>
              <w:bidi w:val="0"/>
              <w:adjustRightIn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p>
        </w:tc>
        <w:tc>
          <w:tcPr>
            <w:tcW w:w="2610" w:type="dxa"/>
            <w:noWrap w:val="0"/>
            <w:vAlign w:val="center"/>
          </w:tcPr>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rPr>
              <w:t>项目管理机构</w:t>
            </w:r>
          </w:p>
          <w:p>
            <w:pPr>
              <w:keepNext w:val="0"/>
              <w:keepLines w:val="0"/>
              <w:pageBreakBefore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b/>
                <w:bCs/>
                <w:color w:val="auto"/>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分）</w:t>
            </w:r>
          </w:p>
        </w:tc>
        <w:tc>
          <w:tcPr>
            <w:tcW w:w="5614" w:type="dxa"/>
            <w:shd w:val="clear" w:color="auto" w:fill="auto"/>
            <w:noWrap w:val="0"/>
            <w:vAlign w:val="top"/>
          </w:tcPr>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.投标人拟组建的项目机构成员中具有公路相关专业中级及以上职称的，每提供一份得3分，最多得9分。</w:t>
            </w:r>
          </w:p>
          <w:p>
            <w:pPr>
              <w:keepNext w:val="0"/>
              <w:keepLines w:val="0"/>
              <w:pageBreakBefore w:val="0"/>
              <w:widowControl/>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注：同一人不可重复得分。</w:t>
            </w:r>
          </w:p>
        </w:tc>
      </w:tr>
    </w:tbl>
    <w:p>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8"/>
          <w:szCs w:val="21"/>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8"/>
          <w:szCs w:val="21"/>
          <w:highlight w:val="none"/>
          <w:lang w:val="en-US" w:eastAsia="zh-CN"/>
        </w:rPr>
      </w:pPr>
      <w:r>
        <w:rPr>
          <w:rFonts w:hint="eastAsia" w:ascii="Times New Roman" w:hAnsi="Times New Roman" w:eastAsia="宋体" w:cs="Times New Roman"/>
          <w:b/>
          <w:color w:val="auto"/>
          <w:sz w:val="28"/>
          <w:szCs w:val="21"/>
          <w:highlight w:val="none"/>
          <w:lang w:val="en-US" w:eastAsia="zh-CN"/>
        </w:rPr>
        <w:t>（</w:t>
      </w:r>
      <w:r>
        <w:rPr>
          <w:rFonts w:hint="eastAsia" w:cs="Times New Roman"/>
          <w:b/>
          <w:color w:val="auto"/>
          <w:sz w:val="28"/>
          <w:szCs w:val="21"/>
          <w:highlight w:val="none"/>
          <w:lang w:val="en-US" w:eastAsia="zh-CN"/>
        </w:rPr>
        <w:t>二</w:t>
      </w:r>
      <w:r>
        <w:rPr>
          <w:rFonts w:hint="eastAsia" w:ascii="Times New Roman" w:hAnsi="Times New Roman" w:eastAsia="宋体" w:cs="Times New Roman"/>
          <w:b/>
          <w:color w:val="auto"/>
          <w:sz w:val="28"/>
          <w:szCs w:val="21"/>
          <w:highlight w:val="none"/>
          <w:lang w:val="en-US" w:eastAsia="zh-CN"/>
        </w:rPr>
        <w:t>）技术标评分细则（</w:t>
      </w:r>
      <w:r>
        <w:rPr>
          <w:rFonts w:hint="eastAsia" w:cs="Times New Roman"/>
          <w:b/>
          <w:color w:val="auto"/>
          <w:sz w:val="28"/>
          <w:szCs w:val="21"/>
          <w:highlight w:val="none"/>
          <w:lang w:val="en-US" w:eastAsia="zh-CN"/>
        </w:rPr>
        <w:t>20</w:t>
      </w:r>
      <w:r>
        <w:rPr>
          <w:rFonts w:hint="eastAsia" w:ascii="Times New Roman" w:hAnsi="Times New Roman" w:eastAsia="宋体" w:cs="Times New Roman"/>
          <w:b/>
          <w:color w:val="auto"/>
          <w:sz w:val="28"/>
          <w:szCs w:val="21"/>
          <w:highlight w:val="none"/>
          <w:lang w:val="en-US" w:eastAsia="zh-CN"/>
        </w:rPr>
        <w:t>分）</w:t>
      </w:r>
    </w:p>
    <w:tbl>
      <w:tblPr>
        <w:tblStyle w:val="46"/>
        <w:tblW w:w="10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5"/>
        <w:gridCol w:w="1136"/>
        <w:gridCol w:w="2610"/>
        <w:gridCol w:w="5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29"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序号</w:t>
            </w:r>
          </w:p>
        </w:tc>
        <w:tc>
          <w:tcPr>
            <w:tcW w:w="3746"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561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41" w:type="dxa"/>
            <w:gridSpan w:val="2"/>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形式评审标准</w:t>
            </w:r>
          </w:p>
        </w:tc>
        <w:tc>
          <w:tcPr>
            <w:tcW w:w="26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投标文件格式</w:t>
            </w:r>
          </w:p>
        </w:tc>
        <w:tc>
          <w:tcPr>
            <w:tcW w:w="561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Fonts w:hint="eastAsia"/>
                <w:color w:val="auto"/>
                <w:highlight w:val="none"/>
              </w:rPr>
            </w:pPr>
            <w:r>
              <w:rPr>
                <w:rFonts w:hint="eastAsia"/>
                <w:color w:val="auto"/>
                <w:highlight w:val="none"/>
              </w:rPr>
              <w:t>符合第</w:t>
            </w:r>
            <w:r>
              <w:rPr>
                <w:rFonts w:hint="eastAsia"/>
                <w:color w:val="auto"/>
                <w:highlight w:val="none"/>
                <w:lang w:val="en-US" w:eastAsia="zh-CN"/>
              </w:rPr>
              <w:t>七</w:t>
            </w:r>
            <w:r>
              <w:rPr>
                <w:rFonts w:hint="eastAsia"/>
                <w:color w:val="auto"/>
                <w:highlight w:val="none"/>
              </w:rPr>
              <w:t>章“投标文件格式”的要求，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Fonts w:hint="eastAsia"/>
                <w:color w:val="auto"/>
                <w:highlight w:val="none"/>
              </w:rPr>
            </w:pPr>
            <w:r>
              <w:rPr>
                <w:rFonts w:hint="eastAsia"/>
                <w:color w:val="auto"/>
                <w:highlight w:val="none"/>
              </w:rPr>
              <w:t>否则经评委会一致认定后</w:t>
            </w:r>
            <w:r>
              <w:rPr>
                <w:rFonts w:hint="eastAsia"/>
                <w:color w:val="auto"/>
                <w:highlight w:val="none"/>
                <w:lang w:eastAsia="zh-CN"/>
              </w:rPr>
              <w:t>，</w:t>
            </w:r>
            <w:r>
              <w:rPr>
                <w:rFonts w:hint="eastAsia"/>
                <w:color w:val="auto"/>
                <w:highlight w:val="none"/>
              </w:rPr>
              <w:t>按照无效投标处理。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41" w:type="dxa"/>
            <w:gridSpan w:val="2"/>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响应性评审标准</w:t>
            </w:r>
          </w:p>
        </w:tc>
        <w:tc>
          <w:tcPr>
            <w:tcW w:w="26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投标内容</w:t>
            </w:r>
          </w:p>
        </w:tc>
        <w:tc>
          <w:tcPr>
            <w:tcW w:w="5614"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符合第</w:t>
            </w:r>
            <w:r>
              <w:rPr>
                <w:rFonts w:hint="eastAsia" w:ascii="宋体" w:hAnsi="宋体" w:cs="宋体"/>
                <w:color w:val="auto"/>
                <w:sz w:val="21"/>
                <w:szCs w:val="21"/>
                <w:highlight w:val="none"/>
                <w:lang w:val="en-US" w:eastAsia="zh-CN"/>
              </w:rPr>
              <w:t>一</w:t>
            </w:r>
            <w:r>
              <w:rPr>
                <w:rFonts w:hint="eastAsia" w:ascii="宋体" w:hAnsi="宋体" w:eastAsia="宋体" w:cs="宋体"/>
                <w:color w:val="auto"/>
                <w:sz w:val="21"/>
                <w:szCs w:val="21"/>
                <w:highlight w:val="none"/>
              </w:rPr>
              <w:t>章“投标人须知”第2.1项规定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724" w:type="dxa"/>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p>
        </w:tc>
        <w:tc>
          <w:tcPr>
            <w:tcW w:w="26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权利义务</w:t>
            </w:r>
          </w:p>
        </w:tc>
        <w:tc>
          <w:tcPr>
            <w:tcW w:w="5614"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724" w:type="dxa"/>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p>
        </w:tc>
        <w:tc>
          <w:tcPr>
            <w:tcW w:w="26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技术标准和要求</w:t>
            </w:r>
          </w:p>
        </w:tc>
        <w:tc>
          <w:tcPr>
            <w:tcW w:w="5614"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4" w:type="dxa"/>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41" w:type="dxa"/>
            <w:gridSpan w:val="2"/>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技术标评分标准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施工组织设计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（20分）</w:t>
            </w:r>
          </w:p>
        </w:tc>
        <w:tc>
          <w:tcPr>
            <w:tcW w:w="26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eastAsia="宋体"/>
                <w:color w:val="auto"/>
                <w:highlight w:val="none"/>
                <w:lang w:val="en-US" w:eastAsia="zh-CN"/>
              </w:rPr>
            </w:pPr>
            <w:r>
              <w:rPr>
                <w:rFonts w:hint="default" w:eastAsia="宋体"/>
                <w:color w:val="auto"/>
                <w:highlight w:val="none"/>
                <w:lang w:val="en-US" w:eastAsia="zh-CN"/>
              </w:rPr>
              <w:t>总体施工组织布置及规划</w:t>
            </w:r>
            <w:r>
              <w:rPr>
                <w:rFonts w:hint="eastAsia"/>
                <w:color w:val="auto"/>
                <w:highlight w:val="none"/>
                <w:lang w:val="en-US" w:eastAsia="zh-CN"/>
              </w:rPr>
              <w:t>（4分）</w:t>
            </w:r>
          </w:p>
        </w:tc>
        <w:tc>
          <w:tcPr>
            <w:tcW w:w="5614" w:type="dxa"/>
            <w:shd w:val="clear" w:color="auto" w:fill="auto"/>
            <w:noWrap w:val="0"/>
            <w:vAlign w:val="center"/>
          </w:tcPr>
          <w:p>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结合本工程特点，依据投标人提出的总体施工组织布置及规划进行评审。</w:t>
            </w:r>
          </w:p>
          <w:p>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优秀：4分，良好：3.6分，一般：3.2分，合格：2.8分。明显不合理的、错误的或者未提供的不得分。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宋体"/>
                <w:color w:val="auto"/>
                <w:sz w:val="21"/>
                <w:szCs w:val="21"/>
                <w:highlight w:val="none"/>
                <w:lang w:val="en-US" w:eastAsia="zh-CN"/>
              </w:rPr>
            </w:pPr>
          </w:p>
        </w:tc>
        <w:tc>
          <w:tcPr>
            <w:tcW w:w="26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eastAsia="宋体"/>
                <w:color w:val="auto"/>
                <w:highlight w:val="none"/>
                <w:lang w:val="en-US" w:eastAsia="zh-CN"/>
              </w:rPr>
            </w:pPr>
            <w:r>
              <w:rPr>
                <w:rFonts w:hint="default" w:eastAsia="宋体"/>
                <w:color w:val="auto"/>
                <w:highlight w:val="none"/>
                <w:lang w:val="en-US" w:eastAsia="zh-CN"/>
              </w:rPr>
              <w:t>主要工程项目的施工方案、方法与技术措施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eastAsia="宋体"/>
                <w:color w:val="auto"/>
                <w:highlight w:val="none"/>
                <w:lang w:val="en-US" w:eastAsia="zh-CN"/>
              </w:rPr>
            </w:pPr>
            <w:r>
              <w:rPr>
                <w:rFonts w:hint="default" w:eastAsia="宋体"/>
                <w:color w:val="auto"/>
                <w:highlight w:val="none"/>
                <w:lang w:val="en-US" w:eastAsia="zh-CN"/>
              </w:rPr>
              <w:t>（</w:t>
            </w:r>
            <w:r>
              <w:rPr>
                <w:rFonts w:hint="eastAsia"/>
                <w:color w:val="auto"/>
                <w:highlight w:val="none"/>
                <w:lang w:val="en-US" w:eastAsia="zh-CN"/>
              </w:rPr>
              <w:t>2</w:t>
            </w:r>
            <w:r>
              <w:rPr>
                <w:rFonts w:hint="default" w:eastAsia="宋体"/>
                <w:color w:val="auto"/>
                <w:highlight w:val="none"/>
                <w:lang w:val="en-US" w:eastAsia="zh-CN"/>
              </w:rPr>
              <w:t>分）</w:t>
            </w:r>
          </w:p>
        </w:tc>
        <w:tc>
          <w:tcPr>
            <w:tcW w:w="5614" w:type="dxa"/>
            <w:shd w:val="clear" w:color="auto" w:fill="auto"/>
            <w:noWrap w:val="0"/>
            <w:vAlign w:val="center"/>
          </w:tcPr>
          <w:p>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依据各分部分项工程的主要工程项目的施工方案、方法与技术措施进行评审。</w:t>
            </w:r>
          </w:p>
          <w:p>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优秀：2分，良好：1.8分，一般：1.6分，合格：1.4分。明显不合理的、错误的或者未提供的不得分。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宋体"/>
                <w:color w:val="auto"/>
                <w:sz w:val="21"/>
                <w:szCs w:val="21"/>
                <w:highlight w:val="none"/>
                <w:lang w:val="en-US" w:eastAsia="zh-CN"/>
              </w:rPr>
            </w:pPr>
          </w:p>
        </w:tc>
        <w:tc>
          <w:tcPr>
            <w:tcW w:w="26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eastAsia="宋体"/>
                <w:color w:val="auto"/>
                <w:highlight w:val="none"/>
                <w:lang w:val="en-US" w:eastAsia="zh-CN"/>
              </w:rPr>
            </w:pPr>
            <w:r>
              <w:rPr>
                <w:rFonts w:hint="default" w:eastAsia="宋体"/>
                <w:color w:val="auto"/>
                <w:highlight w:val="none"/>
                <w:lang w:val="en-US" w:eastAsia="zh-CN"/>
              </w:rPr>
              <w:t>项目施工过程重难点分析、针对重难点的相关措施（</w:t>
            </w:r>
            <w:r>
              <w:rPr>
                <w:rFonts w:hint="eastAsia"/>
                <w:color w:val="auto"/>
                <w:highlight w:val="none"/>
                <w:lang w:val="en-US" w:eastAsia="zh-CN"/>
              </w:rPr>
              <w:t>2</w:t>
            </w:r>
            <w:r>
              <w:rPr>
                <w:rFonts w:hint="default" w:eastAsia="宋体"/>
                <w:color w:val="auto"/>
                <w:highlight w:val="none"/>
                <w:lang w:val="en-US" w:eastAsia="zh-CN"/>
              </w:rPr>
              <w:t>分）</w:t>
            </w:r>
          </w:p>
        </w:tc>
        <w:tc>
          <w:tcPr>
            <w:tcW w:w="5614" w:type="dxa"/>
            <w:shd w:val="clear" w:color="auto" w:fill="auto"/>
            <w:noWrap w:val="0"/>
            <w:vAlign w:val="center"/>
          </w:tcPr>
          <w:p>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结合本工程施工内容，依据投标人的相关情况，对施工过程中的重难点逐条分析，并对重难点实施措施进行评审。</w:t>
            </w:r>
          </w:p>
          <w:p>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优秀：2分，良好：1.8分，一般：1.6分，合格：1.4分。明显不合理的、错误的或者未提供的不得分。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宋体"/>
                <w:color w:val="auto"/>
                <w:sz w:val="21"/>
                <w:szCs w:val="21"/>
                <w:highlight w:val="none"/>
                <w:lang w:val="en-US" w:eastAsia="zh-CN"/>
              </w:rPr>
            </w:pPr>
          </w:p>
        </w:tc>
        <w:tc>
          <w:tcPr>
            <w:tcW w:w="26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eastAsia="宋体"/>
                <w:color w:val="auto"/>
                <w:highlight w:val="none"/>
                <w:lang w:val="en-US" w:eastAsia="zh-CN"/>
              </w:rPr>
            </w:pPr>
            <w:r>
              <w:rPr>
                <w:rFonts w:hint="default" w:eastAsia="宋体"/>
                <w:color w:val="auto"/>
                <w:highlight w:val="none"/>
                <w:lang w:val="en-US" w:eastAsia="zh-CN"/>
              </w:rPr>
              <w:t>工期保证体系及保证措施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eastAsia="宋体"/>
                <w:color w:val="auto"/>
                <w:highlight w:val="none"/>
                <w:lang w:val="en-US" w:eastAsia="zh-CN"/>
              </w:rPr>
            </w:pPr>
            <w:r>
              <w:rPr>
                <w:rFonts w:hint="default" w:eastAsia="宋体"/>
                <w:color w:val="auto"/>
                <w:highlight w:val="none"/>
                <w:lang w:val="en-US" w:eastAsia="zh-CN"/>
              </w:rPr>
              <w:t>（</w:t>
            </w:r>
            <w:r>
              <w:rPr>
                <w:rFonts w:hint="eastAsia"/>
                <w:color w:val="auto"/>
                <w:highlight w:val="none"/>
                <w:lang w:val="en-US" w:eastAsia="zh-CN"/>
              </w:rPr>
              <w:t>2</w:t>
            </w:r>
            <w:r>
              <w:rPr>
                <w:rFonts w:hint="default" w:eastAsia="宋体"/>
                <w:color w:val="auto"/>
                <w:highlight w:val="none"/>
                <w:lang w:val="en-US" w:eastAsia="zh-CN"/>
              </w:rPr>
              <w:t>分）</w:t>
            </w:r>
          </w:p>
        </w:tc>
        <w:tc>
          <w:tcPr>
            <w:tcW w:w="5614" w:type="dxa"/>
            <w:shd w:val="clear" w:color="auto" w:fill="auto"/>
            <w:noWrap w:val="0"/>
            <w:vAlign w:val="center"/>
          </w:tcPr>
          <w:p>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结合本工程特点，依据投标人提出的工期保证体系及保证措施进行评审。</w:t>
            </w:r>
          </w:p>
          <w:p>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优秀：2分，良好：1.8分，一般：1.6分，合格：1.4分。明显不合理的、错误的或者未提供的不得分。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宋体"/>
                <w:color w:val="auto"/>
                <w:sz w:val="21"/>
                <w:szCs w:val="21"/>
                <w:highlight w:val="none"/>
                <w:lang w:val="en-US" w:eastAsia="zh-CN"/>
              </w:rPr>
            </w:pPr>
          </w:p>
        </w:tc>
        <w:tc>
          <w:tcPr>
            <w:tcW w:w="26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eastAsia="宋体"/>
                <w:color w:val="auto"/>
                <w:highlight w:val="none"/>
                <w:lang w:val="en-US" w:eastAsia="zh-CN"/>
              </w:rPr>
            </w:pPr>
            <w:r>
              <w:rPr>
                <w:rFonts w:hint="default" w:eastAsia="宋体"/>
                <w:color w:val="auto"/>
                <w:highlight w:val="none"/>
                <w:lang w:val="en-US" w:eastAsia="zh-CN"/>
              </w:rPr>
              <w:t>工程质量管理体系及保证措施（</w:t>
            </w:r>
            <w:r>
              <w:rPr>
                <w:rFonts w:hint="eastAsia"/>
                <w:color w:val="auto"/>
                <w:highlight w:val="none"/>
                <w:lang w:val="en-US" w:eastAsia="zh-CN"/>
              </w:rPr>
              <w:t>2</w:t>
            </w:r>
            <w:r>
              <w:rPr>
                <w:rFonts w:hint="default" w:eastAsia="宋体"/>
                <w:color w:val="auto"/>
                <w:highlight w:val="none"/>
                <w:lang w:val="en-US" w:eastAsia="zh-CN"/>
              </w:rPr>
              <w:t>分）</w:t>
            </w:r>
          </w:p>
        </w:tc>
        <w:tc>
          <w:tcPr>
            <w:tcW w:w="5614" w:type="dxa"/>
            <w:shd w:val="clear" w:color="auto" w:fill="auto"/>
            <w:noWrap w:val="0"/>
            <w:vAlign w:val="center"/>
          </w:tcPr>
          <w:p>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结合本工程特点，依据投标人提出的工程质量管理体系及保证措施进行评审。</w:t>
            </w:r>
          </w:p>
          <w:p>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优秀：2分，良好：1.8分，一般：1.6分，合格：1.4分。明显不合理的、错误的或者未提供的不得分。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宋体"/>
                <w:color w:val="auto"/>
                <w:sz w:val="21"/>
                <w:szCs w:val="21"/>
                <w:highlight w:val="none"/>
                <w:lang w:val="en-US" w:eastAsia="zh-CN"/>
              </w:rPr>
            </w:pPr>
          </w:p>
        </w:tc>
        <w:tc>
          <w:tcPr>
            <w:tcW w:w="26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eastAsia="宋体"/>
                <w:color w:val="auto"/>
                <w:highlight w:val="none"/>
                <w:lang w:val="en-US" w:eastAsia="zh-CN"/>
              </w:rPr>
            </w:pPr>
            <w:r>
              <w:rPr>
                <w:rFonts w:hint="default" w:eastAsia="宋体"/>
                <w:color w:val="auto"/>
                <w:highlight w:val="none"/>
                <w:lang w:val="en-US" w:eastAsia="zh-CN"/>
              </w:rPr>
              <w:t>安全生产管理体系及保证措施（</w:t>
            </w:r>
            <w:r>
              <w:rPr>
                <w:rFonts w:hint="eastAsia"/>
                <w:color w:val="auto"/>
                <w:highlight w:val="none"/>
                <w:lang w:val="en-US" w:eastAsia="zh-CN"/>
              </w:rPr>
              <w:t>2</w:t>
            </w:r>
            <w:r>
              <w:rPr>
                <w:rFonts w:hint="default" w:eastAsia="宋体"/>
                <w:color w:val="auto"/>
                <w:highlight w:val="none"/>
                <w:lang w:val="en-US" w:eastAsia="zh-CN"/>
              </w:rPr>
              <w:t>分）</w:t>
            </w:r>
          </w:p>
        </w:tc>
        <w:tc>
          <w:tcPr>
            <w:tcW w:w="5614" w:type="dxa"/>
            <w:shd w:val="clear" w:color="auto" w:fill="auto"/>
            <w:noWrap w:val="0"/>
            <w:vAlign w:val="center"/>
          </w:tcPr>
          <w:p>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结合本工程特点，依据投标人提出的安全生产管理体系及保证措施进行评审。</w:t>
            </w:r>
          </w:p>
          <w:p>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优秀：2分，良好：1.8分，一般：1.6分，合格：1.4分。明显不合理的、错误的或者未提供的不得分。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宋体"/>
                <w:color w:val="auto"/>
                <w:sz w:val="21"/>
                <w:szCs w:val="21"/>
                <w:highlight w:val="none"/>
                <w:lang w:val="en-US" w:eastAsia="zh-CN"/>
              </w:rPr>
            </w:pPr>
          </w:p>
        </w:tc>
        <w:tc>
          <w:tcPr>
            <w:tcW w:w="26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eastAsia="宋体"/>
                <w:color w:val="auto"/>
                <w:highlight w:val="none"/>
                <w:lang w:val="en-US" w:eastAsia="zh-CN"/>
              </w:rPr>
            </w:pPr>
            <w:r>
              <w:rPr>
                <w:rFonts w:hint="default" w:eastAsia="宋体"/>
                <w:color w:val="auto"/>
                <w:highlight w:val="none"/>
                <w:lang w:val="en-US" w:eastAsia="zh-CN"/>
              </w:rPr>
              <w:t>环境保护、水土保持保证体系及保证措施（</w:t>
            </w:r>
            <w:r>
              <w:rPr>
                <w:rFonts w:hint="eastAsia"/>
                <w:color w:val="auto"/>
                <w:highlight w:val="none"/>
                <w:lang w:val="en-US" w:eastAsia="zh-CN"/>
              </w:rPr>
              <w:t>2</w:t>
            </w:r>
            <w:r>
              <w:rPr>
                <w:rFonts w:hint="default" w:eastAsia="宋体"/>
                <w:color w:val="auto"/>
                <w:highlight w:val="none"/>
                <w:lang w:val="en-US" w:eastAsia="zh-CN"/>
              </w:rPr>
              <w:t>分）</w:t>
            </w:r>
          </w:p>
        </w:tc>
        <w:tc>
          <w:tcPr>
            <w:tcW w:w="5614" w:type="dxa"/>
            <w:shd w:val="clear" w:color="auto" w:fill="auto"/>
            <w:noWrap w:val="0"/>
            <w:vAlign w:val="center"/>
          </w:tcPr>
          <w:p>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结合本工程特点，依据投标人提出的环境保护、水土保持保证体系及保证措施进行评审。</w:t>
            </w:r>
          </w:p>
          <w:p>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优秀：2分，良好：1.8分，一般：1.6分，合格：1.4分。明显不合理的、错误的或者未提供的不得分。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宋体"/>
                <w:color w:val="auto"/>
                <w:sz w:val="21"/>
                <w:szCs w:val="21"/>
                <w:highlight w:val="none"/>
                <w:lang w:val="en-US" w:eastAsia="zh-CN"/>
              </w:rPr>
            </w:pPr>
          </w:p>
        </w:tc>
        <w:tc>
          <w:tcPr>
            <w:tcW w:w="26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eastAsia="宋体"/>
                <w:color w:val="auto"/>
                <w:highlight w:val="none"/>
                <w:lang w:val="en-US" w:eastAsia="zh-CN"/>
              </w:rPr>
            </w:pPr>
            <w:r>
              <w:rPr>
                <w:rFonts w:hint="default" w:eastAsia="宋体"/>
                <w:color w:val="auto"/>
                <w:highlight w:val="none"/>
                <w:lang w:val="en-US" w:eastAsia="zh-CN"/>
              </w:rPr>
              <w:t>文明施工保证体系及保证措施（2分）</w:t>
            </w:r>
          </w:p>
        </w:tc>
        <w:tc>
          <w:tcPr>
            <w:tcW w:w="5614" w:type="dxa"/>
            <w:shd w:val="clear" w:color="auto" w:fill="auto"/>
            <w:noWrap w:val="0"/>
            <w:vAlign w:val="center"/>
          </w:tcPr>
          <w:p>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结合本工程特点，依据投标人提出的文明施工保证体系及保证措施进行评审。</w:t>
            </w:r>
          </w:p>
          <w:p>
            <w:pPr>
              <w:keepNext w:val="0"/>
              <w:keepLines w:val="0"/>
              <w:pageBreakBefore w:val="0"/>
              <w:widowControl w:val="0"/>
              <w:numPr>
                <w:ilvl w:val="0"/>
                <w:numId w:val="0"/>
              </w:numPr>
              <w:suppressLineNumbers w:val="0"/>
              <w:tabs>
                <w:tab w:val="right" w:leader="dot" w:pos="8306"/>
              </w:tabs>
              <w:kinsoku/>
              <w:wordWrap/>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优秀：2分，良好：1.8分，一般：1.6分，合格：1.4分。明显不合理的、错误的或者未提供的不得分。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24" w:type="dxa"/>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p>
        </w:tc>
        <w:tc>
          <w:tcPr>
            <w:tcW w:w="1141" w:type="dxa"/>
            <w:gridSpan w:val="2"/>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color w:val="auto"/>
                <w:sz w:val="21"/>
                <w:szCs w:val="21"/>
                <w:highlight w:val="none"/>
              </w:rPr>
            </w:pPr>
          </w:p>
        </w:tc>
        <w:tc>
          <w:tcPr>
            <w:tcW w:w="261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eastAsia="宋体"/>
                <w:color w:val="auto"/>
                <w:highlight w:val="none"/>
                <w:lang w:val="en-US" w:eastAsia="zh-CN"/>
              </w:rPr>
            </w:pPr>
            <w:r>
              <w:rPr>
                <w:rFonts w:hint="eastAsia" w:eastAsia="宋体"/>
                <w:color w:val="auto"/>
                <w:highlight w:val="none"/>
                <w:lang w:val="en-US" w:eastAsia="zh-CN"/>
              </w:rPr>
              <w:t>项目风险预测与防范，事故应急预案（2分）</w:t>
            </w:r>
          </w:p>
        </w:tc>
        <w:tc>
          <w:tcPr>
            <w:tcW w:w="5614" w:type="dxa"/>
            <w:shd w:val="clear" w:color="auto" w:fill="auto"/>
            <w:noWrap w:val="0"/>
            <w:vAlign w:val="center"/>
          </w:tcPr>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结合本工程特点，依据投标人的项目风险预测与防范，事故应急预案进行评审。</w:t>
            </w:r>
          </w:p>
          <w:p>
            <w:pPr>
              <w:pStyle w:val="1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优秀：2分，良好：1.8分，一般：1.6分，合格：1.4分。明显不合理的、错误的或者未提供的不得分。</w:t>
            </w:r>
          </w:p>
        </w:tc>
      </w:tr>
    </w:tbl>
    <w:p>
      <w:pPr>
        <w:pStyle w:val="199"/>
        <w:keepNext w:val="0"/>
        <w:keepLines w:val="0"/>
        <w:pageBreakBefore w:val="0"/>
        <w:widowControl w:val="0"/>
        <w:kinsoku/>
        <w:wordWrap/>
        <w:overflowPunct/>
        <w:topLinePunct w:val="0"/>
        <w:autoSpaceDE/>
        <w:autoSpaceDN/>
        <w:bidi w:val="0"/>
        <w:spacing w:line="440" w:lineRule="exact"/>
        <w:ind w:left="59" w:leftChars="28" w:firstLine="0"/>
        <w:jc w:val="left"/>
        <w:textAlignment w:val="auto"/>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rPr>
        <w:t>备注</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rPr>
        <w:t>该项由专家评委评审打分，取所有评委评分的平均值为最终得分，保留两位小数点，第三位四舍五入</w:t>
      </w:r>
      <w:r>
        <w:rPr>
          <w:rFonts w:hint="eastAsia" w:ascii="宋体" w:hAnsi="宋体" w:cs="宋体"/>
          <w:b/>
          <w:bCs/>
          <w:color w:val="auto"/>
          <w:szCs w:val="21"/>
          <w:highlight w:val="none"/>
          <w:lang w:eastAsia="zh-CN"/>
        </w:rPr>
        <w:t>。</w:t>
      </w:r>
    </w:p>
    <w:p>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8"/>
          <w:szCs w:val="21"/>
          <w:highlight w:val="none"/>
          <w:lang w:val="en-US" w:eastAsia="zh-CN"/>
        </w:rPr>
      </w:pPr>
    </w:p>
    <w:p>
      <w:pPr>
        <w:pStyle w:val="28"/>
        <w:keepNext w:val="0"/>
        <w:keepLines w:val="0"/>
        <w:pageBreakBefore w:val="0"/>
        <w:widowControl w:val="0"/>
        <w:numPr>
          <w:ilvl w:val="0"/>
          <w:numId w:val="0"/>
        </w:numPr>
        <w:kinsoku/>
        <w:wordWrap/>
        <w:overflowPunct/>
        <w:topLinePunct w:val="0"/>
        <w:autoSpaceDE/>
        <w:autoSpaceDN/>
        <w:bidi w:val="0"/>
        <w:adjustRightInd/>
        <w:snapToGrid/>
        <w:spacing w:before="95" w:beforeLines="30" w:after="95" w:afterLines="30" w:line="440" w:lineRule="exact"/>
        <w:ind w:leftChars="200"/>
        <w:jc w:val="center"/>
        <w:textAlignment w:val="auto"/>
        <w:rPr>
          <w:rFonts w:hint="eastAsia" w:ascii="Times New Roman" w:hAnsi="Times New Roman" w:eastAsia="宋体" w:cs="Times New Roman"/>
          <w:b/>
          <w:color w:val="auto"/>
          <w:sz w:val="28"/>
          <w:szCs w:val="21"/>
          <w:highlight w:val="none"/>
          <w:lang w:val="en-US" w:eastAsia="zh-CN"/>
        </w:rPr>
      </w:pPr>
      <w:r>
        <w:rPr>
          <w:rFonts w:hint="eastAsia" w:ascii="Times New Roman" w:hAnsi="Times New Roman" w:eastAsia="宋体" w:cs="Times New Roman"/>
          <w:b/>
          <w:color w:val="auto"/>
          <w:sz w:val="28"/>
          <w:szCs w:val="21"/>
          <w:highlight w:val="none"/>
          <w:lang w:val="en-US" w:eastAsia="zh-CN"/>
        </w:rPr>
        <w:t>（</w:t>
      </w:r>
      <w:r>
        <w:rPr>
          <w:rFonts w:hint="eastAsia" w:cs="Times New Roman"/>
          <w:b/>
          <w:color w:val="auto"/>
          <w:sz w:val="28"/>
          <w:szCs w:val="21"/>
          <w:highlight w:val="none"/>
          <w:lang w:val="en-US" w:eastAsia="zh-CN"/>
        </w:rPr>
        <w:t>三</w:t>
      </w:r>
      <w:r>
        <w:rPr>
          <w:rFonts w:hint="eastAsia" w:ascii="Times New Roman" w:hAnsi="Times New Roman" w:eastAsia="宋体" w:cs="Times New Roman"/>
          <w:b/>
          <w:color w:val="auto"/>
          <w:sz w:val="28"/>
          <w:szCs w:val="21"/>
          <w:highlight w:val="none"/>
          <w:lang w:val="en-US" w:eastAsia="zh-CN"/>
        </w:rPr>
        <w:t>）商务标评审</w:t>
      </w:r>
      <w:r>
        <w:rPr>
          <w:rFonts w:hint="eastAsia" w:cs="Times New Roman"/>
          <w:b/>
          <w:color w:val="auto"/>
          <w:sz w:val="28"/>
          <w:szCs w:val="21"/>
          <w:highlight w:val="none"/>
          <w:lang w:val="en-US" w:eastAsia="zh-CN"/>
        </w:rPr>
        <w:t>（60分）</w:t>
      </w:r>
    </w:p>
    <w:tbl>
      <w:tblPr>
        <w:tblStyle w:val="46"/>
        <w:tblW w:w="95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915"/>
        <w:gridCol w:w="945"/>
        <w:gridCol w:w="3802"/>
        <w:gridCol w:w="5"/>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671" w:type="dxa"/>
            <w:gridSpan w:val="3"/>
            <w:noWrap/>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default" w:ascii="宋体" w:hAnsi="宋体" w:cs="宋体"/>
                <w:b/>
                <w:bCs/>
                <w:color w:val="auto"/>
                <w:szCs w:val="21"/>
                <w:highlight w:val="none"/>
              </w:rPr>
            </w:pPr>
            <w:r>
              <w:rPr>
                <w:rFonts w:hint="eastAsia" w:ascii="宋体" w:hAnsi="宋体" w:cs="宋体"/>
                <w:b/>
                <w:bCs/>
                <w:color w:val="auto"/>
                <w:szCs w:val="21"/>
                <w:highlight w:val="none"/>
                <w:lang w:val="en-US" w:eastAsia="zh-CN"/>
              </w:rPr>
              <w:t>序</w:t>
            </w:r>
            <w:r>
              <w:rPr>
                <w:rFonts w:hint="eastAsia" w:ascii="宋体" w:hAnsi="宋体" w:cs="宋体"/>
                <w:b/>
                <w:bCs/>
                <w:color w:val="auto"/>
                <w:szCs w:val="21"/>
                <w:highlight w:val="none"/>
              </w:rPr>
              <w:t>号</w:t>
            </w:r>
          </w:p>
        </w:tc>
        <w:tc>
          <w:tcPr>
            <w:tcW w:w="3802" w:type="dxa"/>
            <w:noWrap/>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default" w:ascii="宋体" w:hAnsi="宋体" w:cs="宋体"/>
                <w:b/>
                <w:bCs/>
                <w:color w:val="auto"/>
                <w:szCs w:val="21"/>
                <w:highlight w:val="none"/>
              </w:rPr>
            </w:pPr>
            <w:r>
              <w:rPr>
                <w:rFonts w:hint="eastAsia" w:ascii="宋体" w:hAnsi="宋体" w:cs="宋体"/>
                <w:b/>
                <w:bCs/>
                <w:color w:val="auto"/>
                <w:szCs w:val="21"/>
                <w:highlight w:val="none"/>
              </w:rPr>
              <w:t>评审因素</w:t>
            </w:r>
          </w:p>
        </w:tc>
        <w:tc>
          <w:tcPr>
            <w:tcW w:w="3083" w:type="dxa"/>
            <w:gridSpan w:val="2"/>
            <w:noWrap/>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default" w:ascii="宋体" w:hAnsi="宋体" w:cs="宋体"/>
                <w:b/>
                <w:bCs/>
                <w:color w:val="auto"/>
                <w:szCs w:val="21"/>
                <w:highlight w:val="none"/>
              </w:rPr>
            </w:pPr>
            <w:r>
              <w:rPr>
                <w:rFonts w:hint="eastAsia" w:ascii="宋体" w:hAnsi="宋体" w:cs="宋体"/>
                <w:b/>
                <w:bCs/>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1" w:type="dxa"/>
            <w:vMerge w:val="restart"/>
            <w:noWrap/>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1</w:t>
            </w:r>
          </w:p>
        </w:tc>
        <w:tc>
          <w:tcPr>
            <w:tcW w:w="1860" w:type="dxa"/>
            <w:gridSpan w:val="2"/>
            <w:vMerge w:val="restart"/>
            <w:noWrap/>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形式评审标准</w:t>
            </w:r>
          </w:p>
        </w:tc>
        <w:tc>
          <w:tcPr>
            <w:tcW w:w="3802" w:type="dxa"/>
            <w:noWrap/>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投标函签字盖章</w:t>
            </w:r>
          </w:p>
        </w:tc>
        <w:tc>
          <w:tcPr>
            <w:tcW w:w="3083" w:type="dxa"/>
            <w:gridSpan w:val="2"/>
            <w:noWrap/>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有投标人及其法定代表人</w:t>
            </w:r>
            <w:r>
              <w:rPr>
                <w:rFonts w:hint="eastAsia" w:ascii="宋体" w:hAnsi="宋体" w:eastAsia="宋体" w:cs="宋体"/>
                <w:color w:val="auto"/>
                <w:szCs w:val="21"/>
                <w:highlight w:val="none"/>
                <w:lang w:val="en-US" w:eastAsia="zh-CN"/>
              </w:rPr>
              <w:t>签字或盖章</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Merge w:val="continue"/>
            <w:noWra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p>
        </w:tc>
        <w:tc>
          <w:tcPr>
            <w:tcW w:w="1860" w:type="dxa"/>
            <w:gridSpan w:val="2"/>
            <w:vMerge w:val="continue"/>
            <w:noWra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p>
        </w:tc>
        <w:tc>
          <w:tcPr>
            <w:tcW w:w="3802" w:type="dxa"/>
            <w:noWrap/>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投标文件格式</w:t>
            </w:r>
          </w:p>
        </w:tc>
        <w:tc>
          <w:tcPr>
            <w:tcW w:w="3083" w:type="dxa"/>
            <w:gridSpan w:val="2"/>
            <w:noWrap/>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符合第</w:t>
            </w:r>
            <w:r>
              <w:rPr>
                <w:rFonts w:hint="eastAsia" w:ascii="宋体" w:hAnsi="宋体" w:eastAsia="宋体" w:cs="宋体"/>
                <w:color w:val="auto"/>
                <w:szCs w:val="21"/>
                <w:highlight w:val="none"/>
                <w:lang w:val="en-US" w:eastAsia="zh-CN"/>
              </w:rPr>
              <w:t>七</w:t>
            </w:r>
            <w:r>
              <w:rPr>
                <w:rFonts w:hint="eastAsia" w:ascii="宋体" w:hAnsi="宋体" w:eastAsia="宋体" w:cs="宋体"/>
                <w:color w:val="auto"/>
                <w:szCs w:val="21"/>
                <w:highlight w:val="none"/>
              </w:rPr>
              <w:t>章“投标文件格式”的要求</w:t>
            </w:r>
            <w:r>
              <w:rPr>
                <w:rFonts w:hint="eastAsia" w:ascii="宋体" w:hAnsi="宋体" w:eastAsia="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11" w:type="dxa"/>
            <w:vMerge w:val="continue"/>
            <w:noWra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p>
        </w:tc>
        <w:tc>
          <w:tcPr>
            <w:tcW w:w="1860" w:type="dxa"/>
            <w:gridSpan w:val="2"/>
            <w:vMerge w:val="continue"/>
            <w:noWra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p>
        </w:tc>
        <w:tc>
          <w:tcPr>
            <w:tcW w:w="3802" w:type="dxa"/>
            <w:noWrap/>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商务标签字盖章</w:t>
            </w:r>
          </w:p>
        </w:tc>
        <w:tc>
          <w:tcPr>
            <w:tcW w:w="3083" w:type="dxa"/>
            <w:gridSpan w:val="2"/>
            <w:noWrap/>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按投标文件格式要求签章。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1" w:type="dxa"/>
            <w:vMerge w:val="continue"/>
            <w:noWra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p>
        </w:tc>
        <w:tc>
          <w:tcPr>
            <w:tcW w:w="1860" w:type="dxa"/>
            <w:gridSpan w:val="2"/>
            <w:vMerge w:val="continue"/>
            <w:noWra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p>
        </w:tc>
        <w:tc>
          <w:tcPr>
            <w:tcW w:w="3802" w:type="dxa"/>
            <w:noWrap/>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报价唯一</w:t>
            </w:r>
          </w:p>
        </w:tc>
        <w:tc>
          <w:tcPr>
            <w:tcW w:w="3083" w:type="dxa"/>
            <w:gridSpan w:val="2"/>
            <w:noWrap/>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只能有一个报价</w:t>
            </w:r>
            <w:r>
              <w:rPr>
                <w:rFonts w:hint="eastAsia" w:ascii="宋体" w:hAnsi="宋体" w:eastAsia="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11" w:type="dxa"/>
            <w:vMerge w:val="restart"/>
            <w:noWrap/>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p>
        </w:tc>
        <w:tc>
          <w:tcPr>
            <w:tcW w:w="1860" w:type="dxa"/>
            <w:gridSpan w:val="2"/>
            <w:vMerge w:val="restart"/>
            <w:noWrap/>
            <w:vAlign w:val="center"/>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响应性评审标准</w:t>
            </w:r>
          </w:p>
        </w:tc>
        <w:tc>
          <w:tcPr>
            <w:tcW w:w="3802" w:type="dxa"/>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default" w:ascii="宋体" w:hAnsi="宋体" w:cs="宋体"/>
                <w:color w:val="auto"/>
                <w:szCs w:val="21"/>
                <w:highlight w:val="none"/>
              </w:rPr>
            </w:pPr>
            <w:r>
              <w:rPr>
                <w:rFonts w:hint="eastAsia" w:ascii="宋体" w:hAnsi="宋体"/>
                <w:color w:val="auto"/>
                <w:szCs w:val="21"/>
                <w:highlight w:val="none"/>
              </w:rPr>
              <w:t>工期</w:t>
            </w:r>
          </w:p>
        </w:tc>
        <w:tc>
          <w:tcPr>
            <w:tcW w:w="3083" w:type="dxa"/>
            <w:gridSpan w:val="2"/>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olor w:val="auto"/>
                <w:szCs w:val="21"/>
                <w:highlight w:val="none"/>
              </w:rPr>
              <w:t>符合投标须知前附表规定。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11" w:type="dxa"/>
            <w:vMerge w:val="continue"/>
            <w:noWra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p>
        </w:tc>
        <w:tc>
          <w:tcPr>
            <w:tcW w:w="1860" w:type="dxa"/>
            <w:gridSpan w:val="2"/>
            <w:vMerge w:val="continue"/>
            <w:noWra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p>
        </w:tc>
        <w:tc>
          <w:tcPr>
            <w:tcW w:w="3802" w:type="dxa"/>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olor w:val="auto"/>
                <w:szCs w:val="21"/>
                <w:highlight w:val="none"/>
              </w:rPr>
              <w:t>工程质量</w:t>
            </w:r>
          </w:p>
        </w:tc>
        <w:tc>
          <w:tcPr>
            <w:tcW w:w="3083" w:type="dxa"/>
            <w:gridSpan w:val="2"/>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olor w:val="auto"/>
                <w:szCs w:val="21"/>
                <w:highlight w:val="none"/>
              </w:rPr>
              <w:t>符合投标须知前附表规定。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11" w:type="dxa"/>
            <w:vMerge w:val="continue"/>
            <w:noWra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p>
        </w:tc>
        <w:tc>
          <w:tcPr>
            <w:tcW w:w="1860" w:type="dxa"/>
            <w:gridSpan w:val="2"/>
            <w:vMerge w:val="continue"/>
            <w:noWra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p>
        </w:tc>
        <w:tc>
          <w:tcPr>
            <w:tcW w:w="3802" w:type="dxa"/>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olor w:val="auto"/>
                <w:szCs w:val="21"/>
                <w:highlight w:val="none"/>
              </w:rPr>
              <w:t>投标有效期</w:t>
            </w:r>
          </w:p>
        </w:tc>
        <w:tc>
          <w:tcPr>
            <w:tcW w:w="3083" w:type="dxa"/>
            <w:gridSpan w:val="2"/>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olor w:val="auto"/>
                <w:szCs w:val="21"/>
                <w:highlight w:val="none"/>
              </w:rPr>
              <w:t>符合投标须知前附表规定。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1" w:type="dxa"/>
            <w:vMerge w:val="continue"/>
            <w:noWra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p>
        </w:tc>
        <w:tc>
          <w:tcPr>
            <w:tcW w:w="1860" w:type="dxa"/>
            <w:gridSpan w:val="2"/>
            <w:vMerge w:val="continue"/>
            <w:noWra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p>
        </w:tc>
        <w:tc>
          <w:tcPr>
            <w:tcW w:w="3802" w:type="dxa"/>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olor w:val="auto"/>
                <w:szCs w:val="21"/>
                <w:highlight w:val="none"/>
              </w:rPr>
              <w:t>已标价工程量清单</w:t>
            </w:r>
          </w:p>
        </w:tc>
        <w:tc>
          <w:tcPr>
            <w:tcW w:w="3083" w:type="dxa"/>
            <w:gridSpan w:val="2"/>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eastAsia="宋体" w:cs="宋体"/>
                <w:color w:val="auto"/>
                <w:szCs w:val="21"/>
                <w:highlight w:val="none"/>
                <w:lang w:eastAsia="zh-CN"/>
              </w:rPr>
            </w:pPr>
            <w:r>
              <w:rPr>
                <w:rFonts w:hint="eastAsia" w:ascii="宋体" w:hAnsi="宋体"/>
                <w:color w:val="auto"/>
                <w:szCs w:val="21"/>
                <w:highlight w:val="none"/>
              </w:rPr>
              <w:t>与招标人发布的招标工程量清单（含需评审材料清单）排序一致</w:t>
            </w:r>
            <w:r>
              <w:rPr>
                <w:rFonts w:hint="eastAsia" w:ascii="宋体" w:hAnsi="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1" w:type="dxa"/>
            <w:vMerge w:val="continue"/>
            <w:noWra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p>
        </w:tc>
        <w:tc>
          <w:tcPr>
            <w:tcW w:w="1860" w:type="dxa"/>
            <w:gridSpan w:val="2"/>
            <w:vMerge w:val="continue"/>
            <w:noWra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p>
        </w:tc>
        <w:tc>
          <w:tcPr>
            <w:tcW w:w="3802" w:type="dxa"/>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color w:val="auto"/>
                <w:szCs w:val="21"/>
                <w:highlight w:val="none"/>
              </w:rPr>
            </w:pPr>
            <w:r>
              <w:rPr>
                <w:rFonts w:hint="eastAsia" w:ascii="宋体" w:hAnsi="宋体"/>
                <w:color w:val="auto"/>
                <w:szCs w:val="21"/>
                <w:highlight w:val="none"/>
              </w:rPr>
              <w:t>投标总价评审</w:t>
            </w:r>
          </w:p>
        </w:tc>
        <w:tc>
          <w:tcPr>
            <w:tcW w:w="3083" w:type="dxa"/>
            <w:gridSpan w:val="2"/>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left"/>
              <w:textAlignment w:val="auto"/>
              <w:rPr>
                <w:rFonts w:hint="eastAsia" w:ascii="宋体" w:hAnsi="宋体"/>
                <w:color w:val="auto"/>
                <w:szCs w:val="21"/>
                <w:highlight w:val="none"/>
              </w:rPr>
            </w:pPr>
            <w:r>
              <w:rPr>
                <w:rFonts w:hint="eastAsia" w:ascii="宋体" w:hAnsi="宋体"/>
                <w:color w:val="auto"/>
                <w:spacing w:val="-6"/>
                <w:szCs w:val="21"/>
                <w:highlight w:val="none"/>
              </w:rPr>
              <w:t>不得高于最高投标限价，也不得低于工程成本价。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1" w:type="dxa"/>
            <w:vMerge w:val="continue"/>
            <w:noWra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p>
        </w:tc>
        <w:tc>
          <w:tcPr>
            <w:tcW w:w="1860" w:type="dxa"/>
            <w:gridSpan w:val="2"/>
            <w:vMerge w:val="continue"/>
            <w:noWra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default" w:ascii="宋体" w:hAnsi="宋体" w:cs="宋体"/>
                <w:color w:val="auto"/>
                <w:szCs w:val="21"/>
                <w:highlight w:val="none"/>
              </w:rPr>
            </w:pPr>
          </w:p>
        </w:tc>
        <w:tc>
          <w:tcPr>
            <w:tcW w:w="3802" w:type="dxa"/>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olor w:val="auto"/>
                <w:szCs w:val="21"/>
                <w:highlight w:val="none"/>
              </w:rPr>
              <w:t>暂列金额、专业工程暂估价、分部分项工程材料及设备暂估价</w:t>
            </w:r>
          </w:p>
        </w:tc>
        <w:tc>
          <w:tcPr>
            <w:tcW w:w="3083" w:type="dxa"/>
            <w:gridSpan w:val="2"/>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ascii="宋体" w:hAnsi="宋体" w:cs="宋体"/>
                <w:color w:val="auto"/>
                <w:szCs w:val="21"/>
                <w:highlight w:val="none"/>
              </w:rPr>
            </w:pPr>
            <w:r>
              <w:rPr>
                <w:rFonts w:hint="eastAsia" w:ascii="宋体" w:hAnsi="宋体"/>
                <w:color w:val="auto"/>
                <w:szCs w:val="21"/>
                <w:highlight w:val="none"/>
              </w:rPr>
              <w:t>与招标人发布的招标工程量清单一致。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726" w:type="dxa"/>
            <w:gridSpan w:val="2"/>
            <w:noWrap/>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宋体"/>
                <w:color w:val="auto"/>
                <w:szCs w:val="21"/>
                <w:highlight w:val="none"/>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商务评分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default" w:ascii="宋体" w:hAnsi="宋体" w:cs="宋体"/>
                <w:bCs/>
                <w:color w:val="auto"/>
                <w:szCs w:val="21"/>
                <w:highlight w:val="none"/>
                <w:lang w:val="en-US"/>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60</w:t>
            </w:r>
            <w:r>
              <w:rPr>
                <w:rFonts w:hint="eastAsia" w:ascii="宋体" w:hAnsi="宋体" w:cs="宋体"/>
                <w:color w:val="auto"/>
                <w:szCs w:val="21"/>
                <w:highlight w:val="none"/>
              </w:rPr>
              <w:t>分）</w:t>
            </w:r>
          </w:p>
        </w:tc>
        <w:tc>
          <w:tcPr>
            <w:tcW w:w="4752" w:type="dxa"/>
            <w:gridSpan w:val="3"/>
            <w:noWrap/>
            <w:vAlign w:val="center"/>
          </w:tcPr>
          <w:p>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0" w:firstLineChars="0"/>
              <w:jc w:val="left"/>
              <w:textAlignment w:val="auto"/>
              <w:rPr>
                <w:rFonts w:hint="eastAsia" w:hAnsi="宋体"/>
                <w:color w:val="auto"/>
                <w:szCs w:val="21"/>
                <w:highlight w:val="none"/>
              </w:rPr>
            </w:pPr>
            <w:r>
              <w:rPr>
                <w:rFonts w:hint="eastAsia" w:hAnsi="宋体"/>
                <w:color w:val="auto"/>
                <w:szCs w:val="21"/>
                <w:highlight w:val="none"/>
              </w:rPr>
              <w:t>一、报价偏差率计算。</w:t>
            </w:r>
          </w:p>
          <w:p>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0" w:firstLineChars="0"/>
              <w:jc w:val="left"/>
              <w:textAlignment w:val="auto"/>
              <w:rPr>
                <w:rFonts w:hint="eastAsia" w:hAnsi="宋体"/>
                <w:color w:val="auto"/>
                <w:szCs w:val="21"/>
                <w:highlight w:val="none"/>
              </w:rPr>
            </w:pPr>
            <w:r>
              <w:rPr>
                <w:rFonts w:hint="eastAsia" w:hAnsi="宋体"/>
                <w:color w:val="auto"/>
                <w:szCs w:val="21"/>
                <w:highlight w:val="none"/>
              </w:rPr>
              <w:t>偏差率=|（投标报价-评标基准价）/评标基准价|×100%</w:t>
            </w:r>
          </w:p>
          <w:p>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0" w:firstLineChars="0"/>
              <w:jc w:val="left"/>
              <w:textAlignment w:val="auto"/>
              <w:rPr>
                <w:rFonts w:hint="eastAsia" w:hAnsi="宋体"/>
                <w:color w:val="auto"/>
                <w:szCs w:val="21"/>
                <w:highlight w:val="none"/>
              </w:rPr>
            </w:pPr>
            <w:r>
              <w:rPr>
                <w:rFonts w:hint="eastAsia" w:hAnsi="宋体"/>
                <w:color w:val="auto"/>
                <w:szCs w:val="21"/>
                <w:highlight w:val="none"/>
              </w:rPr>
              <w:t>二、报价得分计算。</w:t>
            </w:r>
          </w:p>
          <w:p>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0" w:firstLineChars="0"/>
              <w:jc w:val="left"/>
              <w:textAlignment w:val="auto"/>
              <w:rPr>
                <w:rFonts w:hint="default" w:hAnsi="宋体"/>
                <w:color w:val="auto"/>
                <w:szCs w:val="21"/>
                <w:highlight w:val="none"/>
              </w:rPr>
            </w:pPr>
            <w:r>
              <w:rPr>
                <w:rFonts w:hint="eastAsia" w:hAnsi="宋体"/>
                <w:color w:val="auto"/>
                <w:szCs w:val="21"/>
                <w:highlight w:val="none"/>
              </w:rPr>
              <w:t>投标报价等于评标基准价的得满分，其余投标人的报价得分按照下列公示计算：</w:t>
            </w:r>
          </w:p>
          <w:p>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0" w:firstLineChars="0"/>
              <w:jc w:val="left"/>
              <w:textAlignment w:val="auto"/>
              <w:rPr>
                <w:rFonts w:hint="eastAsia" w:hAnsi="宋体"/>
                <w:color w:val="auto"/>
                <w:szCs w:val="21"/>
                <w:highlight w:val="none"/>
              </w:rPr>
            </w:pPr>
            <w:r>
              <w:rPr>
                <w:rFonts w:hint="eastAsia" w:hAnsi="宋体"/>
                <w:color w:val="auto"/>
                <w:szCs w:val="21"/>
                <w:highlight w:val="none"/>
              </w:rPr>
              <w:t>①投标报价高于评标基准价的，投标报价得分=报价满分值-偏差率×100×1</w:t>
            </w:r>
          </w:p>
          <w:p>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0" w:firstLineChars="0"/>
              <w:jc w:val="left"/>
              <w:textAlignment w:val="auto"/>
              <w:rPr>
                <w:rFonts w:hint="default" w:hAnsi="宋体"/>
                <w:color w:val="auto"/>
                <w:szCs w:val="21"/>
                <w:highlight w:val="none"/>
              </w:rPr>
            </w:pPr>
            <w:r>
              <w:rPr>
                <w:rFonts w:hint="eastAsia" w:hAnsi="宋体"/>
                <w:color w:val="auto"/>
                <w:szCs w:val="21"/>
                <w:highlight w:val="none"/>
              </w:rPr>
              <w:t>②投标报价低于评标基准价的，投标报价得分=报价满分值-偏差率×100×0.5</w:t>
            </w:r>
          </w:p>
          <w:p>
            <w:pPr>
              <w:pStyle w:val="14"/>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leftChars="0" w:right="0" w:firstLine="0" w:firstLineChars="0"/>
              <w:jc w:val="left"/>
              <w:textAlignment w:val="auto"/>
              <w:rPr>
                <w:rFonts w:hint="eastAsia" w:hAnsi="宋体"/>
                <w:color w:val="auto"/>
                <w:szCs w:val="21"/>
                <w:highlight w:val="none"/>
              </w:rPr>
            </w:pPr>
            <w:r>
              <w:rPr>
                <w:rFonts w:hint="eastAsia"/>
                <w:color w:val="auto"/>
                <w:highlight w:val="none"/>
              </w:rPr>
              <w:t>注：1、偏差率=|（投标报价-评标基准价）/评标基准价|</w:t>
            </w:r>
            <w:r>
              <w:rPr>
                <w:rFonts w:hint="eastAsia" w:hAnsi="宋体"/>
                <w:color w:val="auto"/>
                <w:szCs w:val="21"/>
                <w:highlight w:val="none"/>
              </w:rPr>
              <w:t>×100%</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default"/>
                <w:color w:val="auto"/>
                <w:highlight w:val="none"/>
              </w:rPr>
            </w:pPr>
            <w:r>
              <w:rPr>
                <w:rFonts w:hint="eastAsia" w:ascii="宋体" w:hAnsi="宋体"/>
                <w:color w:val="auto"/>
                <w:szCs w:val="21"/>
                <w:highlight w:val="none"/>
              </w:rPr>
              <w:t>2、计算过程中，B值、评标基准价（F值）、偏差率、报价得分均保留两位小数，小数点后第三位四舍五入。</w:t>
            </w:r>
          </w:p>
        </w:tc>
        <w:tc>
          <w:tcPr>
            <w:tcW w:w="3078" w:type="dxa"/>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s="宋体"/>
                <w:color w:val="auto"/>
                <w:szCs w:val="21"/>
                <w:highlight w:val="none"/>
              </w:rPr>
            </w:pPr>
            <w:r>
              <w:rPr>
                <w:rFonts w:hint="eastAsia" w:ascii="宋体" w:hAnsi="宋体" w:cs="宋体"/>
                <w:color w:val="auto"/>
                <w:szCs w:val="21"/>
                <w:highlight w:val="none"/>
              </w:rPr>
              <w:t>评标基准价F=B×（1-K）其中：K为调整系数，K的取值为-0.5%（1号），0%（2号），0.5%（3号），1.0%（4号），1.5%（5号）。</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40" w:lineRule="exact"/>
              <w:ind w:left="0" w:right="0"/>
              <w:textAlignment w:val="auto"/>
              <w:rPr>
                <w:rFonts w:hint="eastAsia" w:ascii="宋体" w:hAnsi="宋体"/>
                <w:color w:val="auto"/>
                <w:szCs w:val="21"/>
                <w:highlight w:val="none"/>
                <w:lang w:val="en-US" w:eastAsia="zh-CN"/>
              </w:rPr>
            </w:pPr>
            <w:r>
              <w:rPr>
                <w:rFonts w:hint="eastAsia" w:ascii="宋体" w:hAnsi="宋体" w:cs="宋体"/>
                <w:color w:val="auto"/>
                <w:szCs w:val="21"/>
                <w:highlight w:val="none"/>
              </w:rPr>
              <w:t>B</w:t>
            </w:r>
            <w:r>
              <w:rPr>
                <w:rFonts w:hint="eastAsia" w:ascii="宋体" w:hAnsi="宋体" w:cs="宋体"/>
                <w:color w:val="auto"/>
                <w:kern w:val="0"/>
                <w:szCs w:val="21"/>
                <w:highlight w:val="none"/>
              </w:rPr>
              <w:t>值</w:t>
            </w:r>
            <w:r>
              <w:rPr>
                <w:rFonts w:hint="eastAsia" w:ascii="宋体" w:hAnsi="宋体" w:cs="宋体"/>
                <w:color w:val="auto"/>
                <w:szCs w:val="21"/>
                <w:highlight w:val="none"/>
              </w:rPr>
              <w:t>为计算范围内有效投标人报价的算术平均值。</w:t>
            </w:r>
          </w:p>
        </w:tc>
      </w:tr>
    </w:tbl>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eastAsia="zh-CN"/>
        </w:rPr>
      </w:pPr>
      <w:bookmarkStart w:id="755" w:name="_Toc152045589"/>
      <w:bookmarkStart w:id="756" w:name="_Toc35424947"/>
      <w:bookmarkStart w:id="757" w:name="_Toc15058913"/>
      <w:bookmarkStart w:id="758" w:name="_Toc152042366"/>
      <w:bookmarkStart w:id="759" w:name="_Toc506107324"/>
      <w:bookmarkStart w:id="760" w:name="_Toc324404872"/>
      <w:bookmarkStart w:id="761" w:name="_Toc247085747"/>
      <w:bookmarkStart w:id="762" w:name="_Toc35425113"/>
      <w:bookmarkStart w:id="763" w:name="_Toc246996232"/>
      <w:bookmarkStart w:id="764" w:name="_Toc78803381"/>
      <w:bookmarkStart w:id="765" w:name="_Toc246996975"/>
      <w:bookmarkStart w:id="766" w:name="_Toc179632607"/>
      <w:bookmarkStart w:id="767" w:name="_Toc144974556"/>
      <w:bookmarkStart w:id="768" w:name="_Toc6491"/>
      <w:r>
        <w:rPr>
          <w:rFonts w:hint="eastAsia" w:ascii="宋体" w:hAnsi="宋体" w:cs="宋体"/>
          <w:color w:val="auto"/>
          <w:szCs w:val="21"/>
          <w:highlight w:val="none"/>
          <w:lang w:eastAsia="zh-CN"/>
        </w:rPr>
        <w:t>商务标评审表注：</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textAlignment w:val="auto"/>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t>（1）投标人总报价如超过A值，A值=最高投标限价×（1-J） +（暂列金额+暂估价）×1.09×J（其中J=</w:t>
      </w:r>
      <w:r>
        <w:rPr>
          <w:rFonts w:hint="eastAsia" w:ascii="宋体" w:hAnsi="宋体" w:cs="宋体"/>
          <w:b/>
          <w:bCs/>
          <w:color w:val="auto"/>
          <w:szCs w:val="21"/>
          <w:highlight w:val="none"/>
          <w:lang w:val="en-US" w:eastAsia="zh-CN"/>
        </w:rPr>
        <w:t>8</w:t>
      </w:r>
      <w:r>
        <w:rPr>
          <w:rFonts w:hint="eastAsia" w:ascii="宋体" w:hAnsi="宋体" w:cs="宋体"/>
          <w:b/>
          <w:bCs/>
          <w:color w:val="auto"/>
          <w:szCs w:val="21"/>
          <w:highlight w:val="none"/>
          <w:lang w:eastAsia="zh-CN"/>
        </w:rPr>
        <w:t xml:space="preserve">%），则商务标不得分，且该投标报价不参与B值计算。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（2）只有通过详细评审的有效投标人才能参加商务报价评分。</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（3）本表所称投标报价是指按招标文件规定修正后</w:t>
      </w:r>
      <w:bookmarkStart w:id="1059" w:name="_GoBack"/>
      <w:bookmarkEnd w:id="1059"/>
      <w:r>
        <w:rPr>
          <w:rFonts w:hint="eastAsia" w:ascii="宋体" w:hAnsi="宋体" w:cs="宋体"/>
          <w:color w:val="auto"/>
          <w:szCs w:val="21"/>
          <w:highlight w:val="none"/>
          <w:lang w:eastAsia="zh-CN"/>
        </w:rPr>
        <w:t>的投标总报价（多算投标报价、多报费用不扣减）。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（4）B值计算方法：</w:t>
      </w:r>
      <w:r>
        <w:rPr>
          <w:rFonts w:hint="eastAsia" w:ascii="宋体" w:hAnsi="宋体" w:cs="宋体"/>
          <w:color w:val="auto"/>
          <w:szCs w:val="21"/>
          <w:highlight w:val="none"/>
          <w:lang w:val="en-US" w:eastAsia="zh-CN"/>
        </w:rPr>
        <w:t>B值为所有通过（资信、技术、商务）详细评审的</w:t>
      </w:r>
      <w:r>
        <w:rPr>
          <w:rFonts w:hint="eastAsia" w:ascii="宋体" w:hAnsi="宋体" w:cs="宋体"/>
          <w:color w:val="auto"/>
          <w:szCs w:val="21"/>
          <w:highlight w:val="none"/>
          <w:lang w:eastAsia="zh-CN"/>
        </w:rPr>
        <w:t>有效投标人报价的算术平均值。</w:t>
      </w:r>
    </w:p>
    <w:p>
      <w:pPr>
        <w:pStyle w:val="4"/>
        <w:keepNext/>
        <w:keepLines/>
        <w:pageBreakBefore w:val="0"/>
        <w:widowControl w:val="0"/>
        <w:kinsoku/>
        <w:wordWrap/>
        <w:overflowPunct/>
        <w:topLinePunct w:val="0"/>
        <w:autoSpaceDE/>
        <w:autoSpaceDN/>
        <w:bidi w:val="0"/>
        <w:adjustRightInd/>
        <w:snapToGrid/>
        <w:spacing w:beforeLines="50" w:afterLines="50" w:line="44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1.评标方法</w:t>
      </w:r>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eastAsia="宋体" w:cs="宋体"/>
          <w:color w:val="auto"/>
          <w:szCs w:val="21"/>
          <w:highlight w:val="none"/>
        </w:rPr>
      </w:pPr>
      <w:bookmarkStart w:id="769" w:name="_Toc11945"/>
      <w:bookmarkStart w:id="770" w:name="_Toc35425114"/>
      <w:bookmarkStart w:id="771" w:name="_Toc506107325"/>
      <w:bookmarkStart w:id="772" w:name="_Toc15058914"/>
      <w:bookmarkStart w:id="773" w:name="_Toc78803382"/>
      <w:bookmarkStart w:id="774" w:name="_Toc35424948"/>
      <w:bookmarkStart w:id="775" w:name="_Toc324404873"/>
      <w:bookmarkStart w:id="776" w:name="_Toc247085748"/>
      <w:bookmarkStart w:id="777" w:name="_Toc144974557"/>
      <w:bookmarkStart w:id="778" w:name="_Toc152042367"/>
      <w:bookmarkStart w:id="779" w:name="_Toc296602478"/>
      <w:bookmarkStart w:id="780" w:name="_Toc152045590"/>
      <w:bookmarkStart w:id="781" w:name="_Toc179632608"/>
      <w:bookmarkStart w:id="782" w:name="_Toc246996976"/>
      <w:bookmarkStart w:id="783" w:name="_Toc246996233"/>
      <w:r>
        <w:rPr>
          <w:rFonts w:hint="eastAsia" w:ascii="宋体" w:hAnsi="宋体" w:eastAsia="宋体" w:cs="宋体"/>
          <w:color w:val="auto"/>
          <w:szCs w:val="21"/>
          <w:highlight w:val="none"/>
        </w:rPr>
        <w:t>本次评标采用综合评估法。评标委员会对满足招标文件实质性要求的投标文件，按照本章规定的评分标准进行打分，并按总得分由高到低顺序推荐中标候选人3名，并标明排序，但投标报价低于其成本的除外。如总得分相等，以投标报价低的优先，投标报价仍相等，由评标委员会主任委员或招标人随机抽取确定排名。</w:t>
      </w:r>
    </w:p>
    <w:p>
      <w:pPr>
        <w:pStyle w:val="4"/>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2.评标委员会的职责</w:t>
      </w:r>
      <w:bookmarkEnd w:id="769"/>
      <w:bookmarkEnd w:id="770"/>
      <w:bookmarkEnd w:id="771"/>
      <w:bookmarkEnd w:id="772"/>
      <w:bookmarkEnd w:id="773"/>
      <w:bookmarkEnd w:id="774"/>
      <w:bookmarkEnd w:id="775"/>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cs="宋体"/>
          <w:color w:val="auto"/>
          <w:szCs w:val="21"/>
          <w:highlight w:val="none"/>
        </w:rPr>
      </w:pPr>
      <w:bookmarkStart w:id="784" w:name="_Toc78803384"/>
      <w:bookmarkStart w:id="785" w:name="_Toc17377"/>
      <w:bookmarkStart w:id="786" w:name="_Toc506107326"/>
      <w:bookmarkStart w:id="787" w:name="_Toc35425115"/>
      <w:bookmarkStart w:id="788" w:name="_Toc15058915"/>
      <w:bookmarkStart w:id="789" w:name="_Toc324404874"/>
      <w:bookmarkStart w:id="790" w:name="_Toc35424949"/>
      <w:r>
        <w:rPr>
          <w:rFonts w:hint="eastAsia" w:ascii="宋体" w:hAnsi="宋体" w:cs="宋体"/>
          <w:color w:val="auto"/>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pPr>
        <w:pStyle w:val="4"/>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3.评标程序</w:t>
      </w:r>
      <w:bookmarkEnd w:id="784"/>
      <w:bookmarkEnd w:id="785"/>
      <w:bookmarkEnd w:id="786"/>
      <w:bookmarkEnd w:id="787"/>
      <w:bookmarkEnd w:id="788"/>
      <w:bookmarkEnd w:id="789"/>
      <w:bookmarkEnd w:id="790"/>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评标先做准备工作，先进行资信</w:t>
      </w:r>
      <w:r>
        <w:rPr>
          <w:rFonts w:hint="eastAsia" w:ascii="宋体" w:hAnsi="宋体" w:cs="宋体"/>
          <w:color w:val="auto"/>
          <w:szCs w:val="21"/>
          <w:highlight w:val="none"/>
          <w:lang w:eastAsia="zh-CN"/>
        </w:rPr>
        <w:t>、</w:t>
      </w:r>
      <w:r>
        <w:rPr>
          <w:rFonts w:hint="eastAsia" w:ascii="宋体" w:hAnsi="宋体" w:cs="宋体"/>
          <w:color w:val="auto"/>
          <w:szCs w:val="21"/>
          <w:highlight w:val="none"/>
        </w:rPr>
        <w:t>技术标评审，</w:t>
      </w:r>
      <w:r>
        <w:rPr>
          <w:rFonts w:hint="eastAsia" w:ascii="宋体" w:hAnsi="宋体" w:cs="宋体"/>
          <w:color w:val="auto"/>
          <w:szCs w:val="21"/>
          <w:highlight w:val="none"/>
          <w:lang w:val="en-US" w:eastAsia="zh-CN"/>
        </w:rPr>
        <w:t>然</w:t>
      </w:r>
      <w:r>
        <w:rPr>
          <w:rFonts w:hint="eastAsia" w:ascii="宋体" w:hAnsi="宋体" w:cs="宋体"/>
          <w:color w:val="auto"/>
          <w:szCs w:val="21"/>
          <w:highlight w:val="none"/>
        </w:rPr>
        <w:t>后进行商务标评审。</w:t>
      </w:r>
    </w:p>
    <w:p>
      <w:pPr>
        <w:pStyle w:val="4"/>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791" w:name="_Toc15058916"/>
      <w:bookmarkStart w:id="792" w:name="_Toc35424950"/>
      <w:bookmarkStart w:id="793" w:name="_Toc35425116"/>
      <w:bookmarkStart w:id="794" w:name="_Toc27389"/>
      <w:bookmarkStart w:id="795" w:name="_Toc78803385"/>
      <w:r>
        <w:rPr>
          <w:rFonts w:hint="eastAsia" w:ascii="宋体" w:hAnsi="宋体" w:eastAsia="宋体" w:cs="宋体"/>
          <w:color w:val="auto"/>
          <w:highlight w:val="none"/>
        </w:rPr>
        <w:t>3.1评标准备工作</w:t>
      </w:r>
      <w:bookmarkEnd w:id="791"/>
      <w:bookmarkEnd w:id="792"/>
      <w:bookmarkEnd w:id="793"/>
      <w:bookmarkEnd w:id="794"/>
      <w:bookmarkEnd w:id="795"/>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评标委员会熟悉评标工作情况：</w:t>
      </w:r>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（1）阅读由招标人或者其委托的工程代理机构编制的招标项目情况材料。</w:t>
      </w:r>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（2）阅读、研究招标文件和相关评标资料，获取评标所需要的重要信息和数据，至少应了解和熟悉以下内容：招标项目的范围和性质，招标文件规定的主要技术要求、标准和商务条款。</w:t>
      </w:r>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（3）熟悉招标文件规定的评标标准和评标方法及在评标过程中需要考虑的相关因素。</w:t>
      </w:r>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（4）核对评标工作用表。</w:t>
      </w:r>
    </w:p>
    <w:p>
      <w:pPr>
        <w:pStyle w:val="4"/>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796" w:name="_Toc35424951"/>
      <w:bookmarkStart w:id="797" w:name="_Toc1299"/>
      <w:bookmarkStart w:id="798" w:name="_Toc15058917"/>
      <w:bookmarkStart w:id="799" w:name="_Toc78803386"/>
      <w:bookmarkStart w:id="800" w:name="_Toc35425117"/>
      <w:bookmarkStart w:id="801" w:name="_Toc24650"/>
      <w:bookmarkStart w:id="802" w:name="_Toc35424954"/>
      <w:bookmarkStart w:id="803" w:name="_Toc35425120"/>
      <w:bookmarkStart w:id="804" w:name="_Toc506107327"/>
      <w:bookmarkStart w:id="805" w:name="_Toc324404875"/>
      <w:bookmarkStart w:id="806" w:name="_Toc15058919"/>
      <w:bookmarkStart w:id="807" w:name="_Toc12200"/>
      <w:r>
        <w:rPr>
          <w:rFonts w:hint="eastAsia" w:ascii="宋体" w:hAnsi="宋体" w:eastAsia="宋体" w:cs="宋体"/>
          <w:color w:val="auto"/>
          <w:highlight w:val="none"/>
        </w:rPr>
        <w:t>3.2技术标评审</w:t>
      </w:r>
      <w:bookmarkEnd w:id="796"/>
      <w:bookmarkEnd w:id="797"/>
      <w:bookmarkEnd w:id="798"/>
      <w:bookmarkEnd w:id="799"/>
      <w:bookmarkEnd w:id="800"/>
      <w:bookmarkEnd w:id="801"/>
    </w:p>
    <w:p>
      <w:pPr>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详见技术标评审表。</w:t>
      </w:r>
    </w:p>
    <w:p>
      <w:pPr>
        <w:pStyle w:val="4"/>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808" w:name="_Toc15058918"/>
      <w:bookmarkStart w:id="809" w:name="_Toc35425118"/>
      <w:bookmarkStart w:id="810" w:name="_Toc17468"/>
      <w:bookmarkStart w:id="811" w:name="_Toc35424952"/>
      <w:bookmarkStart w:id="812" w:name="_Toc78803387"/>
      <w:bookmarkStart w:id="813" w:name="_Toc11990"/>
      <w:r>
        <w:rPr>
          <w:rFonts w:hint="eastAsia" w:ascii="宋体" w:hAnsi="宋体" w:eastAsia="宋体" w:cs="宋体"/>
          <w:color w:val="auto"/>
          <w:highlight w:val="none"/>
        </w:rPr>
        <w:t>3.3商务标评审</w:t>
      </w:r>
      <w:bookmarkEnd w:id="808"/>
      <w:bookmarkEnd w:id="809"/>
      <w:bookmarkEnd w:id="810"/>
      <w:bookmarkEnd w:id="811"/>
      <w:bookmarkEnd w:id="812"/>
      <w:bookmarkEnd w:id="813"/>
    </w:p>
    <w:p>
      <w:pPr>
        <w:pageBreakBefore w:val="0"/>
        <w:widowControl w:val="0"/>
        <w:kinsoku/>
        <w:wordWrap/>
        <w:overflowPunct/>
        <w:topLinePunct w:val="0"/>
        <w:autoSpaceDE/>
        <w:autoSpaceDN/>
        <w:bidi w:val="0"/>
        <w:spacing w:line="44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详见商务标评审表。</w:t>
      </w:r>
    </w:p>
    <w:p>
      <w:pPr>
        <w:pageBreakBefore w:val="0"/>
        <w:widowControl w:val="0"/>
        <w:kinsoku/>
        <w:wordWrap/>
        <w:overflowPunct/>
        <w:topLinePunct w:val="0"/>
        <w:autoSpaceDE/>
        <w:autoSpaceDN/>
        <w:bidi w:val="0"/>
        <w:spacing w:line="440" w:lineRule="exact"/>
        <w:ind w:firstLine="422" w:firstLineChars="200"/>
        <w:jc w:val="left"/>
        <w:textAlignment w:val="auto"/>
        <w:rPr>
          <w:rStyle w:val="198"/>
          <w:rFonts w:hint="eastAsia" w:ascii="宋体" w:hAnsi="宋体" w:eastAsia="宋体" w:cs="宋体"/>
          <w:color w:val="auto"/>
          <w:highlight w:val="none"/>
        </w:rPr>
      </w:pPr>
      <w:bookmarkStart w:id="814" w:name="_Toc26895"/>
      <w:bookmarkStart w:id="815" w:name="_Toc78803388"/>
      <w:bookmarkStart w:id="816" w:name="_Toc35425119"/>
      <w:bookmarkStart w:id="817" w:name="_Toc18087"/>
      <w:bookmarkStart w:id="818" w:name="_Toc35424953"/>
      <w:r>
        <w:rPr>
          <w:rStyle w:val="198"/>
          <w:rFonts w:hint="eastAsia" w:ascii="宋体" w:hAnsi="宋体" w:eastAsia="宋体" w:cs="宋体"/>
          <w:color w:val="auto"/>
          <w:highlight w:val="none"/>
        </w:rPr>
        <w:t>3.4推荐中标候选人</w:t>
      </w:r>
      <w:bookmarkEnd w:id="814"/>
      <w:bookmarkEnd w:id="815"/>
      <w:bookmarkEnd w:id="816"/>
      <w:bookmarkEnd w:id="817"/>
      <w:bookmarkEnd w:id="818"/>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资信评审、技术标评审、商务标评审后，推荐</w:t>
      </w:r>
      <w:r>
        <w:rPr>
          <w:rFonts w:hint="eastAsia" w:ascii="宋体" w:hAnsi="宋体" w:cs="宋体"/>
          <w:color w:val="auto"/>
          <w:szCs w:val="21"/>
          <w:highlight w:val="none"/>
          <w:u w:val="single"/>
        </w:rPr>
        <w:t>3</w:t>
      </w:r>
      <w:r>
        <w:rPr>
          <w:rFonts w:hint="eastAsia" w:ascii="宋体" w:hAnsi="宋体" w:cs="宋体"/>
          <w:color w:val="auto"/>
          <w:szCs w:val="21"/>
          <w:highlight w:val="none"/>
        </w:rPr>
        <w:t>名中标候选人，并标明排序。</w:t>
      </w:r>
    </w:p>
    <w:p>
      <w:pPr>
        <w:pStyle w:val="4"/>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19" w:name="_Toc78803389"/>
      <w:r>
        <w:rPr>
          <w:rFonts w:hint="eastAsia" w:ascii="宋体" w:hAnsi="宋体" w:eastAsia="宋体" w:cs="宋体"/>
          <w:color w:val="auto"/>
          <w:highlight w:val="none"/>
        </w:rPr>
        <w:t>4.评审内容</w:t>
      </w:r>
      <w:bookmarkEnd w:id="802"/>
      <w:bookmarkEnd w:id="803"/>
      <w:bookmarkEnd w:id="804"/>
      <w:bookmarkEnd w:id="805"/>
      <w:bookmarkEnd w:id="806"/>
      <w:bookmarkEnd w:id="807"/>
      <w:bookmarkEnd w:id="819"/>
    </w:p>
    <w:p>
      <w:pPr>
        <w:pStyle w:val="4"/>
        <w:pageBreakBefore w:val="0"/>
        <w:widowControl w:val="0"/>
        <w:kinsoku/>
        <w:wordWrap/>
        <w:overflowPunct/>
        <w:topLinePunct w:val="0"/>
        <w:autoSpaceDE/>
        <w:autoSpaceDN/>
        <w:bidi w:val="0"/>
        <w:spacing w:line="440" w:lineRule="exact"/>
        <w:ind w:firstLine="422" w:firstLineChars="200"/>
        <w:textAlignment w:val="auto"/>
        <w:rPr>
          <w:rFonts w:ascii="宋体" w:hAnsi="宋体" w:eastAsia="宋体" w:cs="宋体"/>
          <w:color w:val="auto"/>
          <w:highlight w:val="none"/>
        </w:rPr>
      </w:pPr>
      <w:bookmarkStart w:id="820" w:name="_Toc9630"/>
      <w:bookmarkStart w:id="821" w:name="_Toc78803390"/>
      <w:r>
        <w:rPr>
          <w:rFonts w:hint="eastAsia" w:ascii="宋体" w:hAnsi="宋体" w:eastAsia="宋体" w:cs="宋体"/>
          <w:color w:val="auto"/>
          <w:highlight w:val="none"/>
        </w:rPr>
        <w:t>4.1</w:t>
      </w:r>
      <w:bookmarkEnd w:id="820"/>
      <w:bookmarkEnd w:id="821"/>
      <w:bookmarkStart w:id="822" w:name="_Toc15058921"/>
      <w:bookmarkStart w:id="823" w:name="_Toc35425122"/>
      <w:bookmarkStart w:id="824" w:name="_Toc3531"/>
      <w:bookmarkStart w:id="825" w:name="_Toc35424956"/>
      <w:bookmarkStart w:id="826" w:name="_Toc78803391"/>
      <w:bookmarkStart w:id="827" w:name="_Toc324404876"/>
      <w:r>
        <w:rPr>
          <w:rFonts w:hint="eastAsia" w:ascii="宋体" w:hAnsi="宋体" w:eastAsia="宋体" w:cs="宋体"/>
          <w:color w:val="auto"/>
          <w:highlight w:val="none"/>
        </w:rPr>
        <w:t>商务标评审</w:t>
      </w:r>
      <w:bookmarkEnd w:id="822"/>
      <w:bookmarkEnd w:id="823"/>
      <w:bookmarkEnd w:id="824"/>
      <w:bookmarkEnd w:id="825"/>
      <w:bookmarkEnd w:id="826"/>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只有通过技术标评审的投标才能够进入本阶段评审。</w:t>
      </w:r>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4.1.1形式性评审标准：见商务标评审表。</w:t>
      </w:r>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4.1.2响应性评审标准：见商务标评审表。</w:t>
      </w:r>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评标委员会依据上述标准对投标文件进行初步评审。有一项不符合评审标准的，作无效投标处理。</w:t>
      </w:r>
    </w:p>
    <w:p>
      <w:pPr>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.3详细评审标准：见商务标评审表。</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bookmarkStart w:id="828" w:name="_Toc506107328"/>
      <w:bookmarkStart w:id="829" w:name="_Toc13125"/>
      <w:bookmarkStart w:id="830" w:name="_Toc35425123"/>
      <w:bookmarkStart w:id="831" w:name="_Toc15058922"/>
      <w:bookmarkStart w:id="832" w:name="_Toc35424957"/>
      <w:bookmarkStart w:id="833" w:name="_Toc78803392"/>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4评标委员会审查投标文件，审核并确认清标结果，包括工程投标报价的校核、审查全部数据计算的正确性、分析各种费用构成的合理性和正确性等内容，看其是否有计算或表达上的错误，投标报价有错误的，评标委员会按以下原则对投标报价进行修正。</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（1）投标文件中的大写金额与小写金额不一致的，以大写金额为准。</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（2）总价金额与依据单价计算出的结果不一致的，以单价金额为准修正总价，但单价金额小数点有明显错误的除外。</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（3）工程量清单报价表中综合单价与工程量清单项目价格分析表相对应综合单价不一致时，以工程量清单项目价格分析表中标出的综合单价为准。</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pPr>
        <w:pStyle w:val="4"/>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r>
        <w:rPr>
          <w:rFonts w:hint="eastAsia" w:ascii="宋体" w:hAnsi="宋体" w:eastAsia="宋体" w:cs="宋体"/>
          <w:color w:val="auto"/>
          <w:highlight w:val="none"/>
        </w:rPr>
        <w:t>5.无效投标条款</w:t>
      </w:r>
      <w:bookmarkEnd w:id="827"/>
      <w:bookmarkEnd w:id="828"/>
      <w:bookmarkEnd w:id="829"/>
      <w:bookmarkEnd w:id="830"/>
      <w:bookmarkEnd w:id="831"/>
      <w:bookmarkEnd w:id="832"/>
      <w:bookmarkEnd w:id="833"/>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5.1投标人存在下列情形的的招标人将拒收投标文件：</w:t>
      </w:r>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（1）未在投标截止时间前通过</w:t>
      </w:r>
      <w:r>
        <w:rPr>
          <w:rFonts w:hint="eastAsia" w:ascii="宋体" w:hAnsi="宋体" w:cs="宋体"/>
          <w:color w:val="auto"/>
          <w:szCs w:val="21"/>
          <w:highlight w:val="none"/>
          <w:lang w:val="en-US" w:eastAsia="zh-CN"/>
        </w:rPr>
        <w:t>邮箱</w:t>
      </w:r>
      <w:r>
        <w:rPr>
          <w:rFonts w:hint="eastAsia" w:ascii="宋体" w:hAnsi="宋体" w:cs="宋体"/>
          <w:color w:val="auto"/>
          <w:szCs w:val="21"/>
          <w:highlight w:val="none"/>
        </w:rPr>
        <w:t>递交有效电子投标文件的，投标将被拒绝。</w:t>
      </w:r>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投标人有下列情形的，经评审后其投标作无效投标处理：</w:t>
      </w:r>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.1商标评审</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评标委员会依据《商务标评审表》进行形式性评审和响应性评审。有一项不符合评审标准的，做无效投标处理；</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（2）商务标详细评审标准中有任何一项不能通过评审的，作无效投标处理。</w:t>
      </w:r>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其他无效投标情况：</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（2）按第三章《评标方法》4.</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.4条款修正错误的原则及方法调整或修正投标文件的投标报价，调整或修正的价格经投标人书面确认后具有约束力。投标人不接修正价格的，其投标将被拒绝。</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）投标人有串通投标、视为串通投标、弄虚作假、行贿等违法行为。</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）投标文件没有对招标文件的实质性要求和条件作出响应。</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）未按规定的格式填写导致实质性内容不全以及实质上不响应，或者关键字迹模糊、无法辨认的。</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）同一投标人提交两个以上不同的投标文件或者投标报价，但招标文件规定提交备选投标的除外。</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）投标文件中存在招标人不能接受的其他实质性条件。</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）投标文件中填报的拟任项目经理（建造师）与资格审查通过的项目经理（建造师）前后不一致的。</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）投标人拒不按照要求对投标文件进行澄清、说明、补正的，或评标委员会根据招标文件的规定对招标文件的计算错误进行修正后，投标人不接受修正的投标报价的。</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）投标人单方面出现其他投标人材料。</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）投标人联系人或联系电话相同的。</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法律、法规规定的其他情形。</w:t>
      </w:r>
    </w:p>
    <w:p>
      <w:pPr>
        <w:pStyle w:val="4"/>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34" w:name="_Toc35424958"/>
      <w:bookmarkStart w:id="835" w:name="_Toc27846"/>
      <w:bookmarkStart w:id="836" w:name="_Toc35425124"/>
      <w:bookmarkStart w:id="837" w:name="_Toc15058923"/>
      <w:bookmarkStart w:id="838" w:name="_Toc78803393"/>
      <w:bookmarkStart w:id="839" w:name="_Toc506107329"/>
      <w:bookmarkStart w:id="840" w:name="_Toc324404877"/>
      <w:r>
        <w:rPr>
          <w:rFonts w:hint="eastAsia" w:ascii="宋体" w:hAnsi="宋体" w:eastAsia="宋体" w:cs="宋体"/>
          <w:color w:val="auto"/>
          <w:highlight w:val="none"/>
        </w:rPr>
        <w:t>6.投标文件的澄清和补正</w:t>
      </w:r>
      <w:bookmarkEnd w:id="834"/>
      <w:bookmarkEnd w:id="835"/>
      <w:bookmarkEnd w:id="836"/>
      <w:bookmarkEnd w:id="837"/>
      <w:bookmarkEnd w:id="838"/>
      <w:bookmarkEnd w:id="839"/>
      <w:bookmarkEnd w:id="840"/>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6.1在评标过程中，评标委员会可以要求投标人对所提交的投标文件中不明确的内容进行书面澄清或说明，或者对细微偏差进行补正。评标委员会不接受投标人主动提出的澄清、说明或补正。</w:t>
      </w:r>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6.2澄清、说明和补正不得改变投标文件的实质性内容（算术性错误修正的除外）。投标人的书面澄清、说明和补正属于投标文件的组成部分。</w:t>
      </w:r>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6.3评标委员会对投标人提交的澄清、说明和补正有疑问的，可以要求投标人进一步澄清、说明或补正、直至满足评标委员会的要求。</w:t>
      </w:r>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按照投标文件规定进行澄清、补正后的投标报价经投标人的法定代表人或其委托代理人确认后即为该投标人的最终投标报价。投标人一旦中标，此报价即为中标价。</w:t>
      </w:r>
    </w:p>
    <w:p>
      <w:pPr>
        <w:pStyle w:val="4"/>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41" w:name="_Toc13990"/>
      <w:bookmarkStart w:id="842" w:name="_Toc324404878"/>
      <w:bookmarkStart w:id="843" w:name="_Toc506107330"/>
      <w:bookmarkStart w:id="844" w:name="_Toc15058924"/>
      <w:bookmarkStart w:id="845" w:name="_Toc78803394"/>
      <w:bookmarkStart w:id="846" w:name="_Toc35424959"/>
      <w:bookmarkStart w:id="847" w:name="_Toc35425125"/>
      <w:r>
        <w:rPr>
          <w:rFonts w:hint="eastAsia" w:ascii="宋体" w:hAnsi="宋体" w:eastAsia="宋体" w:cs="宋体"/>
          <w:color w:val="auto"/>
          <w:highlight w:val="none"/>
        </w:rPr>
        <w:t>7.评分标准</w:t>
      </w:r>
      <w:bookmarkEnd w:id="841"/>
      <w:bookmarkEnd w:id="842"/>
      <w:bookmarkEnd w:id="843"/>
      <w:bookmarkEnd w:id="844"/>
      <w:bookmarkEnd w:id="845"/>
      <w:bookmarkEnd w:id="846"/>
      <w:bookmarkEnd w:id="847"/>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商务标评分标准：见商务标评审表。</w:t>
      </w:r>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技术标评分标准：见技术标评审表。</w:t>
      </w:r>
    </w:p>
    <w:p>
      <w:pPr>
        <w:pStyle w:val="4"/>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48" w:name="_Toc15058925"/>
      <w:bookmarkStart w:id="849" w:name="_Toc78803395"/>
      <w:bookmarkStart w:id="850" w:name="_Toc22863"/>
      <w:bookmarkStart w:id="851" w:name="_Toc324404879"/>
      <w:bookmarkStart w:id="852" w:name="_Toc506107331"/>
      <w:bookmarkStart w:id="853" w:name="_Toc35425126"/>
      <w:bookmarkStart w:id="854" w:name="_Toc35424960"/>
      <w:r>
        <w:rPr>
          <w:rFonts w:hint="eastAsia" w:ascii="宋体" w:hAnsi="宋体" w:eastAsia="宋体" w:cs="宋体"/>
          <w:color w:val="auto"/>
          <w:highlight w:val="none"/>
        </w:rPr>
        <w:t>8.评审结果</w:t>
      </w:r>
      <w:bookmarkEnd w:id="848"/>
      <w:bookmarkEnd w:id="849"/>
      <w:bookmarkEnd w:id="850"/>
      <w:bookmarkEnd w:id="851"/>
      <w:bookmarkEnd w:id="852"/>
      <w:bookmarkEnd w:id="853"/>
      <w:bookmarkEnd w:id="854"/>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8.1除投标人须知前附表授权直接确定中标人外，评标委员会按照总得分由高到低顺序推荐中标候选人。</w:t>
      </w:r>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8.2评标委员会完成评标后，应当向招标人提交书面评标报告。评标报告应当如实记载以下内容：</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（1）基本情况和数据表。</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（2）评标委员会成员名单。</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（3）开标记录。</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（4）符合要求的投标人一览表。</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（5）否决投标情况说明。</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（6）评标标准、评标方法或者评标因素。</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（7）评标情况一览表。</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（8）经评审的投标人排序。</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（9）推荐的中标候选人名单与签订合同前要处理的事宜。</w:t>
      </w:r>
    </w:p>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（10）澄清、说明、补正事项纪要。</w:t>
      </w:r>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Cs w:val="21"/>
          <w:highlight w:val="none"/>
        </w:rPr>
        <w:t>8.3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pageBreakBefore w:val="0"/>
        <w:widowControl w:val="0"/>
        <w:kinsoku/>
        <w:wordWrap/>
        <w:overflowPunct/>
        <w:topLinePunct w:val="0"/>
        <w:autoSpaceDE/>
        <w:autoSpaceDN/>
        <w:bidi w:val="0"/>
        <w:spacing w:line="44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pPr>
        <w:pStyle w:val="4"/>
        <w:pageBreakBefore w:val="0"/>
        <w:widowControl w:val="0"/>
        <w:kinsoku/>
        <w:wordWrap/>
        <w:overflowPunct/>
        <w:topLinePunct w:val="0"/>
        <w:autoSpaceDE/>
        <w:autoSpaceDN/>
        <w:bidi w:val="0"/>
        <w:spacing w:beforeLines="50" w:afterLines="50" w:line="440" w:lineRule="exact"/>
        <w:ind w:firstLine="422" w:firstLineChars="200"/>
        <w:textAlignment w:val="auto"/>
        <w:rPr>
          <w:rFonts w:ascii="宋体" w:hAnsi="宋体" w:eastAsia="宋体" w:cs="宋体"/>
          <w:color w:val="auto"/>
          <w:highlight w:val="none"/>
        </w:rPr>
      </w:pPr>
      <w:bookmarkStart w:id="855" w:name="_Toc324404880"/>
      <w:bookmarkStart w:id="856" w:name="_Toc78803396"/>
      <w:bookmarkStart w:id="857" w:name="_Toc35424961"/>
      <w:bookmarkStart w:id="858" w:name="_Toc35425127"/>
      <w:bookmarkStart w:id="859" w:name="_Toc1576"/>
      <w:bookmarkStart w:id="860" w:name="_Toc506107332"/>
      <w:bookmarkStart w:id="861" w:name="_Toc15058926"/>
      <w:r>
        <w:rPr>
          <w:rFonts w:hint="eastAsia" w:ascii="宋体" w:hAnsi="宋体" w:eastAsia="宋体" w:cs="宋体"/>
          <w:color w:val="auto"/>
          <w:highlight w:val="none"/>
        </w:rPr>
        <w:t>9.其他</w:t>
      </w:r>
      <w:bookmarkEnd w:id="855"/>
      <w:bookmarkEnd w:id="856"/>
      <w:bookmarkEnd w:id="857"/>
      <w:bookmarkEnd w:id="858"/>
      <w:bookmarkEnd w:id="859"/>
      <w:bookmarkEnd w:id="860"/>
      <w:bookmarkEnd w:id="861"/>
    </w:p>
    <w:bookmarkEnd w:id="776"/>
    <w:bookmarkEnd w:id="777"/>
    <w:bookmarkEnd w:id="778"/>
    <w:bookmarkEnd w:id="779"/>
    <w:bookmarkEnd w:id="780"/>
    <w:bookmarkEnd w:id="781"/>
    <w:bookmarkEnd w:id="782"/>
    <w:bookmarkEnd w:id="783"/>
    <w:p>
      <w:pPr>
        <w:pageBreakBefore w:val="0"/>
        <w:widowControl w:val="0"/>
        <w:kinsoku/>
        <w:wordWrap/>
        <w:overflowPunct/>
        <w:topLinePunct w:val="0"/>
        <w:autoSpaceDE/>
        <w:autoSpaceDN/>
        <w:bidi w:val="0"/>
        <w:spacing w:line="440" w:lineRule="exact"/>
        <w:ind w:firstLine="420" w:firstLineChars="200"/>
        <w:jc w:val="left"/>
        <w:textAlignment w:val="auto"/>
        <w:rPr>
          <w:rFonts w:hint="eastAsia" w:ascii="宋体" w:hAnsi="宋体" w:eastAsia="宋体" w:cs="宋体"/>
          <w:color w:val="auto"/>
          <w:szCs w:val="21"/>
          <w:highlight w:val="none"/>
        </w:rPr>
      </w:pPr>
      <w:bookmarkStart w:id="862" w:name="_Toc15058927"/>
      <w:bookmarkStart w:id="863" w:name="_Toc35425128"/>
      <w:bookmarkStart w:id="864" w:name="_Toc506107333"/>
      <w:bookmarkStart w:id="865" w:name="_Toc35424962"/>
      <w:bookmarkStart w:id="866" w:name="_Toc152042546"/>
      <w:bookmarkStart w:id="867" w:name="_Toc152045767"/>
      <w:bookmarkStart w:id="868" w:name="_Toc144974826"/>
      <w:bookmarkStart w:id="869" w:name="_Toc179632785"/>
      <w:r>
        <w:rPr>
          <w:rFonts w:hint="eastAsia" w:ascii="宋体" w:hAnsi="宋体" w:eastAsia="宋体" w:cs="宋体"/>
          <w:color w:val="auto"/>
          <w:szCs w:val="21"/>
          <w:highlight w:val="none"/>
        </w:rPr>
        <w:t>投标人提供的与投标文件有关的各类证书、证明、文件、资料等的真实性、合法性由投标人负全责。</w:t>
      </w:r>
    </w:p>
    <w:p>
      <w:pPr>
        <w:rPr>
          <w:color w:val="auto"/>
          <w:highlight w:val="none"/>
        </w:rPr>
      </w:pPr>
    </w:p>
    <w:p>
      <w:pPr>
        <w:rPr>
          <w:rFonts w:hint="eastAsia"/>
          <w:color w:val="auto"/>
          <w:highlight w:val="none"/>
        </w:rPr>
      </w:pPr>
      <w:r>
        <w:rPr>
          <w:rFonts w:hint="eastAsia"/>
          <w:color w:val="auto"/>
          <w:highlight w:val="none"/>
        </w:rPr>
        <w:br w:type="page"/>
      </w:r>
      <w:bookmarkStart w:id="870" w:name="_Toc78803397"/>
    </w:p>
    <w:bookmarkEnd w:id="862"/>
    <w:bookmarkEnd w:id="863"/>
    <w:bookmarkEnd w:id="864"/>
    <w:bookmarkEnd w:id="865"/>
    <w:bookmarkEnd w:id="870"/>
    <w:p>
      <w:pPr>
        <w:pStyle w:val="3"/>
        <w:rPr>
          <w:rFonts w:hint="eastAsia" w:ascii="Arial" w:hAnsi="Arial"/>
          <w:color w:val="auto"/>
          <w:kern w:val="0"/>
          <w:sz w:val="32"/>
          <w:szCs w:val="32"/>
          <w:highlight w:val="none"/>
        </w:rPr>
      </w:pPr>
      <w:bookmarkStart w:id="871" w:name="_Toc16721"/>
    </w:p>
    <w:p>
      <w:pPr>
        <w:pStyle w:val="3"/>
        <w:rPr>
          <w:color w:val="auto"/>
          <w:highlight w:val="none"/>
        </w:rPr>
      </w:pPr>
      <w:bookmarkStart w:id="872" w:name="_Toc27074"/>
      <w:bookmarkStart w:id="873" w:name="_Toc8750"/>
      <w:r>
        <w:rPr>
          <w:rFonts w:hint="eastAsia" w:ascii="Arial" w:hAnsi="Arial"/>
          <w:color w:val="auto"/>
          <w:kern w:val="0"/>
          <w:sz w:val="32"/>
          <w:szCs w:val="32"/>
          <w:highlight w:val="none"/>
        </w:rPr>
        <w:t>第</w:t>
      </w:r>
      <w:r>
        <w:rPr>
          <w:rFonts w:hint="eastAsia" w:ascii="Arial" w:hAnsi="Arial"/>
          <w:color w:val="auto"/>
          <w:kern w:val="0"/>
          <w:sz w:val="32"/>
          <w:szCs w:val="32"/>
          <w:highlight w:val="none"/>
          <w:lang w:val="en-US" w:eastAsia="zh-CN"/>
        </w:rPr>
        <w:t>四</w:t>
      </w:r>
      <w:r>
        <w:rPr>
          <w:rFonts w:hint="eastAsia" w:ascii="Arial" w:hAnsi="Arial"/>
          <w:color w:val="auto"/>
          <w:kern w:val="0"/>
          <w:sz w:val="32"/>
          <w:szCs w:val="32"/>
          <w:highlight w:val="none"/>
        </w:rPr>
        <w:t>章  合同条款及格式</w:t>
      </w:r>
      <w:bookmarkEnd w:id="871"/>
      <w:bookmarkEnd w:id="872"/>
      <w:bookmarkEnd w:id="873"/>
    </w:p>
    <w:p>
      <w:pPr>
        <w:spacing w:line="360" w:lineRule="auto"/>
        <w:jc w:val="center"/>
        <w:rPr>
          <w:rFonts w:ascii="仿宋_GB2312" w:eastAsia="仿宋_GB2312"/>
          <w:b/>
          <w:color w:val="auto"/>
          <w:sz w:val="28"/>
          <w:szCs w:val="28"/>
          <w:highlight w:val="none"/>
        </w:rPr>
      </w:pPr>
    </w:p>
    <w:p>
      <w:pPr>
        <w:adjustRightInd w:val="0"/>
        <w:snapToGrid w:val="0"/>
        <w:spacing w:line="560" w:lineRule="exact"/>
        <w:jc w:val="center"/>
        <w:rPr>
          <w:rFonts w:eastAsia="仿宋_GB2312"/>
          <w:bCs/>
          <w:color w:val="auto"/>
          <w:sz w:val="32"/>
          <w:szCs w:val="32"/>
          <w:highlight w:val="none"/>
          <w:u w:val="single"/>
        </w:rPr>
      </w:pPr>
      <w:r>
        <w:rPr>
          <w:rFonts w:hint="eastAsia" w:eastAsia="仿宋_GB2312"/>
          <w:bCs/>
          <w:color w:val="auto"/>
          <w:sz w:val="32"/>
          <w:szCs w:val="32"/>
          <w:highlight w:val="none"/>
        </w:rPr>
        <w:t>合同编号：</w:t>
      </w:r>
      <w:r>
        <w:rPr>
          <w:rFonts w:hint="eastAsia" w:eastAsia="仿宋_GB2312"/>
          <w:bCs/>
          <w:color w:val="auto"/>
          <w:sz w:val="32"/>
          <w:szCs w:val="32"/>
          <w:highlight w:val="none"/>
          <w:u w:val="single"/>
        </w:rPr>
        <w:t>（</w:t>
      </w:r>
      <w:r>
        <w:rPr>
          <w:rFonts w:hint="eastAsia" w:eastAsia="仿宋_GB2312"/>
          <w:bCs/>
          <w:color w:val="auto"/>
          <w:sz w:val="32"/>
          <w:szCs w:val="32"/>
          <w:highlight w:val="none"/>
          <w:u w:val="single"/>
          <w:lang w:val="en-US" w:eastAsia="zh-CN"/>
        </w:rPr>
        <w:t xml:space="preserve"> </w:t>
      </w:r>
      <w:r>
        <w:rPr>
          <w:rFonts w:hint="eastAsia" w:eastAsia="仿宋_GB2312"/>
          <w:bCs/>
          <w:color w:val="auto"/>
          <w:sz w:val="32"/>
          <w:szCs w:val="32"/>
          <w:highlight w:val="none"/>
          <w:u w:val="single"/>
        </w:rPr>
        <w:t>）</w:t>
      </w:r>
    </w:p>
    <w:p>
      <w:pPr>
        <w:adjustRightInd w:val="0"/>
        <w:snapToGrid w:val="0"/>
        <w:spacing w:line="560" w:lineRule="exact"/>
        <w:jc w:val="center"/>
        <w:rPr>
          <w:rFonts w:eastAsia="华文中宋"/>
          <w:b/>
          <w:color w:val="auto"/>
          <w:sz w:val="52"/>
          <w:szCs w:val="52"/>
          <w:highlight w:val="none"/>
        </w:rPr>
      </w:pPr>
    </w:p>
    <w:p>
      <w:pPr>
        <w:adjustRightInd w:val="0"/>
        <w:snapToGrid w:val="0"/>
        <w:jc w:val="center"/>
        <w:rPr>
          <w:rFonts w:eastAsia="华文中宋"/>
          <w:b/>
          <w:color w:val="auto"/>
          <w:sz w:val="52"/>
          <w:szCs w:val="52"/>
          <w:highlight w:val="none"/>
        </w:rPr>
      </w:pPr>
      <w:r>
        <w:rPr>
          <w:rFonts w:hint="eastAsia" w:ascii="宋体" w:hAnsi="宋体" w:cs="宋体"/>
          <w:b/>
          <w:color w:val="auto"/>
          <w:sz w:val="72"/>
          <w:szCs w:val="52"/>
          <w:highlight w:val="none"/>
        </w:rPr>
        <w:t>施工合同</w:t>
      </w:r>
      <w:r>
        <w:rPr>
          <w:rFonts w:eastAsia="华文中宋"/>
          <w:b/>
          <w:color w:val="auto"/>
          <w:sz w:val="52"/>
          <w:szCs w:val="52"/>
          <w:highlight w:val="none"/>
        </w:rPr>
        <w:br w:type="textWrapping"/>
      </w:r>
      <w:bookmarkStart w:id="874" w:name="_Toc60061567"/>
    </w:p>
    <w:p>
      <w:pPr>
        <w:adjustRightInd w:val="0"/>
        <w:snapToGrid w:val="0"/>
        <w:spacing w:line="560" w:lineRule="exact"/>
        <w:jc w:val="center"/>
        <w:rPr>
          <w:rFonts w:eastAsia="华文中宋"/>
          <w:b/>
          <w:color w:val="auto"/>
          <w:sz w:val="52"/>
          <w:szCs w:val="52"/>
          <w:highlight w:val="none"/>
        </w:rPr>
      </w:pPr>
    </w:p>
    <w:p>
      <w:pPr>
        <w:adjustRightInd w:val="0"/>
        <w:snapToGrid w:val="0"/>
        <w:spacing w:line="560" w:lineRule="exact"/>
        <w:jc w:val="center"/>
        <w:rPr>
          <w:rFonts w:eastAsia="黑体"/>
          <w:b/>
          <w:color w:val="auto"/>
          <w:sz w:val="72"/>
          <w:szCs w:val="72"/>
          <w:highlight w:val="none"/>
        </w:rPr>
      </w:pPr>
    </w:p>
    <w:p>
      <w:pPr>
        <w:adjustRightInd w:val="0"/>
        <w:snapToGrid w:val="0"/>
        <w:spacing w:line="560" w:lineRule="exact"/>
        <w:jc w:val="center"/>
        <w:rPr>
          <w:rFonts w:hint="eastAsia" w:ascii="宋体" w:hAnsi="宋体" w:cs="宋体"/>
          <w:b/>
          <w:color w:val="auto"/>
          <w:sz w:val="54"/>
          <w:szCs w:val="72"/>
          <w:highlight w:val="none"/>
        </w:rPr>
      </w:pPr>
    </w:p>
    <w:p>
      <w:pPr>
        <w:pStyle w:val="14"/>
        <w:rPr>
          <w:color w:val="auto"/>
          <w:highlight w:val="none"/>
        </w:rPr>
      </w:pPr>
    </w:p>
    <w:p>
      <w:pPr>
        <w:adjustRightInd w:val="0"/>
        <w:snapToGrid w:val="0"/>
        <w:spacing w:line="560" w:lineRule="exact"/>
        <w:jc w:val="center"/>
        <w:rPr>
          <w:rFonts w:eastAsia="黑体"/>
          <w:b/>
          <w:color w:val="auto"/>
          <w:sz w:val="52"/>
          <w:szCs w:val="52"/>
          <w:highlight w:val="none"/>
        </w:rPr>
      </w:pPr>
    </w:p>
    <w:p>
      <w:pPr>
        <w:adjustRightInd w:val="0"/>
        <w:snapToGrid w:val="0"/>
        <w:spacing w:line="560" w:lineRule="exact"/>
        <w:rPr>
          <w:b/>
          <w:color w:val="auto"/>
          <w:sz w:val="28"/>
          <w:szCs w:val="28"/>
          <w:highlight w:val="none"/>
        </w:rPr>
      </w:pPr>
    </w:p>
    <w:p>
      <w:pPr>
        <w:adjustRightInd w:val="0"/>
        <w:snapToGrid w:val="0"/>
        <w:spacing w:line="560" w:lineRule="exact"/>
        <w:rPr>
          <w:b/>
          <w:color w:val="auto"/>
          <w:sz w:val="28"/>
          <w:szCs w:val="28"/>
          <w:highlight w:val="none"/>
        </w:rPr>
      </w:pPr>
    </w:p>
    <w:p>
      <w:pPr>
        <w:pStyle w:val="14"/>
        <w:rPr>
          <w:b/>
          <w:color w:val="auto"/>
          <w:sz w:val="28"/>
          <w:szCs w:val="28"/>
          <w:highlight w:val="none"/>
        </w:rPr>
      </w:pPr>
    </w:p>
    <w:p>
      <w:pPr>
        <w:rPr>
          <w:b/>
          <w:color w:val="auto"/>
          <w:sz w:val="28"/>
          <w:szCs w:val="28"/>
          <w:highlight w:val="none"/>
        </w:rPr>
      </w:pPr>
    </w:p>
    <w:p>
      <w:pPr>
        <w:pStyle w:val="14"/>
        <w:rPr>
          <w:b/>
          <w:color w:val="auto"/>
          <w:sz w:val="28"/>
          <w:szCs w:val="28"/>
          <w:highlight w:val="none"/>
        </w:rPr>
      </w:pPr>
    </w:p>
    <w:p>
      <w:pPr>
        <w:rPr>
          <w:b/>
          <w:color w:val="auto"/>
          <w:sz w:val="28"/>
          <w:szCs w:val="28"/>
          <w:highlight w:val="none"/>
        </w:rPr>
      </w:pPr>
    </w:p>
    <w:p>
      <w:pPr>
        <w:pStyle w:val="14"/>
        <w:jc w:val="center"/>
        <w:rPr>
          <w:color w:val="auto"/>
          <w:highlight w:val="none"/>
        </w:rPr>
      </w:pPr>
    </w:p>
    <w:p>
      <w:pPr>
        <w:spacing w:line="360" w:lineRule="auto"/>
        <w:jc w:val="center"/>
        <w:rPr>
          <w:rFonts w:hint="default" w:ascii="宋体" w:hAnsi="宋体" w:eastAsia="宋体" w:cs="宋体"/>
          <w:b/>
          <w:color w:val="auto"/>
          <w:sz w:val="24"/>
          <w:highlight w:val="none"/>
          <w:u w:val="single"/>
          <w:lang w:val="en-US" w:eastAsia="zh-CN"/>
        </w:rPr>
      </w:pPr>
      <w:r>
        <w:rPr>
          <w:rFonts w:hint="eastAsia" w:ascii="宋体" w:hAnsi="宋体" w:cs="宋体"/>
          <w:b/>
          <w:color w:val="auto"/>
          <w:sz w:val="24"/>
          <w:highlight w:val="none"/>
          <w:u w:val="none"/>
          <w:lang w:val="en-US" w:eastAsia="zh-CN"/>
        </w:rPr>
        <w:t>发  包  人</w:t>
      </w:r>
      <w:r>
        <w:rPr>
          <w:rFonts w:hint="eastAsia" w:ascii="宋体" w:hAnsi="宋体" w:cs="宋体"/>
          <w:b/>
          <w:color w:val="auto"/>
          <w:sz w:val="24"/>
          <w:highlight w:val="none"/>
          <w:u w:val="none"/>
        </w:rPr>
        <w:t>（全称）：</w:t>
      </w:r>
      <w:r>
        <w:rPr>
          <w:rFonts w:hint="eastAsia" w:ascii="宋体" w:hAnsi="宋体" w:cs="宋体"/>
          <w:b/>
          <w:color w:val="auto"/>
          <w:sz w:val="24"/>
          <w:highlight w:val="none"/>
          <w:u w:val="single"/>
          <w:lang w:val="en-US" w:eastAsia="zh-CN"/>
        </w:rPr>
        <w:t>滁州市兴全矿业投资有限公司</w:t>
      </w:r>
    </w:p>
    <w:p>
      <w:pPr>
        <w:jc w:val="both"/>
        <w:rPr>
          <w:rFonts w:hint="eastAsia" w:ascii="宋体" w:hAnsi="宋体" w:cs="宋体"/>
          <w:b/>
          <w:color w:val="auto"/>
          <w:sz w:val="24"/>
          <w:highlight w:val="none"/>
          <w:u w:val="single"/>
        </w:rPr>
      </w:pPr>
      <w:r>
        <w:rPr>
          <w:rFonts w:hint="eastAsia" w:ascii="宋体" w:hAnsi="宋体" w:cs="宋体"/>
          <w:b/>
          <w:color w:val="auto"/>
          <w:sz w:val="24"/>
          <w:highlight w:val="none"/>
          <w:u w:val="none"/>
          <w:lang w:val="en-US" w:eastAsia="zh-CN"/>
        </w:rPr>
        <w:t xml:space="preserve">           </w:t>
      </w:r>
      <w:r>
        <w:rPr>
          <w:rFonts w:hint="eastAsia" w:ascii="宋体" w:hAnsi="宋体" w:cs="宋体"/>
          <w:b/>
          <w:color w:val="auto"/>
          <w:sz w:val="24"/>
          <w:highlight w:val="none"/>
          <w:u w:val="none"/>
        </w:rPr>
        <w:t>承</w:t>
      </w:r>
      <w:r>
        <w:rPr>
          <w:rFonts w:hint="eastAsia" w:ascii="宋体" w:hAnsi="宋体" w:cs="宋体"/>
          <w:b/>
          <w:color w:val="auto"/>
          <w:sz w:val="24"/>
          <w:highlight w:val="none"/>
          <w:u w:val="none"/>
          <w:lang w:val="en-US" w:eastAsia="zh-CN"/>
        </w:rPr>
        <w:t xml:space="preserve">  </w:t>
      </w:r>
      <w:r>
        <w:rPr>
          <w:rFonts w:hint="eastAsia" w:ascii="宋体" w:hAnsi="宋体" w:cs="宋体"/>
          <w:b/>
          <w:color w:val="auto"/>
          <w:sz w:val="24"/>
          <w:highlight w:val="none"/>
          <w:u w:val="none"/>
        </w:rPr>
        <w:t>包</w:t>
      </w:r>
      <w:r>
        <w:rPr>
          <w:rFonts w:hint="eastAsia" w:ascii="宋体" w:hAnsi="宋体" w:cs="宋体"/>
          <w:b/>
          <w:color w:val="auto"/>
          <w:sz w:val="24"/>
          <w:highlight w:val="none"/>
          <w:u w:val="none"/>
          <w:lang w:val="en-US" w:eastAsia="zh-CN"/>
        </w:rPr>
        <w:t xml:space="preserve">  </w:t>
      </w:r>
      <w:r>
        <w:rPr>
          <w:rFonts w:hint="eastAsia" w:ascii="宋体" w:hAnsi="宋体" w:cs="宋体"/>
          <w:b/>
          <w:color w:val="auto"/>
          <w:sz w:val="24"/>
          <w:highlight w:val="none"/>
          <w:u w:val="none"/>
        </w:rPr>
        <w:t>人（全称）：</w:t>
      </w:r>
      <w:r>
        <w:rPr>
          <w:rFonts w:hint="eastAsia" w:ascii="宋体" w:hAnsi="宋体" w:cs="宋体"/>
          <w:b/>
          <w:color w:val="auto"/>
          <w:sz w:val="24"/>
          <w:highlight w:val="none"/>
          <w:u w:val="single"/>
        </w:rPr>
        <w:t xml:space="preserve">                  </w:t>
      </w:r>
    </w:p>
    <w:p>
      <w:pPr>
        <w:pStyle w:val="14"/>
        <w:rPr>
          <w:rFonts w:hint="eastAsia"/>
          <w:color w:val="auto"/>
          <w:highlight w:val="none"/>
        </w:rPr>
      </w:pPr>
    </w:p>
    <w:p>
      <w:pPr>
        <w:jc w:val="center"/>
        <w:rPr>
          <w:rFonts w:hint="default" w:eastAsia="宋体"/>
          <w:b/>
          <w:color w:val="auto"/>
          <w:sz w:val="28"/>
          <w:szCs w:val="28"/>
          <w:highlight w:val="none"/>
          <w:lang w:val="en-US" w:eastAsia="zh-CN"/>
        </w:rPr>
      </w:pPr>
      <w:r>
        <w:rPr>
          <w:rFonts w:hint="eastAsia"/>
          <w:b/>
          <w:color w:val="auto"/>
          <w:sz w:val="28"/>
          <w:szCs w:val="28"/>
          <w:highlight w:val="none"/>
          <w:lang w:val="en-US" w:eastAsia="zh-CN"/>
        </w:rPr>
        <w:t>2024年  月  日</w:t>
      </w:r>
    </w:p>
    <w:p>
      <w:pPr>
        <w:pStyle w:val="14"/>
        <w:rPr>
          <w:b/>
          <w:color w:val="auto"/>
          <w:sz w:val="28"/>
          <w:szCs w:val="28"/>
          <w:highlight w:val="none"/>
        </w:rPr>
      </w:pPr>
    </w:p>
    <w:p>
      <w:pPr>
        <w:rPr>
          <w:b/>
          <w:color w:val="auto"/>
          <w:sz w:val="28"/>
          <w:szCs w:val="28"/>
          <w:highlight w:val="none"/>
        </w:rPr>
      </w:pPr>
    </w:p>
    <w:p>
      <w:pPr>
        <w:pStyle w:val="14"/>
        <w:rPr>
          <w:color w:val="auto"/>
          <w:highlight w:val="none"/>
        </w:rPr>
      </w:pPr>
    </w:p>
    <w:p>
      <w:pPr>
        <w:pStyle w:val="14"/>
        <w:rPr>
          <w:color w:val="auto"/>
          <w:highlight w:val="none"/>
        </w:rPr>
      </w:pPr>
    </w:p>
    <w:p>
      <w:pPr>
        <w:adjustRightInd w:val="0"/>
        <w:snapToGrid w:val="0"/>
        <w:spacing w:line="560" w:lineRule="exact"/>
        <w:rPr>
          <w:b/>
          <w:color w:val="auto"/>
          <w:sz w:val="28"/>
          <w:szCs w:val="28"/>
          <w:highlight w:val="none"/>
        </w:rPr>
      </w:pPr>
    </w:p>
    <w:bookmarkEnd w:id="874"/>
    <w:p>
      <w:pPr>
        <w:rPr>
          <w:rFonts w:hint="eastAsia"/>
          <w:color w:val="auto"/>
          <w:highlight w:val="none"/>
        </w:rPr>
      </w:pPr>
      <w:r>
        <w:rPr>
          <w:rFonts w:hint="eastAsia"/>
          <w:color w:val="auto"/>
          <w:highlight w:val="none"/>
        </w:rPr>
        <w:br w:type="page"/>
      </w:r>
    </w:p>
    <w:p>
      <w:pPr>
        <w:keepNext/>
        <w:keepLines/>
        <w:spacing w:line="360" w:lineRule="auto"/>
        <w:jc w:val="center"/>
        <w:outlineLvl w:val="1"/>
        <w:rPr>
          <w:rFonts w:hint="eastAsia" w:ascii="宋体" w:hAnsi="宋体" w:cs="宋体"/>
          <w:b/>
          <w:bCs/>
          <w:color w:val="auto"/>
          <w:sz w:val="32"/>
          <w:szCs w:val="32"/>
          <w:highlight w:val="none"/>
        </w:rPr>
      </w:pPr>
      <w:bookmarkStart w:id="875" w:name="_Toc3977"/>
      <w:bookmarkStart w:id="876" w:name="_Toc28799376"/>
      <w:bookmarkStart w:id="877" w:name="_Toc95223459"/>
      <w:bookmarkStart w:id="878" w:name="_Toc2308"/>
      <w:bookmarkStart w:id="879" w:name="_Toc29801"/>
      <w:r>
        <w:rPr>
          <w:rFonts w:hint="eastAsia" w:ascii="宋体" w:hAnsi="宋体" w:cs="宋体"/>
          <w:b/>
          <w:bCs/>
          <w:color w:val="auto"/>
          <w:sz w:val="32"/>
          <w:szCs w:val="32"/>
          <w:highlight w:val="none"/>
        </w:rPr>
        <w:t>第一节  合同协议书</w:t>
      </w:r>
      <w:bookmarkEnd w:id="875"/>
      <w:bookmarkEnd w:id="876"/>
      <w:bookmarkEnd w:id="877"/>
    </w:p>
    <w:p>
      <w:pPr>
        <w:spacing w:line="360" w:lineRule="auto"/>
        <w:rPr>
          <w:rFonts w:hint="default" w:ascii="宋体" w:hAnsi="宋体" w:eastAsia="宋体" w:cs="宋体"/>
          <w:b/>
          <w:color w:val="auto"/>
          <w:sz w:val="24"/>
          <w:highlight w:val="none"/>
          <w:u w:val="single"/>
          <w:lang w:val="en-US" w:eastAsia="zh-CN"/>
        </w:rPr>
      </w:pPr>
      <w:r>
        <w:rPr>
          <w:rFonts w:hint="eastAsia" w:ascii="宋体" w:hAnsi="宋体" w:cs="宋体"/>
          <w:b/>
          <w:color w:val="auto"/>
          <w:sz w:val="24"/>
          <w:highlight w:val="none"/>
          <w:u w:val="single"/>
        </w:rPr>
        <w:t>发包人（全称）：</w:t>
      </w:r>
      <w:r>
        <w:rPr>
          <w:rFonts w:hint="eastAsia" w:ascii="宋体" w:hAnsi="宋体" w:cs="宋体"/>
          <w:b/>
          <w:color w:val="auto"/>
          <w:sz w:val="24"/>
          <w:highlight w:val="none"/>
          <w:u w:val="single"/>
          <w:lang w:val="en-US" w:eastAsia="zh-CN"/>
        </w:rPr>
        <w:t>滁州市兴全矿业投资有限公司</w:t>
      </w:r>
    </w:p>
    <w:p>
      <w:pPr>
        <w:spacing w:line="360" w:lineRule="auto"/>
        <w:rPr>
          <w:rFonts w:hint="eastAsia" w:ascii="宋体" w:hAnsi="宋体" w:cs="宋体"/>
          <w:b/>
          <w:color w:val="auto"/>
          <w:sz w:val="30"/>
          <w:szCs w:val="30"/>
          <w:highlight w:val="none"/>
          <w:u w:val="single"/>
        </w:rPr>
      </w:pPr>
      <w:r>
        <w:rPr>
          <w:rFonts w:hint="eastAsia" w:ascii="宋体" w:hAnsi="宋体" w:cs="宋体"/>
          <w:b/>
          <w:color w:val="auto"/>
          <w:sz w:val="24"/>
          <w:highlight w:val="none"/>
          <w:u w:val="single"/>
        </w:rPr>
        <w:t>承包人（全称）：               </w:t>
      </w:r>
    </w:p>
    <w:p>
      <w:pPr>
        <w:spacing w:line="360" w:lineRule="auto"/>
        <w:ind w:firstLine="420" w:firstLineChars="200"/>
        <w:rPr>
          <w:rFonts w:hint="eastAsia" w:ascii="宋体" w:hAnsi="宋体" w:cs="宋体"/>
          <w:color w:val="auto"/>
          <w:szCs w:val="21"/>
          <w:highlight w:val="none"/>
          <w:u w:val="single"/>
        </w:rPr>
      </w:pPr>
    </w:p>
    <w:p>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根据《中华人民共和国民法典》《中华人民共和国建筑法》及有关法律规定，遵循平等、自愿、公平和诚实信用的原则，双方就</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工程施工及</w:t>
      </w:r>
      <w:r>
        <w:rPr>
          <w:rFonts w:hint="eastAsia" w:ascii="宋体" w:hAnsi="宋体" w:cs="宋体"/>
          <w:color w:val="auto"/>
          <w:szCs w:val="21"/>
          <w:highlight w:val="none"/>
          <w:u w:val="single"/>
        </w:rPr>
        <w:t>有关事项协商一致，共同达成如下协议：</w:t>
      </w:r>
      <w:bookmarkStart w:id="880" w:name="_Toc351203481"/>
    </w:p>
    <w:p>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color w:val="auto"/>
          <w:szCs w:val="21"/>
          <w:highlight w:val="none"/>
          <w:u w:val="single"/>
        </w:rPr>
      </w:pPr>
      <w:r>
        <w:rPr>
          <w:rFonts w:hint="eastAsia" w:ascii="宋体" w:hAnsi="宋体" w:cs="宋体"/>
          <w:b/>
          <w:color w:val="auto"/>
          <w:szCs w:val="21"/>
          <w:highlight w:val="none"/>
          <w:u w:val="single"/>
        </w:rPr>
        <w:t>一、工程概况</w:t>
      </w:r>
      <w:bookmarkEnd w:id="880"/>
    </w:p>
    <w:p>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color w:val="auto"/>
          <w:szCs w:val="21"/>
          <w:highlight w:val="none"/>
          <w:u w:val="single"/>
        </w:rPr>
      </w:pPr>
      <w:r>
        <w:rPr>
          <w:rFonts w:hint="eastAsia" w:ascii="宋体" w:hAnsi="宋体" w:cs="宋体"/>
          <w:bCs/>
          <w:color w:val="auto"/>
          <w:szCs w:val="21"/>
          <w:highlight w:val="none"/>
          <w:u w:val="single"/>
        </w:rPr>
        <w:t>1. 工程名称</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none"/>
        </w:rPr>
      </w:pPr>
      <w:r>
        <w:rPr>
          <w:rFonts w:hint="eastAsia" w:ascii="宋体" w:hAnsi="宋体" w:cs="宋体"/>
          <w:bCs/>
          <w:color w:val="auto"/>
          <w:szCs w:val="21"/>
          <w:highlight w:val="none"/>
          <w:u w:val="single"/>
        </w:rPr>
        <w:t>2. 工程地点：</w:t>
      </w:r>
      <w:r>
        <w:rPr>
          <w:rFonts w:hint="eastAsia"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w:t>
      </w:r>
    </w:p>
    <w:p>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 xml:space="preserve">3.资金来源：      </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 xml:space="preserve">   </w:t>
      </w:r>
      <w:r>
        <w:rPr>
          <w:rFonts w:hint="eastAsia" w:ascii="宋体" w:hAnsi="宋体" w:cs="宋体"/>
          <w:color w:val="auto"/>
          <w:szCs w:val="21"/>
          <w:highlight w:val="none"/>
          <w:u w:val="single"/>
        </w:rPr>
        <w:t xml:space="preserve">  </w:t>
      </w:r>
      <w:r>
        <w:rPr>
          <w:rFonts w:hint="eastAsia" w:ascii="宋体" w:hAnsi="宋体" w:cs="宋体"/>
          <w:bCs/>
          <w:color w:val="auto"/>
          <w:szCs w:val="21"/>
          <w:highlight w:val="none"/>
          <w:u w:val="single"/>
        </w:rPr>
        <w:t>。</w:t>
      </w:r>
    </w:p>
    <w:p>
      <w:pPr>
        <w:keepNext w:val="0"/>
        <w:keepLines w:val="0"/>
        <w:pageBreakBefore w:val="0"/>
        <w:widowControl w:val="0"/>
        <w:kinsoku/>
        <w:wordWrap/>
        <w:overflowPunct/>
        <w:topLinePunct w:val="0"/>
        <w:bidi w:val="0"/>
        <w:snapToGrid/>
        <w:spacing w:line="480" w:lineRule="exact"/>
        <w:ind w:firstLine="411" w:firstLineChars="196"/>
        <w:textAlignment w:val="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lang w:val="en-US" w:eastAsia="zh-CN"/>
        </w:rPr>
        <w:t>4</w:t>
      </w:r>
      <w:r>
        <w:rPr>
          <w:rFonts w:hint="eastAsia" w:ascii="宋体" w:hAnsi="宋体" w:cs="宋体"/>
          <w:bCs/>
          <w:color w:val="auto"/>
          <w:szCs w:val="21"/>
          <w:highlight w:val="none"/>
          <w:u w:val="single"/>
        </w:rPr>
        <w:t>. 工程内容：</w:t>
      </w:r>
      <w:r>
        <w:rPr>
          <w:rFonts w:hint="eastAsia" w:ascii="宋体" w:hAnsi="宋体" w:cs="宋体"/>
          <w:bCs/>
          <w:color w:val="auto"/>
          <w:szCs w:val="21"/>
          <w:highlight w:val="none"/>
          <w:u w:val="single"/>
          <w:lang w:val="en-US" w:eastAsia="zh-CN"/>
        </w:rPr>
        <w:t xml:space="preserve">                        </w:t>
      </w:r>
      <w:r>
        <w:rPr>
          <w:rFonts w:hint="eastAsia" w:ascii="宋体" w:hAnsi="宋体" w:cs="宋体"/>
          <w:bCs/>
          <w:color w:val="auto"/>
          <w:szCs w:val="21"/>
          <w:highlight w:val="none"/>
          <w:u w:val="single"/>
        </w:rPr>
        <w:t>。</w:t>
      </w:r>
    </w:p>
    <w:p>
      <w:pPr>
        <w:keepNext w:val="0"/>
        <w:keepLines w:val="0"/>
        <w:pageBreakBefore w:val="0"/>
        <w:widowControl w:val="0"/>
        <w:kinsoku/>
        <w:wordWrap/>
        <w:overflowPunct/>
        <w:topLinePunct w:val="0"/>
        <w:bidi w:val="0"/>
        <w:snapToGrid/>
        <w:spacing w:line="480" w:lineRule="exact"/>
        <w:ind w:firstLine="411" w:firstLineChars="196"/>
        <w:textAlignment w:val="auto"/>
        <w:rPr>
          <w:rFonts w:hint="default" w:ascii="宋体" w:hAnsi="宋体" w:cs="宋体"/>
          <w:color w:val="auto"/>
          <w:szCs w:val="21"/>
          <w:highlight w:val="none"/>
          <w:u w:val="single"/>
          <w:lang w:val="en-US"/>
        </w:rPr>
      </w:pP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工程承包范围：</w:t>
      </w:r>
      <w:r>
        <w:rPr>
          <w:rFonts w:hint="eastAsia" w:ascii="宋体" w:hAnsi="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u w:val="single"/>
          <w:lang w:val="en-US" w:eastAsia="zh-CN" w:bidi="ar-SA"/>
        </w:rPr>
        <w:t>。</w:t>
      </w:r>
      <w:r>
        <w:rPr>
          <w:rFonts w:hint="eastAsia" w:ascii="宋体" w:hAnsi="宋体" w:cs="宋体"/>
          <w:color w:val="auto"/>
          <w:kern w:val="2"/>
          <w:sz w:val="21"/>
          <w:szCs w:val="21"/>
          <w:highlight w:val="none"/>
          <w:u w:val="single"/>
          <w:lang w:val="en-US" w:eastAsia="zh-CN" w:bidi="ar-SA"/>
        </w:rPr>
        <w:t xml:space="preserve"> </w:t>
      </w:r>
    </w:p>
    <w:p>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1" w:name="_Toc351203482"/>
      <w:r>
        <w:rPr>
          <w:rFonts w:hint="eastAsia" w:ascii="宋体" w:hAnsi="宋体" w:cs="宋体"/>
          <w:b/>
          <w:color w:val="auto"/>
          <w:szCs w:val="21"/>
          <w:highlight w:val="none"/>
          <w:u w:val="single"/>
        </w:rPr>
        <w:t>二、合同工期</w:t>
      </w:r>
      <w:bookmarkEnd w:id="881"/>
    </w:p>
    <w:p>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计划开工日期：          年      月      日。</w:t>
      </w:r>
    </w:p>
    <w:p>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计划竣工日期：          年      月      日。</w:t>
      </w:r>
    </w:p>
    <w:p>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工期总日历天数：       天。工期总日历天数与根据前述计划开竣工日期计算的工期天数不一致的，以工期总日历天数为准。</w:t>
      </w:r>
    </w:p>
    <w:p>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2" w:name="_Toc351203483"/>
      <w:r>
        <w:rPr>
          <w:rFonts w:hint="eastAsia" w:ascii="宋体" w:hAnsi="宋体" w:cs="宋体"/>
          <w:b/>
          <w:color w:val="auto"/>
          <w:szCs w:val="21"/>
          <w:highlight w:val="none"/>
          <w:u w:val="single"/>
        </w:rPr>
        <w:t>三、质量标准</w:t>
      </w:r>
      <w:bookmarkEnd w:id="882"/>
    </w:p>
    <w:p>
      <w:pPr>
        <w:keepNext w:val="0"/>
        <w:keepLines w:val="0"/>
        <w:pageBreakBefore w:val="0"/>
        <w:widowControl w:val="0"/>
        <w:kinsoku/>
        <w:wordWrap/>
        <w:overflowPunct/>
        <w:topLinePunct w:val="0"/>
        <w:bidi w:val="0"/>
        <w:snapToGrid/>
        <w:spacing w:line="480" w:lineRule="exact"/>
        <w:ind w:firstLine="459"/>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工程质量符合</w:t>
      </w:r>
      <w:r>
        <w:rPr>
          <w:rFonts w:hint="eastAsia" w:ascii="宋体" w:hAnsi="宋体" w:cs="宋体"/>
          <w:color w:val="auto"/>
          <w:szCs w:val="21"/>
          <w:highlight w:val="none"/>
          <w:u w:val="single"/>
          <w:lang w:val="en-US" w:eastAsia="zh-CN"/>
        </w:rPr>
        <w:t>国家相关法律法规规定的</w:t>
      </w:r>
      <w:r>
        <w:rPr>
          <w:rFonts w:hint="eastAsia" w:ascii="宋体" w:hAnsi="宋体" w:cs="宋体"/>
          <w:color w:val="auto"/>
          <w:szCs w:val="21"/>
          <w:highlight w:val="none"/>
          <w:u w:val="single"/>
        </w:rPr>
        <w:t>标准。</w:t>
      </w:r>
    </w:p>
    <w:p>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u w:val="single"/>
        </w:rPr>
      </w:pPr>
      <w:bookmarkStart w:id="883" w:name="_Toc351203484"/>
      <w:r>
        <w:rPr>
          <w:rFonts w:hint="eastAsia" w:ascii="宋体" w:hAnsi="宋体" w:cs="宋体"/>
          <w:b/>
          <w:color w:val="auto"/>
          <w:szCs w:val="21"/>
          <w:highlight w:val="none"/>
          <w:u w:val="single"/>
        </w:rPr>
        <w:t>四、签约合同价与合同价格形式</w:t>
      </w:r>
      <w:bookmarkEnd w:id="883"/>
    </w:p>
    <w:p>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1. 签约合同价为：</w:t>
      </w:r>
    </w:p>
    <w:p>
      <w:pPr>
        <w:keepNext w:val="0"/>
        <w:keepLines w:val="0"/>
        <w:pageBreakBefore w:val="0"/>
        <w:widowControl w:val="0"/>
        <w:kinsoku/>
        <w:wordWrap/>
        <w:overflowPunct/>
        <w:topLinePunct w:val="0"/>
        <w:bidi w:val="0"/>
        <w:snapToGrid/>
        <w:spacing w:line="480" w:lineRule="exact"/>
        <w:ind w:firstLine="525" w:firstLineChars="250"/>
        <w:textAlignment w:val="auto"/>
        <w:rPr>
          <w:rFonts w:hint="eastAsia" w:ascii="宋体" w:hAnsi="宋体" w:cs="宋体"/>
          <w:color w:val="auto"/>
          <w:szCs w:val="21"/>
          <w:highlight w:val="none"/>
          <w:u w:val="single"/>
        </w:rPr>
      </w:pPr>
      <w:r>
        <w:rPr>
          <w:rFonts w:hint="eastAsia" w:ascii="宋体" w:hAnsi="宋体" w:cs="宋体"/>
          <w:color w:val="auto"/>
          <w:szCs w:val="21"/>
          <w:highlight w:val="none"/>
          <w:u w:val="single"/>
        </w:rPr>
        <w:t>人民币（大写）                 (¥            元)；</w:t>
      </w:r>
    </w:p>
    <w:p>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 合同价格形式：</w:t>
      </w:r>
      <w:r>
        <w:rPr>
          <w:rFonts w:hint="eastAsia" w:ascii="宋体" w:hAnsi="宋体" w:cs="宋体"/>
          <w:color w:val="auto"/>
          <w:szCs w:val="21"/>
          <w:highlight w:val="none"/>
          <w:u w:val="single"/>
          <w:lang w:val="en-US" w:eastAsia="zh-CN"/>
        </w:rPr>
        <w:t>固定单价</w:t>
      </w:r>
      <w:r>
        <w:rPr>
          <w:rFonts w:hint="eastAsia" w:ascii="宋体" w:hAnsi="宋体" w:cs="宋体"/>
          <w:color w:val="auto"/>
          <w:szCs w:val="21"/>
          <w:highlight w:val="none"/>
        </w:rPr>
        <w:t>。</w:t>
      </w:r>
    </w:p>
    <w:p>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4" w:name="_Toc351203485"/>
      <w:r>
        <w:rPr>
          <w:rFonts w:hint="eastAsia" w:ascii="宋体" w:hAnsi="宋体" w:cs="宋体"/>
          <w:b/>
          <w:color w:val="auto"/>
          <w:szCs w:val="21"/>
          <w:highlight w:val="none"/>
        </w:rPr>
        <w:t>五、</w:t>
      </w:r>
      <w:bookmarkEnd w:id="884"/>
      <w:r>
        <w:rPr>
          <w:rFonts w:hint="eastAsia" w:ascii="宋体" w:hAnsi="宋体" w:cs="宋体"/>
          <w:b/>
          <w:color w:val="auto"/>
          <w:szCs w:val="21"/>
          <w:highlight w:val="none"/>
        </w:rPr>
        <w:t>项目经理</w:t>
      </w:r>
    </w:p>
    <w:p>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承包人项目经理： </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5" w:name="_Toc351203486"/>
      <w:r>
        <w:rPr>
          <w:rFonts w:hint="eastAsia" w:ascii="宋体" w:hAnsi="宋体" w:cs="宋体"/>
          <w:b/>
          <w:color w:val="auto"/>
          <w:szCs w:val="21"/>
          <w:highlight w:val="none"/>
        </w:rPr>
        <w:t>六、合同文件构成</w:t>
      </w:r>
      <w:bookmarkEnd w:id="885"/>
    </w:p>
    <w:p>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本协议书与下列文件一起构成合同文件：</w:t>
      </w:r>
    </w:p>
    <w:p>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（1）中标通知书（如果有）；</w:t>
      </w:r>
    </w:p>
    <w:p>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（2）投标函及其附录（如果有）； </w:t>
      </w:r>
    </w:p>
    <w:p>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（3）专用合同条款及其附件；</w:t>
      </w:r>
    </w:p>
    <w:p>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（4）通用合同条款；</w:t>
      </w:r>
    </w:p>
    <w:p>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（5）技术标准和要求；</w:t>
      </w:r>
    </w:p>
    <w:p>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（6）图纸；</w:t>
      </w:r>
    </w:p>
    <w:p>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（7）已标价工程量清单或预算书；</w:t>
      </w:r>
    </w:p>
    <w:p>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（8）其他合同文件。</w:t>
      </w:r>
    </w:p>
    <w:p>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在合同订立及履行过程中形成的与合同有关的文件均构成合同文件组成部分。</w:t>
      </w:r>
    </w:p>
    <w:p>
      <w:pPr>
        <w:keepNext w:val="0"/>
        <w:keepLines w:val="0"/>
        <w:pageBreakBefore w:val="0"/>
        <w:widowControl w:val="0"/>
        <w:kinsoku/>
        <w:wordWrap/>
        <w:overflowPunct/>
        <w:topLinePunct w:val="0"/>
        <w:autoSpaceDE w:val="0"/>
        <w:autoSpaceDN w:val="0"/>
        <w:bidi w:val="0"/>
        <w:adjustRightInd w:val="0"/>
        <w:snapToGrid/>
        <w:spacing w:line="4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6" w:name="_Toc351203487"/>
      <w:r>
        <w:rPr>
          <w:rFonts w:hint="eastAsia" w:ascii="宋体" w:hAnsi="宋体" w:cs="宋体"/>
          <w:b/>
          <w:color w:val="auto"/>
          <w:szCs w:val="21"/>
          <w:highlight w:val="none"/>
        </w:rPr>
        <w:t>七、承诺</w:t>
      </w:r>
      <w:bookmarkEnd w:id="886"/>
    </w:p>
    <w:p>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1. 发包人承诺按照法律规定履行项目审批手续、筹集工程建设资金并按照合同约定的期限和方式支付合同价款。</w:t>
      </w:r>
    </w:p>
    <w:p>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 承包人承诺按照法律规定及合同约定组织完成工程施工，确保工程质量和安全，不进行转包及违法分包，并在缺陷责任期及保修期内承担相应的工程维修责任。</w:t>
      </w:r>
    </w:p>
    <w:p>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 发包人和承包人通过招投标形式签订合同的，双方理解并承诺不再就同一工程另行签订与合同实质性内容相背离的协议。</w:t>
      </w:r>
    </w:p>
    <w:p>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7" w:name="_Toc351203488"/>
      <w:r>
        <w:rPr>
          <w:rFonts w:hint="eastAsia" w:ascii="宋体" w:hAnsi="宋体" w:cs="宋体"/>
          <w:b/>
          <w:color w:val="auto"/>
          <w:szCs w:val="21"/>
          <w:highlight w:val="none"/>
        </w:rPr>
        <w:t>八、词语含义</w:t>
      </w:r>
      <w:bookmarkEnd w:id="887"/>
    </w:p>
    <w:p>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本协议书中词语含义与第二部分通用合同条款中赋予的含义相同。</w:t>
      </w:r>
    </w:p>
    <w:p>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8" w:name="_Toc351203489"/>
      <w:r>
        <w:rPr>
          <w:rFonts w:hint="eastAsia" w:ascii="宋体" w:hAnsi="宋体" w:cs="宋体"/>
          <w:b/>
          <w:color w:val="auto"/>
          <w:szCs w:val="21"/>
          <w:highlight w:val="none"/>
        </w:rPr>
        <w:t>九、签订时间</w:t>
      </w:r>
      <w:bookmarkEnd w:id="888"/>
    </w:p>
    <w:p>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本合同于</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日签订。</w:t>
      </w:r>
    </w:p>
    <w:p>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89" w:name="_Toc351203490"/>
      <w:r>
        <w:rPr>
          <w:rFonts w:hint="eastAsia" w:ascii="宋体" w:hAnsi="宋体" w:cs="宋体"/>
          <w:b/>
          <w:color w:val="auto"/>
          <w:szCs w:val="21"/>
          <w:highlight w:val="none"/>
        </w:rPr>
        <w:t>十、签订地点</w:t>
      </w:r>
      <w:bookmarkEnd w:id="889"/>
    </w:p>
    <w:p>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本合同在</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签订。</w:t>
      </w:r>
    </w:p>
    <w:p>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0" w:name="_Toc351203491"/>
      <w:r>
        <w:rPr>
          <w:rFonts w:hint="eastAsia" w:ascii="宋体" w:hAnsi="宋体" w:cs="宋体"/>
          <w:b/>
          <w:color w:val="auto"/>
          <w:szCs w:val="21"/>
          <w:highlight w:val="none"/>
        </w:rPr>
        <w:t>十一、补充协议</w:t>
      </w:r>
      <w:bookmarkEnd w:id="890"/>
    </w:p>
    <w:p>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
          <w:bCs/>
          <w:color w:val="auto"/>
          <w:szCs w:val="21"/>
          <w:highlight w:val="none"/>
        </w:rPr>
      </w:pPr>
      <w:r>
        <w:rPr>
          <w:rFonts w:hint="eastAsia" w:ascii="宋体" w:hAnsi="宋体" w:cs="宋体"/>
          <w:bCs/>
          <w:color w:val="auto"/>
          <w:szCs w:val="21"/>
          <w:highlight w:val="none"/>
        </w:rPr>
        <w:t>合同未尽事宜，合同当事人另行签订补充协议，补充协议是合同的组成部分。</w:t>
      </w:r>
    </w:p>
    <w:p>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1" w:name="_Toc351203492"/>
      <w:r>
        <w:rPr>
          <w:rFonts w:hint="eastAsia" w:ascii="宋体" w:hAnsi="宋体" w:cs="宋体"/>
          <w:b/>
          <w:color w:val="auto"/>
          <w:szCs w:val="21"/>
          <w:highlight w:val="none"/>
        </w:rPr>
        <w:t>十二、合同生效</w:t>
      </w:r>
      <w:bookmarkEnd w:id="891"/>
    </w:p>
    <w:p>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本合同自</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生效。</w:t>
      </w:r>
    </w:p>
    <w:p>
      <w:pPr>
        <w:keepNext w:val="0"/>
        <w:keepLines w:val="0"/>
        <w:pageBreakBefore w:val="0"/>
        <w:widowControl w:val="0"/>
        <w:kinsoku/>
        <w:wordWrap/>
        <w:overflowPunct/>
        <w:topLinePunct w:val="0"/>
        <w:bidi w:val="0"/>
        <w:snapToGrid/>
        <w:spacing w:line="480" w:lineRule="exact"/>
        <w:ind w:firstLine="422" w:firstLineChars="200"/>
        <w:textAlignment w:val="auto"/>
        <w:rPr>
          <w:rFonts w:hint="eastAsia" w:ascii="宋体" w:hAnsi="宋体" w:cs="宋体"/>
          <w:b/>
          <w:color w:val="auto"/>
          <w:szCs w:val="21"/>
          <w:highlight w:val="none"/>
        </w:rPr>
      </w:pPr>
      <w:bookmarkStart w:id="892" w:name="_Toc351203493"/>
      <w:r>
        <w:rPr>
          <w:rFonts w:hint="eastAsia" w:ascii="宋体" w:hAnsi="宋体" w:cs="宋体"/>
          <w:b/>
          <w:color w:val="auto"/>
          <w:szCs w:val="21"/>
          <w:highlight w:val="none"/>
        </w:rPr>
        <w:t>十三、合同份数</w:t>
      </w:r>
      <w:bookmarkEnd w:id="892"/>
    </w:p>
    <w:p>
      <w:pPr>
        <w:keepNext w:val="0"/>
        <w:keepLines w:val="0"/>
        <w:pageBreakBefore w:val="0"/>
        <w:widowControl w:val="0"/>
        <w:kinsoku/>
        <w:wordWrap/>
        <w:overflowPunct/>
        <w:topLinePunct w:val="0"/>
        <w:bidi w:val="0"/>
        <w:snapToGrid/>
        <w:spacing w:line="48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本合同一式</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份，均具有同等法律效力，发包人执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份，承包人执</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份。</w:t>
      </w:r>
    </w:p>
    <w:p>
      <w:pPr>
        <w:spacing w:line="360" w:lineRule="auto"/>
        <w:rPr>
          <w:rFonts w:hint="eastAsia" w:ascii="宋体" w:hAnsi="宋体" w:cs="宋体"/>
          <w:bCs/>
          <w:color w:val="auto"/>
          <w:szCs w:val="21"/>
          <w:highlight w:val="none"/>
        </w:rPr>
      </w:pP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(公章)          承包人：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(公章)</w:t>
      </w:r>
    </w:p>
    <w:p>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              法定代表人或其委托代理人：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（签字）</w:t>
      </w:r>
      <w:r>
        <w:rPr>
          <w:rFonts w:hint="eastAsia" w:ascii="宋体" w:hAnsi="宋体" w:cs="宋体"/>
          <w:color w:val="auto"/>
          <w:szCs w:val="21"/>
          <w:highlight w:val="none"/>
          <w:u w:val="single"/>
        </w:rPr>
        <w:t xml:space="preserve">                  </w:t>
      </w:r>
    </w:p>
    <w:p>
      <w:pPr>
        <w:spacing w:line="360" w:lineRule="auto"/>
        <w:rPr>
          <w:rFonts w:hint="eastAsia" w:ascii="宋体" w:hAnsi="宋体" w:cs="宋体"/>
          <w:color w:val="auto"/>
          <w:szCs w:val="21"/>
          <w:highlight w:val="none"/>
          <w:u w:val="single"/>
        </w:rPr>
      </w:pPr>
    </w:p>
    <w:p>
      <w:pPr>
        <w:tabs>
          <w:tab w:val="left" w:pos="4410"/>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组织机构代码：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组织机构代码：</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电子信箱：</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pPr>
        <w:ind w:firstLine="420" w:firstLineChars="200"/>
        <w:rPr>
          <w:rFonts w:hint="eastAsia" w:ascii="宋体" w:hAnsi="宋体" w:cs="宋体"/>
          <w:color w:val="auto"/>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pPr>
        <w:keepNext/>
        <w:keepLines/>
        <w:spacing w:line="360" w:lineRule="auto"/>
        <w:jc w:val="center"/>
        <w:outlineLvl w:val="1"/>
        <w:rPr>
          <w:rFonts w:hint="eastAsia" w:ascii="宋体" w:hAnsi="宋体" w:cs="宋体"/>
          <w:snapToGrid w:val="0"/>
          <w:color w:val="auto"/>
          <w:kern w:val="0"/>
          <w:sz w:val="28"/>
          <w:highlight w:val="none"/>
        </w:rPr>
      </w:pPr>
      <w:r>
        <w:rPr>
          <w:rFonts w:hint="eastAsia" w:ascii="宋体" w:hAnsi="宋体" w:eastAsia="宋体" w:cs="宋体"/>
          <w:b/>
          <w:bCs/>
          <w:color w:val="auto"/>
          <w:sz w:val="32"/>
          <w:szCs w:val="32"/>
          <w:highlight w:val="none"/>
        </w:rPr>
        <w:br w:type="page"/>
      </w:r>
      <w:bookmarkEnd w:id="878"/>
      <w:bookmarkEnd w:id="879"/>
      <w:bookmarkStart w:id="893" w:name="_Toc15494"/>
      <w:bookmarkStart w:id="894" w:name="_Toc95223460"/>
      <w:bookmarkStart w:id="895" w:name="_Toc4139"/>
      <w:r>
        <w:rPr>
          <w:rFonts w:hint="eastAsia" w:ascii="黑体" w:hAnsi="Times New Roman" w:eastAsia="黑体" w:cs="黑体"/>
          <w:b/>
          <w:bCs/>
          <w:color w:val="auto"/>
          <w:kern w:val="0"/>
          <w:sz w:val="32"/>
          <w:szCs w:val="32"/>
          <w:highlight w:val="none"/>
          <w:lang w:val="en-US" w:eastAsia="zh-CN" w:bidi="ar-SA"/>
        </w:rPr>
        <w:t>第二节  通用合同条款</w:t>
      </w:r>
      <w:bookmarkEnd w:id="893"/>
      <w:bookmarkEnd w:id="894"/>
    </w:p>
    <w:p>
      <w:pPr>
        <w:spacing w:line="440" w:lineRule="exact"/>
        <w:ind w:firstLine="420" w:firstLineChars="200"/>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采用《建设工程施工合同(示范文本)》（GF-2017-0201）中通用合同条款。上述资料由投标人自行准备。</w:t>
      </w:r>
    </w:p>
    <w:p>
      <w:pPr>
        <w:pStyle w:val="2"/>
        <w:jc w:val="center"/>
        <w:rPr>
          <w:rFonts w:hint="eastAsia" w:ascii="黑体" w:eastAsia="黑体" w:cs="黑体"/>
          <w:color w:val="auto"/>
          <w:highlight w:val="none"/>
        </w:rPr>
      </w:pPr>
      <w:bookmarkStart w:id="896" w:name="_Toc14492"/>
      <w:r>
        <w:rPr>
          <w:rFonts w:hint="eastAsia" w:ascii="黑体" w:eastAsia="黑体" w:cs="黑体"/>
          <w:color w:val="auto"/>
          <w:highlight w:val="none"/>
        </w:rPr>
        <w:t>第三节 专用合同条款</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 一般约定</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1.1 </w:t>
      </w:r>
      <w:r>
        <w:rPr>
          <w:rFonts w:hint="eastAsia" w:ascii="宋体" w:hAnsi="宋体" w:cs="宋体"/>
          <w:bCs/>
          <w:color w:val="auto"/>
          <w:szCs w:val="28"/>
          <w:highlight w:val="none"/>
        </w:rPr>
        <w:t>词语定义与解释</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1.1.1合同</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1.1.1.10其他合同文件包括：</w:t>
      </w:r>
      <w:r>
        <w:rPr>
          <w:rFonts w:hint="eastAsia" w:ascii="宋体" w:cs="宋体"/>
          <w:color w:val="auto"/>
          <w:szCs w:val="21"/>
          <w:highlight w:val="none"/>
          <w:u w:val="single"/>
        </w:rPr>
        <w:t>本项目招标文件、在合同订立及履行过程中形成的与合同有关的文件均构成合同文件组成部分。</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1.1.2 合同当事人及其他相关方</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1.1.2.4</w:t>
      </w:r>
      <w:r>
        <w:rPr>
          <w:rFonts w:hint="eastAsia" w:ascii="宋体" w:cs="宋体"/>
          <w:strike w:val="0"/>
          <w:dstrike w:val="0"/>
          <w:color w:val="auto"/>
          <w:szCs w:val="21"/>
          <w:highlight w:val="none"/>
          <w:lang w:val="en-US" w:eastAsia="zh-CN"/>
        </w:rPr>
        <w:t>发包人</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名    称：</w:t>
      </w:r>
      <w:r>
        <w:rPr>
          <w:rFonts w:hint="eastAsia" w:ascii="宋体" w:cs="宋体"/>
          <w:strike w:val="0"/>
          <w:dstrike w:val="0"/>
          <w:color w:val="auto"/>
          <w:szCs w:val="21"/>
          <w:highlight w:val="none"/>
          <w:u w:val="single"/>
        </w:rPr>
        <w:t xml:space="preserve">                                         </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lang w:val="en-US" w:eastAsia="zh-CN"/>
        </w:rPr>
        <w:t>发包人现场联系人</w:t>
      </w:r>
      <w:r>
        <w:rPr>
          <w:rFonts w:hint="eastAsia" w:ascii="宋体" w:cs="宋体"/>
          <w:strike w:val="0"/>
          <w:dstrike w:val="0"/>
          <w:color w:val="auto"/>
          <w:szCs w:val="21"/>
          <w:highlight w:val="none"/>
        </w:rPr>
        <w:t>：</w:t>
      </w:r>
      <w:r>
        <w:rPr>
          <w:rFonts w:hint="eastAsia" w:ascii="宋体" w:cs="宋体"/>
          <w:strike w:val="0"/>
          <w:dstrike w:val="0"/>
          <w:color w:val="auto"/>
          <w:szCs w:val="21"/>
          <w:highlight w:val="none"/>
          <w:u w:val="single"/>
        </w:rPr>
        <w:t>               </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联系电话：</w:t>
      </w:r>
      <w:r>
        <w:rPr>
          <w:rFonts w:hint="eastAsia" w:ascii="宋体" w:cs="宋体"/>
          <w:strike w:val="0"/>
          <w:dstrike w:val="0"/>
          <w:color w:val="auto"/>
          <w:szCs w:val="21"/>
          <w:highlight w:val="none"/>
          <w:u w:val="single"/>
        </w:rPr>
        <w:t>                 </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电子信箱：</w:t>
      </w:r>
      <w:r>
        <w:rPr>
          <w:rFonts w:hint="eastAsia" w:ascii="宋体" w:cs="宋体"/>
          <w:strike w:val="0"/>
          <w:dstrike w:val="0"/>
          <w:color w:val="auto"/>
          <w:szCs w:val="21"/>
          <w:highlight w:val="none"/>
          <w:u w:val="single"/>
        </w:rPr>
        <w:t>                 </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通信地址：</w:t>
      </w:r>
      <w:r>
        <w:rPr>
          <w:rFonts w:hint="eastAsia" w:ascii="宋体" w:cs="宋体"/>
          <w:strike w:val="0"/>
          <w:dstrike w:val="0"/>
          <w:color w:val="auto"/>
          <w:szCs w:val="21"/>
          <w:highlight w:val="none"/>
          <w:u w:val="single"/>
        </w:rPr>
        <w:t>                </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 xml:space="preserve">1.1.2.5 </w:t>
      </w:r>
      <w:r>
        <w:rPr>
          <w:rFonts w:hint="eastAsia" w:ascii="宋体" w:cs="宋体"/>
          <w:strike w:val="0"/>
          <w:dstrike w:val="0"/>
          <w:color w:val="auto"/>
          <w:szCs w:val="21"/>
          <w:highlight w:val="none"/>
          <w:lang w:val="en-US" w:eastAsia="zh-CN"/>
        </w:rPr>
        <w:t>承包人</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名    称：</w:t>
      </w:r>
      <w:r>
        <w:rPr>
          <w:rFonts w:hint="eastAsia" w:ascii="宋体" w:cs="宋体"/>
          <w:color w:val="auto"/>
          <w:szCs w:val="21"/>
          <w:highlight w:val="none"/>
          <w:u w:val="single"/>
        </w:rPr>
        <w:t xml:space="preserve">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资质类别和等级：</w:t>
      </w:r>
      <w:r>
        <w:rPr>
          <w:rFonts w:hint="eastAsia" w:ascii="宋体" w:cs="宋体"/>
          <w:color w:val="auto"/>
          <w:szCs w:val="21"/>
          <w:highlight w:val="none"/>
          <w:u w:val="single"/>
        </w:rPr>
        <w:t>            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lang w:eastAsia="zh-CN"/>
        </w:rPr>
      </w:pPr>
      <w:r>
        <w:rPr>
          <w:rFonts w:hint="eastAsia" w:ascii="宋体" w:cs="宋体"/>
          <w:color w:val="auto"/>
          <w:szCs w:val="21"/>
          <w:highlight w:val="none"/>
          <w:lang w:val="en-US" w:eastAsia="zh-CN"/>
        </w:rPr>
        <w:t>项目经理：</w:t>
      </w:r>
      <w:r>
        <w:rPr>
          <w:rFonts w:hint="eastAsia" w:ascii="宋体" w:cs="宋体"/>
          <w:color w:val="auto"/>
          <w:szCs w:val="21"/>
          <w:highlight w:val="none"/>
          <w:u w:val="single"/>
        </w:rPr>
        <w:t>                 </w:t>
      </w:r>
      <w:r>
        <w:rPr>
          <w:rFonts w:hint="eastAsia" w:ascii="宋体" w:cs="宋体"/>
          <w:color w:val="auto"/>
          <w:szCs w:val="21"/>
          <w:highlight w:val="none"/>
        </w:rPr>
        <w:t>；</w:t>
      </w:r>
      <w:r>
        <w:rPr>
          <w:rFonts w:hint="eastAsia" w:ascii="宋体" w:cs="宋体"/>
          <w:color w:val="auto"/>
          <w:szCs w:val="21"/>
          <w:highlight w:val="none"/>
          <w:lang w:eastAsia="zh-CN"/>
        </w:rPr>
        <w:t>、</w:t>
      </w:r>
    </w:p>
    <w:p>
      <w:pPr>
        <w:snapToGrid w:val="0"/>
        <w:spacing w:line="440" w:lineRule="exact"/>
        <w:ind w:firstLine="420" w:firstLineChars="200"/>
        <w:rPr>
          <w:rFonts w:hint="eastAsia"/>
          <w:color w:val="auto"/>
          <w:highlight w:val="none"/>
          <w:lang w:val="en-US" w:eastAsia="zh-CN"/>
        </w:rPr>
      </w:pPr>
      <w:r>
        <w:rPr>
          <w:rFonts w:hint="eastAsia" w:ascii="宋体" w:cs="宋体"/>
          <w:color w:val="auto"/>
          <w:szCs w:val="21"/>
          <w:highlight w:val="none"/>
          <w:lang w:val="en-US" w:eastAsia="zh-CN"/>
        </w:rPr>
        <w:t>项目经理</w:t>
      </w:r>
      <w:r>
        <w:rPr>
          <w:rFonts w:hint="eastAsia" w:ascii="宋体" w:cs="宋体"/>
          <w:color w:val="auto"/>
          <w:szCs w:val="21"/>
          <w:highlight w:val="none"/>
        </w:rPr>
        <w:t>资质类别和等级：</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xml:space="preserve">    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1.1.3 工程和设备</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1.1.3.7 作为施工现场组成部分的其他场所包括：</w:t>
      </w:r>
      <w:r>
        <w:rPr>
          <w:rFonts w:hint="eastAsia" w:ascii="宋体" w:cs="宋体"/>
          <w:color w:val="auto"/>
          <w:szCs w:val="21"/>
          <w:highlight w:val="none"/>
          <w:u w:val="single"/>
        </w:rPr>
        <w:t xml:space="preserve"> 见施工图纸并现场确定</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1.1.3.9 永久占地包括：</w:t>
      </w:r>
      <w:r>
        <w:rPr>
          <w:rFonts w:hint="eastAsia" w:ascii="宋体" w:cs="宋体"/>
          <w:color w:val="auto"/>
          <w:szCs w:val="21"/>
          <w:highlight w:val="none"/>
          <w:u w:val="single"/>
        </w:rPr>
        <w:t xml:space="preserve">   见施工图纸 </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1.1.3.10 临时占地包括：</w:t>
      </w:r>
      <w:r>
        <w:rPr>
          <w:rFonts w:hint="eastAsia" w:ascii="宋体" w:cs="宋体"/>
          <w:color w:val="auto"/>
          <w:szCs w:val="21"/>
          <w:highlight w:val="none"/>
          <w:u w:val="single"/>
        </w:rPr>
        <w:t xml:space="preserve">   现场确定</w:t>
      </w:r>
      <w:r>
        <w:rPr>
          <w:rFonts w:hint="eastAsia" w:ascii="宋体" w:cs="宋体"/>
          <w:color w:val="auto"/>
          <w:kern w:val="0"/>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1.3法律 </w:t>
      </w:r>
    </w:p>
    <w:p>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适用于合同的其他规范性文件：</w:t>
      </w:r>
      <w:r>
        <w:rPr>
          <w:rFonts w:hint="eastAsia" w:ascii="宋体" w:hAnsi="宋体" w:cs="宋体"/>
          <w:color w:val="auto"/>
          <w:szCs w:val="21"/>
          <w:highlight w:val="none"/>
          <w:u w:val="single"/>
        </w:rPr>
        <w:t>《中华人民共和国民法典》、《中华人民共和国建筑法》、《中华人民共和国招标投标法》、《建设工程质量管理条例》、《建设工程安全生产管理条例》等国家及工程所在地现行有效的法律法规和规章</w:t>
      </w:r>
      <w:r>
        <w:rPr>
          <w:rFonts w:hint="eastAsia" w:ascii="宋体" w:cs="宋体"/>
          <w:color w:val="auto"/>
          <w:szCs w:val="21"/>
          <w:highlight w:val="none"/>
          <w:u w:val="singl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 标准和规范</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1.4.1适用于工程的标准规范包括：</w:t>
      </w:r>
      <w:r>
        <w:rPr>
          <w:rFonts w:hint="eastAsia" w:ascii="宋体" w:cs="宋体"/>
          <w:color w:val="auto"/>
          <w:szCs w:val="21"/>
          <w:highlight w:val="none"/>
          <w:u w:val="single"/>
        </w:rPr>
        <w:t>中华人民共和国住房和城乡建设部等部门及省、市发布的有关文件</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1.4.2 发包人提供国外标准、规范的名称：</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承包人自备国内现行适用的标准、规范</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发包人提供国外标准、规范的份数：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kern w:val="0"/>
          <w:szCs w:val="21"/>
          <w:highlight w:val="none"/>
        </w:rPr>
        <w:t>发包人提供国外标准、规范的名称：</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1.4.3发包人对工程的技术标准和功能要求的特殊要求：</w:t>
      </w:r>
      <w:r>
        <w:rPr>
          <w:rFonts w:hint="eastAsia" w:ascii="宋体" w:cs="宋体"/>
          <w:color w:val="auto"/>
          <w:szCs w:val="21"/>
          <w:highlight w:val="none"/>
          <w:u w:val="single"/>
        </w:rPr>
        <w:t xml:space="preserve">按现行规范执行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 合同文件的优先顺序</w:t>
      </w:r>
    </w:p>
    <w:p>
      <w:pPr>
        <w:snapToGrid w:val="0"/>
        <w:spacing w:line="440" w:lineRule="exact"/>
        <w:ind w:firstLine="420" w:firstLineChars="200"/>
        <w:rPr>
          <w:color w:val="auto"/>
          <w:highlight w:val="none"/>
        </w:rPr>
      </w:pPr>
      <w:r>
        <w:rPr>
          <w:rFonts w:hint="eastAsia" w:ascii="宋体" w:cs="宋体"/>
          <w:color w:val="auto"/>
          <w:szCs w:val="21"/>
          <w:highlight w:val="none"/>
        </w:rPr>
        <w:t>合同文件组成及优先顺序为：</w:t>
      </w:r>
      <w:r>
        <w:rPr>
          <w:rFonts w:hint="eastAsia" w:ascii="宋体" w:cs="宋体"/>
          <w:color w:val="auto"/>
          <w:szCs w:val="21"/>
          <w:highlight w:val="none"/>
          <w:u w:val="single"/>
        </w:rPr>
        <w:t>（1）合同协议书；（2）中</w:t>
      </w:r>
      <w:r>
        <w:rPr>
          <w:rFonts w:hint="eastAsia" w:ascii="宋体" w:cs="宋体"/>
          <w:color w:val="auto"/>
          <w:szCs w:val="21"/>
          <w:highlight w:val="none"/>
          <w:u w:val="single"/>
          <w:lang w:val="en-US" w:eastAsia="zh-CN"/>
        </w:rPr>
        <w:t>标</w:t>
      </w:r>
      <w:r>
        <w:rPr>
          <w:rFonts w:hint="eastAsia" w:ascii="宋体" w:cs="宋体"/>
          <w:color w:val="auto"/>
          <w:szCs w:val="21"/>
          <w:highlight w:val="none"/>
          <w:u w:val="single"/>
        </w:rPr>
        <w:t>通知书；（3）确认函及其附录；（4）招标文件；（5）专用合同条款及其附件；（6）通用合同条款；（7）技术标准和要求；（8）图纸；（9）已标价工程量清单或预算书；（10）其他合同文件。</w:t>
      </w:r>
    </w:p>
    <w:p>
      <w:pPr>
        <w:pStyle w:val="14"/>
        <w:spacing w:after="0" w:line="440" w:lineRule="exact"/>
        <w:ind w:left="0" w:leftChars="0"/>
        <w:rPr>
          <w:color w:val="auto"/>
          <w:highlight w:val="none"/>
        </w:rPr>
      </w:pPr>
      <w:r>
        <w:rPr>
          <w:color w:val="auto"/>
          <w:highlight w:val="none"/>
        </w:rPr>
        <w:t>上述各项合同文件包括合同当事人就该项合同文件所作出的补充和修改，属于同一类内容的文件，应以最新签署的为准。</w:t>
      </w:r>
    </w:p>
    <w:p>
      <w:pPr>
        <w:pStyle w:val="14"/>
        <w:spacing w:after="0" w:line="440" w:lineRule="exact"/>
        <w:ind w:left="0" w:leftChars="0"/>
        <w:rPr>
          <w:color w:val="auto"/>
          <w:highlight w:val="none"/>
        </w:rPr>
      </w:pPr>
      <w:r>
        <w:rPr>
          <w:color w:val="auto"/>
          <w:highlight w:val="none"/>
        </w:rPr>
        <w:t>在合同订立及履行过程中形成的与合同有关的文件均构成合同文件组成部分，并根据其性质确定优先解释顺序。</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 图纸和承包人文件</w:t>
      </w:r>
      <w:r>
        <w:rPr>
          <w:rFonts w:hint="eastAsia" w:ascii="宋体" w:cs="宋体"/>
          <w:color w:val="auto"/>
          <w:szCs w:val="21"/>
          <w:highlight w:val="none"/>
        </w:rPr>
        <w:tab/>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1.6.1 </w:t>
      </w:r>
      <w:r>
        <w:rPr>
          <w:rFonts w:hint="eastAsia" w:ascii="宋体" w:hAnsi="宋体" w:cs="宋体"/>
          <w:color w:val="auto"/>
          <w:highlight w:val="none"/>
        </w:rPr>
        <w:t>图纸的提供和交底</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发包人向承包人提供图纸的期限：</w:t>
      </w:r>
      <w:r>
        <w:rPr>
          <w:rFonts w:hint="eastAsia" w:ascii="宋体" w:cs="宋体"/>
          <w:color w:val="auto"/>
          <w:szCs w:val="21"/>
          <w:highlight w:val="none"/>
          <w:u w:val="single"/>
        </w:rPr>
        <w:t xml:space="preserve"> 开工前14天</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发包人向承包人提供图纸的数量：</w:t>
      </w:r>
      <w:r>
        <w:rPr>
          <w:rFonts w:hint="eastAsia" w:ascii="宋体" w:cs="宋体"/>
          <w:color w:val="auto"/>
          <w:szCs w:val="21"/>
          <w:highlight w:val="none"/>
          <w:u w:val="single"/>
        </w:rPr>
        <w:t xml:space="preserve">3份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发包人向承包人提供图纸的内容：</w:t>
      </w:r>
      <w:r>
        <w:rPr>
          <w:rFonts w:hint="eastAsia" w:ascii="宋体" w:cs="宋体"/>
          <w:color w:val="auto"/>
          <w:szCs w:val="21"/>
          <w:highlight w:val="none"/>
          <w:u w:val="single"/>
        </w:rPr>
        <w:t>全套施工图 </w:t>
      </w:r>
      <w:r>
        <w:rPr>
          <w:rFonts w:hint="eastAsia" w:ascii="宋体" w:cs="宋体"/>
          <w:color w:val="auto"/>
          <w:szCs w:val="21"/>
          <w:highlight w:val="none"/>
        </w:rPr>
        <w:t>。</w:t>
      </w:r>
    </w:p>
    <w:p>
      <w:pPr>
        <w:snapToGrid w:val="0"/>
        <w:spacing w:line="440" w:lineRule="exact"/>
        <w:ind w:firstLine="420" w:firstLineChars="200"/>
        <w:rPr>
          <w:rFonts w:hint="eastAsia" w:ascii="宋体" w:eastAsia="宋体" w:cs="宋体"/>
          <w:color w:val="auto"/>
          <w:szCs w:val="21"/>
          <w:highlight w:val="none"/>
          <w:lang w:eastAsia="zh-CN"/>
        </w:rPr>
      </w:pPr>
      <w:r>
        <w:rPr>
          <w:rFonts w:hint="eastAsia" w:ascii="宋体" w:cs="宋体"/>
          <w:color w:val="auto"/>
          <w:szCs w:val="21"/>
          <w:highlight w:val="none"/>
        </w:rPr>
        <w:t>1.6.4 承包人文件</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需要由承包人提供的文件，包括：</w:t>
      </w:r>
      <w:r>
        <w:rPr>
          <w:rFonts w:hint="eastAsia" w:ascii="宋体" w:cs="宋体"/>
          <w:color w:val="auto"/>
          <w:szCs w:val="21"/>
          <w:highlight w:val="none"/>
          <w:u w:val="single"/>
        </w:rPr>
        <w:t>包括但不限于项目部人员证书（在领取中</w:t>
      </w:r>
      <w:r>
        <w:rPr>
          <w:rFonts w:hint="eastAsia" w:ascii="宋体" w:cs="宋体"/>
          <w:color w:val="auto"/>
          <w:szCs w:val="21"/>
          <w:highlight w:val="none"/>
          <w:u w:val="single"/>
          <w:lang w:val="en-US" w:eastAsia="zh-CN"/>
        </w:rPr>
        <w:t>标</w:t>
      </w:r>
      <w:r>
        <w:rPr>
          <w:rFonts w:hint="eastAsia" w:ascii="宋体" w:cs="宋体"/>
          <w:color w:val="auto"/>
          <w:szCs w:val="21"/>
          <w:highlight w:val="none"/>
          <w:u w:val="single"/>
        </w:rPr>
        <w:t xml:space="preserve">通知书前）、项目部任命文、实施性施工组织设计等  </w:t>
      </w:r>
      <w:r>
        <w:rPr>
          <w:rFonts w:hint="eastAsia" w:ascii="宋体" w:cs="宋体"/>
          <w:color w:val="auto"/>
          <w:szCs w:val="21"/>
          <w:highlight w:val="none"/>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承包人提供的文件的期限为：</w:t>
      </w:r>
      <w:r>
        <w:rPr>
          <w:rFonts w:hint="eastAsia" w:ascii="宋体" w:cs="宋体"/>
          <w:strike w:val="0"/>
          <w:dstrike w:val="0"/>
          <w:color w:val="auto"/>
          <w:szCs w:val="21"/>
          <w:highlight w:val="none"/>
          <w:u w:val="single"/>
        </w:rPr>
        <w:t></w:t>
      </w:r>
      <w:r>
        <w:rPr>
          <w:rFonts w:hint="eastAsia" w:ascii="宋体" w:cs="宋体"/>
          <w:strike w:val="0"/>
          <w:dstrike w:val="0"/>
          <w:color w:val="auto"/>
          <w:szCs w:val="21"/>
          <w:highlight w:val="none"/>
          <w:u w:val="single"/>
          <w:lang w:val="en-US" w:eastAsia="zh-CN"/>
        </w:rPr>
        <w:t>进场前7日内</w:t>
      </w:r>
      <w:r>
        <w:rPr>
          <w:rFonts w:hint="eastAsia" w:ascii="宋体" w:cs="宋体"/>
          <w:strike w:val="0"/>
          <w:dstrike w:val="0"/>
          <w:color w:val="auto"/>
          <w:szCs w:val="21"/>
          <w:highlight w:val="none"/>
          <w:u w:val="single"/>
        </w:rPr>
        <w:t xml:space="preserve">   </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承包人提供的文件的数量为：</w:t>
      </w:r>
      <w:r>
        <w:rPr>
          <w:rFonts w:hint="eastAsia" w:ascii="宋体" w:cs="宋体"/>
          <w:strike w:val="0"/>
          <w:dstrike w:val="0"/>
          <w:color w:val="auto"/>
          <w:szCs w:val="21"/>
          <w:highlight w:val="none"/>
          <w:u w:val="single"/>
        </w:rPr>
        <w:t xml:space="preserve"> </w:t>
      </w:r>
      <w:r>
        <w:rPr>
          <w:rFonts w:hint="eastAsia" w:ascii="宋体" w:cs="宋体"/>
          <w:strike w:val="0"/>
          <w:dstrike w:val="0"/>
          <w:color w:val="auto"/>
          <w:szCs w:val="21"/>
          <w:highlight w:val="none"/>
          <w:u w:val="single"/>
          <w:lang w:val="en-US" w:eastAsia="zh-CN"/>
        </w:rPr>
        <w:t>一份</w:t>
      </w:r>
      <w:r>
        <w:rPr>
          <w:rFonts w:hint="eastAsia" w:ascii="宋体" w:cs="宋体"/>
          <w:strike w:val="0"/>
          <w:dstrike w:val="0"/>
          <w:color w:val="auto"/>
          <w:szCs w:val="21"/>
          <w:highlight w:val="none"/>
          <w:u w:val="single"/>
        </w:rPr>
        <w:t xml:space="preserve">  </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承包人提供的文件的形式为：</w:t>
      </w:r>
      <w:r>
        <w:rPr>
          <w:rFonts w:hint="eastAsia" w:ascii="宋体" w:cs="宋体"/>
          <w:strike w:val="0"/>
          <w:dstrike w:val="0"/>
          <w:color w:val="auto"/>
          <w:szCs w:val="21"/>
          <w:highlight w:val="none"/>
          <w:u w:val="single"/>
        </w:rPr>
        <w:t></w:t>
      </w:r>
      <w:r>
        <w:rPr>
          <w:rFonts w:hint="eastAsia" w:ascii="宋体" w:cs="宋体"/>
          <w:strike w:val="0"/>
          <w:dstrike w:val="0"/>
          <w:color w:val="auto"/>
          <w:szCs w:val="21"/>
          <w:highlight w:val="none"/>
          <w:u w:val="single"/>
          <w:lang w:val="en-US" w:eastAsia="zh-CN"/>
        </w:rPr>
        <w:t>电子版及纸质版</w:t>
      </w:r>
      <w:r>
        <w:rPr>
          <w:rFonts w:hint="eastAsia" w:ascii="宋体" w:cs="宋体"/>
          <w:strike w:val="0"/>
          <w:dstrike w:val="0"/>
          <w:color w:val="auto"/>
          <w:szCs w:val="21"/>
          <w:highlight w:val="none"/>
          <w:u w:val="single"/>
        </w:rPr>
        <w:t></w:t>
      </w:r>
      <w:r>
        <w:rPr>
          <w:rFonts w:hint="eastAsia" w:ascii="宋体" w:cs="宋体"/>
          <w:strike w:val="0"/>
          <w:dstrike w:val="0"/>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发包人审批承包人文件的期限：</w:t>
      </w:r>
      <w:r>
        <w:rPr>
          <w:rFonts w:hint="eastAsia" w:ascii="宋体" w:cs="宋体"/>
          <w:color w:val="auto"/>
          <w:szCs w:val="21"/>
          <w:highlight w:val="none"/>
          <w:u w:val="single"/>
        </w:rPr>
        <w:t>  7天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1.6.5 图纸和承包人文件的保管</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关于图纸和承包人文件的保管的约定：</w:t>
      </w:r>
      <w:r>
        <w:rPr>
          <w:rFonts w:hint="eastAsia" w:ascii="宋体" w:cs="宋体"/>
          <w:color w:val="auto"/>
          <w:szCs w:val="21"/>
          <w:highlight w:val="none"/>
          <w:u w:val="single"/>
        </w:rPr>
        <w:t>除专用合同条款另有约定外，承包人应在施工现场另外保存一套完整的图纸和承包人文件，供发包人、</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及有关人员进行工程检查时使用</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1.7 联络</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1.7.1发包人和承包人应当在</w:t>
      </w:r>
      <w:r>
        <w:rPr>
          <w:rFonts w:hint="eastAsia" w:ascii="宋体" w:cs="宋体"/>
          <w:color w:val="auto"/>
          <w:szCs w:val="21"/>
          <w:highlight w:val="none"/>
          <w:u w:val="single"/>
        </w:rPr>
        <w:t xml:space="preserve">7天  </w:t>
      </w:r>
      <w:r>
        <w:rPr>
          <w:rFonts w:hint="eastAsia" w:ascii="宋体" w:cs="宋体"/>
          <w:color w:val="auto"/>
          <w:kern w:val="0"/>
          <w:szCs w:val="21"/>
          <w:highlight w:val="none"/>
        </w:rPr>
        <w:t>天内将与合同有关的通知、批准、证明、证书、指示、指令、要求、请求、同意、意见、确定和决定等书面函件送达对方当事人。</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1.7.2 发包人接收文件的地点：</w:t>
      </w:r>
      <w:r>
        <w:rPr>
          <w:rFonts w:hint="eastAsia" w:ascii="宋体" w:cs="宋体"/>
          <w:color w:val="auto"/>
          <w:szCs w:val="21"/>
          <w:highlight w:val="none"/>
          <w:u w:val="single"/>
        </w:rPr>
        <w:t></w:t>
      </w:r>
      <w:r>
        <w:rPr>
          <w:rFonts w:hint="eastAsia" w:ascii="宋体" w:cs="宋体"/>
          <w:color w:val="auto"/>
          <w:szCs w:val="21"/>
          <w:highlight w:val="none"/>
          <w:u w:val="single"/>
          <w:lang w:eastAsia="zh-CN"/>
        </w:rPr>
        <w:t>滁州市兴全矿业投资有限公司</w:t>
      </w:r>
      <w:r>
        <w:rPr>
          <w:rFonts w:hint="eastAsia" w:ascii="宋体" w:cs="宋体"/>
          <w:color w:val="auto"/>
          <w:szCs w:val="21"/>
          <w:highlight w:val="none"/>
          <w:u w:val="single"/>
        </w:rPr>
        <w:t>或项目部</w:t>
      </w:r>
      <w:r>
        <w:rPr>
          <w:rFonts w:hint="eastAsia" w:ascii="宋体" w:cs="宋体"/>
          <w:color w:val="auto"/>
          <w:kern w:val="0"/>
          <w:szCs w:val="21"/>
          <w:highlight w:val="none"/>
        </w:rPr>
        <w:t>；</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发包人指定的接收人为：</w:t>
      </w:r>
      <w:r>
        <w:rPr>
          <w:rFonts w:hint="eastAsia" w:ascii="宋体" w:cs="宋体"/>
          <w:color w:val="auto"/>
          <w:szCs w:val="21"/>
          <w:highlight w:val="none"/>
          <w:u w:val="single"/>
        </w:rPr>
        <w:t>发包人代表</w:t>
      </w:r>
      <w:r>
        <w:rPr>
          <w:rFonts w:hint="eastAsia" w:ascii="宋体" w:cs="宋体"/>
          <w:color w:val="auto"/>
          <w:kern w:val="0"/>
          <w:szCs w:val="21"/>
          <w:highlight w:val="none"/>
        </w:rPr>
        <w:t>；</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承包人接收文件的地点：</w:t>
      </w:r>
      <w:r>
        <w:rPr>
          <w:rFonts w:hint="eastAsia" w:ascii="宋体" w:cs="宋体"/>
          <w:color w:val="auto"/>
          <w:szCs w:val="21"/>
          <w:highlight w:val="none"/>
          <w:u w:val="single"/>
        </w:rPr>
        <w:t xml:space="preserve"> </w:t>
      </w:r>
      <w:r>
        <w:rPr>
          <w:rFonts w:hint="eastAsia" w:ascii="宋体" w:cs="宋体"/>
          <w:color w:val="auto"/>
          <w:szCs w:val="21"/>
          <w:highlight w:val="none"/>
          <w:u w:val="single"/>
          <w:lang w:eastAsia="zh-CN"/>
        </w:rPr>
        <w:t>滁州市兴全矿业投资有限公司</w:t>
      </w:r>
      <w:r>
        <w:rPr>
          <w:rFonts w:hint="eastAsia" w:ascii="宋体" w:cs="宋体"/>
          <w:color w:val="auto"/>
          <w:szCs w:val="21"/>
          <w:highlight w:val="none"/>
          <w:u w:val="single"/>
        </w:rPr>
        <w:t>或项目部</w:t>
      </w:r>
      <w:r>
        <w:rPr>
          <w:rFonts w:hint="eastAsia" w:ascii="宋体" w:cs="宋体"/>
          <w:color w:val="auto"/>
          <w:kern w:val="0"/>
          <w:szCs w:val="21"/>
          <w:highlight w:val="none"/>
        </w:rPr>
        <w:t>；</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承包人指定的接收人为：</w:t>
      </w:r>
      <w:r>
        <w:rPr>
          <w:rFonts w:hint="eastAsia" w:ascii="宋体" w:cs="宋体"/>
          <w:color w:val="auto"/>
          <w:szCs w:val="21"/>
          <w:highlight w:val="none"/>
          <w:u w:val="single"/>
        </w:rPr>
        <w:t>项目负责人</w:t>
      </w:r>
      <w:r>
        <w:rPr>
          <w:rFonts w:hint="eastAsia" w:ascii="宋体" w:cs="宋体"/>
          <w:color w:val="auto"/>
          <w:kern w:val="0"/>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 交通运输</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1.10.1 出入现场的权利</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关于出入现场的权利的约定：</w:t>
      </w:r>
      <w:r>
        <w:rPr>
          <w:rFonts w:hint="eastAsia" w:ascii="宋体" w:cs="宋体"/>
          <w:color w:val="auto"/>
          <w:szCs w:val="21"/>
          <w:highlight w:val="none"/>
          <w:u w:val="single"/>
        </w:rPr>
        <w:t>发包人应根据施工需要，负责取得出入施工现场所需的批准手续和全部权利，以及取得因施工所需修建道路、桥梁以及其他基础设施的权利，并承担相关手续费用和建设费用，若该费用已包含在本项目发包范围，则由承包人自行解决并承担费用。承包人应协助发包人办理修建场内外道路、桥梁以及其他基础设施的手续。</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u w:val="single"/>
        </w:rPr>
        <w:t>承包人应在订立合同前查勘施工现场，并根据工程规模及技术参数合理预见工程施工所需的进出施工现场的方式、手段、路径等。因承包人未合理预见所增加的费用和（或）延误的工期由承包人承担。</w:t>
      </w:r>
    </w:p>
    <w:p>
      <w:pPr>
        <w:widowControl/>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1.10.3 场内交通</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关于场外交通和场内交通的边界的约定：</w:t>
      </w:r>
      <w:r>
        <w:rPr>
          <w:rFonts w:hint="eastAsia" w:ascii="宋体" w:cs="宋体"/>
          <w:color w:val="auto"/>
          <w:szCs w:val="21"/>
          <w:highlight w:val="none"/>
          <w:u w:val="single"/>
        </w:rPr>
        <w:t>场内交通边界现场确定</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关于发包人向承包人免费提供满足工程施工需要的场内道路和交通设施的约定：</w:t>
      </w:r>
      <w:r>
        <w:rPr>
          <w:rFonts w:hint="eastAsia" w:ascii="宋体" w:cs="宋体"/>
          <w:color w:val="auto"/>
          <w:szCs w:val="21"/>
          <w:highlight w:val="none"/>
          <w:u w:val="single"/>
        </w:rPr>
        <w:t xml:space="preserve">自行踏勘，自行解决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1.10.4超大件和超重件的运输</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运输超大件或超重件所需的道路和桥梁临时加固改造费用和其他有关费用由</w:t>
      </w:r>
      <w:r>
        <w:rPr>
          <w:rFonts w:hint="eastAsia" w:ascii="宋体" w:cs="宋体"/>
          <w:color w:val="auto"/>
          <w:szCs w:val="21"/>
          <w:highlight w:val="none"/>
          <w:u w:val="single"/>
        </w:rPr>
        <w:t xml:space="preserve">  承包方 </w:t>
      </w:r>
      <w:r>
        <w:rPr>
          <w:rFonts w:hint="eastAsia" w:ascii="宋体" w:cs="宋体"/>
          <w:color w:val="auto"/>
          <w:szCs w:val="21"/>
          <w:highlight w:val="none"/>
        </w:rPr>
        <w:t>承担。</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 知识产权</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cs="宋体"/>
          <w:color w:val="auto"/>
          <w:szCs w:val="21"/>
          <w:highlight w:val="none"/>
          <w:u w:val="single"/>
        </w:rPr>
        <w:t xml:space="preserve">发包人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关于发包人提供的上述文件的使用限制的要求：</w:t>
      </w:r>
      <w:r>
        <w:rPr>
          <w:rFonts w:hint="eastAsia" w:ascii="宋体" w:cs="宋体"/>
          <w:color w:val="auto"/>
          <w:szCs w:val="21"/>
          <w:highlight w:val="none"/>
          <w:u w:val="single"/>
        </w:rPr>
        <w:t>承包人可以为实现合同目的而复制、使用此类文件，但不能用于与合同无关的其他事项。未经发包人书面同意，承包人不得为了合同以外的目的而复制、使用上述文件或将之提供给任何第三方。</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1.11.2 关于承包人为实施工程所编制文件的著作权的归属：</w:t>
      </w:r>
      <w:r>
        <w:rPr>
          <w:rFonts w:hint="eastAsia" w:ascii="宋体" w:cs="宋体"/>
          <w:color w:val="auto"/>
          <w:szCs w:val="21"/>
          <w:highlight w:val="none"/>
          <w:u w:val="single"/>
        </w:rPr>
        <w:t xml:space="preserve"> 发包人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关于承包人提供的上述文件的使用限制的要求：</w:t>
      </w:r>
      <w:r>
        <w:rPr>
          <w:rFonts w:hint="eastAsia" w:ascii="宋体" w:cs="宋体"/>
          <w:color w:val="auto"/>
          <w:szCs w:val="21"/>
          <w:highlight w:val="none"/>
          <w:u w:val="single"/>
        </w:rPr>
        <w:t xml:space="preserve">承包人可因实施工程的运行、调试、维修、改造等目的而复制、使用此类文件，但不能用于与合同无关的其他事项。未经发包人书面同意，承包人不得为了合同以外的目的而复制、使用上述文件或将之提供给任何第三方。 </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szCs w:val="21"/>
          <w:highlight w:val="none"/>
        </w:rPr>
        <w:t>1.11.4 承包人在施工过程中所采用的专利、专有技术、技术秘密的使用费的承担方式：</w:t>
      </w:r>
      <w:r>
        <w:rPr>
          <w:rFonts w:hint="eastAsia" w:ascii="宋体" w:cs="宋体"/>
          <w:color w:val="auto"/>
          <w:szCs w:val="21"/>
          <w:highlight w:val="none"/>
          <w:u w:val="single"/>
        </w:rPr>
        <w:t>该费用已包含在签约合同价中。</w:t>
      </w:r>
    </w:p>
    <w:p>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1.13工程量清单错误的修正</w:t>
      </w:r>
    </w:p>
    <w:p>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出现工程量清单错误时，是否调整合同价格：</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是，具体调整方式见下款</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允许调整合同价格的工程量偏差范围：</w:t>
      </w:r>
    </w:p>
    <w:p>
      <w:pPr>
        <w:snapToGrid w:val="0"/>
        <w:spacing w:line="440" w:lineRule="exact"/>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lang w:val="en-US" w:eastAsia="zh-CN"/>
        </w:rPr>
        <w:t>承包人拒绝实施因此产生变化的施工内容或范围，将被视为违约，发包人视情节轻重给予违约处罚。结算时，工程量按实计算。结算工程量减少0-100%或增加15%以内部分，执行中标单价；超出15%以外部分，结算单价按最高投标限价单价×投标让利幅度计算且结算单价不得高于中标单价；缺漏项目单价按照最高投标限价的编制原则重新组价×投标让利幅度（上述投标让利幅度为中标价/最高投标限价，其中中标价和最高投标限价均扣除暂列金额、暂估价及相应税金）</w:t>
      </w:r>
      <w:r>
        <w:rPr>
          <w:rFonts w:hint="eastAsia" w:ascii="宋体" w:hAnsi="宋体" w:cs="宋体"/>
          <w:b/>
          <w:bCs/>
          <w:color w:val="auto"/>
          <w:szCs w:val="21"/>
          <w:highlight w:val="none"/>
          <w:u w:val="single"/>
        </w:rPr>
        <w:t>。</w:t>
      </w:r>
    </w:p>
    <w:p>
      <w:pPr>
        <w:snapToGrid w:val="0"/>
        <w:spacing w:line="440" w:lineRule="exact"/>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技术措施费调整：</w:t>
      </w:r>
      <w:r>
        <w:rPr>
          <w:rFonts w:hint="eastAsia" w:ascii="宋体" w:hAnsi="宋体" w:cs="宋体"/>
          <w:b/>
          <w:color w:val="auto"/>
          <w:szCs w:val="21"/>
          <w:highlight w:val="none"/>
          <w:u w:val="single"/>
        </w:rPr>
        <w:t xml:space="preserve"> 因承包人改变施工技术措施，造成的价格变动，措施费不予调整。因工程量清单错误必须改变原来施工技术措施，造成价格变动的，按实调整，变更组价原则同上。</w:t>
      </w:r>
    </w:p>
    <w:p>
      <w:pPr>
        <w:snapToGrid w:val="0"/>
        <w:spacing w:line="440" w:lineRule="exact"/>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组织措施费调整：</w:t>
      </w:r>
      <w:r>
        <w:rPr>
          <w:rFonts w:hint="eastAsia" w:ascii="宋体" w:hAnsi="宋体" w:cs="宋体"/>
          <w:b/>
          <w:color w:val="auto"/>
          <w:szCs w:val="21"/>
          <w:highlight w:val="none"/>
          <w:u w:val="single"/>
          <w:lang w:val="en-US" w:eastAsia="zh-CN"/>
        </w:rPr>
        <w:t xml:space="preserve"> 按实调整。</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2. 发包人</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2.2 发包人代表</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发包人代表：</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职    务：</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发包人对发包人代表的授权范围如下：</w:t>
      </w:r>
      <w:r>
        <w:rPr>
          <w:rFonts w:hint="eastAsia" w:ascii="宋体" w:cs="宋体"/>
          <w:color w:val="auto"/>
          <w:szCs w:val="21"/>
          <w:highlight w:val="none"/>
          <w:u w:val="single"/>
        </w:rPr>
        <w:t>施工组织设计和总进度计划的审批权和调整权；人员在岗、工程进度、质量、安全、环保的监督检查权和建议处罚权；工程款的初步审查权；第三方检测的委托权；主要材料的质量否决权；工程量的确认权；工程变更签证的审核权；可调价格材料的价格确认权；工程结算的审核权；合同的解释；等等。</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 施工现场、施工条件和基础资料的提供</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2.4.1 提供施工现场</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关于发包人移交施工现场的期限要求：</w:t>
      </w:r>
      <w:r>
        <w:rPr>
          <w:rFonts w:hint="eastAsia" w:ascii="宋体" w:cs="宋体"/>
          <w:color w:val="auto"/>
          <w:szCs w:val="21"/>
          <w:highlight w:val="none"/>
          <w:u w:val="single"/>
        </w:rPr>
        <w:t>发包人应最迟于开工日期7天前向承包人移交施工现场。</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2.4.2 提供施工条件</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关于发包人应负责提供施工所需要的条件，包括：</w:t>
      </w:r>
      <w:r>
        <w:rPr>
          <w:rFonts w:hint="eastAsia" w:ascii="宋体" w:cs="宋体"/>
          <w:color w:val="auto"/>
          <w:szCs w:val="21"/>
          <w:highlight w:val="none"/>
          <w:u w:val="single"/>
        </w:rPr>
        <w:t>协调处理施工现场周围地下管线和邻近建筑物、构筑物、古树名木的保护工作，并承担相关费用。若上述费用已包含在本项目发包范围，则由承包人自行解决并承担费用。</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2.5 资金来源证明及支付担保</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发包人提供资金来源证明的期限要求：</w:t>
      </w:r>
      <w:r>
        <w:rPr>
          <w:rFonts w:hint="eastAsia" w:ascii="宋体" w:cs="宋体"/>
          <w:color w:val="auto"/>
          <w:szCs w:val="21"/>
          <w:highlight w:val="none"/>
          <w:u w:val="single"/>
        </w:rPr>
        <w:t></w:t>
      </w:r>
      <w:r>
        <w:rPr>
          <w:rFonts w:hint="eastAsia" w:ascii="宋体" w:cs="宋体"/>
          <w:color w:val="auto"/>
          <w:szCs w:val="21"/>
          <w:highlight w:val="none"/>
          <w:u w:val="single"/>
          <w:lang w:val="en-US" w:eastAsia="zh-CN"/>
        </w:rPr>
        <w:t>自筹</w:t>
      </w:r>
      <w:r>
        <w:rPr>
          <w:rFonts w:hint="eastAsia" w:ascii="宋体" w:cs="宋体"/>
          <w:color w:val="auto"/>
          <w:szCs w:val="21"/>
          <w:highlight w:val="none"/>
          <w:u w:val="single"/>
        </w:rPr>
        <w:t xml:space="preserve">资金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发包人是否提供支付担保：</w:t>
      </w:r>
      <w:r>
        <w:rPr>
          <w:rFonts w:hint="eastAsia" w:ascii="宋体" w:cs="宋体"/>
          <w:color w:val="auto"/>
          <w:szCs w:val="21"/>
          <w:highlight w:val="none"/>
          <w:u w:val="single"/>
        </w:rPr>
        <w:t xml:space="preserve">不提供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发包人提供支付担保的形式：</w:t>
      </w:r>
      <w:r>
        <w:rPr>
          <w:rFonts w:hint="eastAsia" w:ascii="宋体" w:cs="宋体"/>
          <w:color w:val="auto"/>
          <w:szCs w:val="21"/>
          <w:highlight w:val="none"/>
          <w:u w:val="single"/>
        </w:rPr>
        <w:t>无  </w:t>
      </w:r>
      <w:r>
        <w:rPr>
          <w:rFonts w:hint="eastAsia" w:ascii="宋体" w:cs="宋体"/>
          <w:color w:val="auto"/>
          <w:szCs w:val="21"/>
          <w:highlight w:val="none"/>
        </w:rPr>
        <w:t>。</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3. 承包人</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3.1 承包人的一般义务</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（9）</w:t>
      </w:r>
      <w:r>
        <w:rPr>
          <w:rFonts w:hint="eastAsia" w:ascii="宋体" w:cs="宋体"/>
          <w:color w:val="auto"/>
          <w:szCs w:val="21"/>
          <w:highlight w:val="none"/>
        </w:rPr>
        <w:t>承包人提交的竣工资料的内容：</w:t>
      </w:r>
      <w:r>
        <w:rPr>
          <w:rFonts w:hint="eastAsia" w:ascii="宋体" w:cs="宋体"/>
          <w:color w:val="auto"/>
          <w:szCs w:val="21"/>
          <w:highlight w:val="none"/>
          <w:u w:val="single"/>
        </w:rPr>
        <w:t xml:space="preserve">   按相关要求执行，包括但不限于竣工图、竣工报告、项目质检资料、结算资料等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承包人需要提交的竣工资料套数：</w:t>
      </w:r>
      <w:r>
        <w:rPr>
          <w:rFonts w:hint="eastAsia" w:ascii="宋体" w:cs="宋体"/>
          <w:color w:val="auto"/>
          <w:szCs w:val="21"/>
          <w:highlight w:val="none"/>
          <w:u w:val="single"/>
        </w:rPr>
        <w:t xml:space="preserve">      按相关要求执行，且不少于3套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承包人提交的竣工资料的费用承担：</w:t>
      </w:r>
      <w:r>
        <w:rPr>
          <w:rFonts w:hint="eastAsia" w:ascii="宋体" w:cs="宋体"/>
          <w:color w:val="auto"/>
          <w:szCs w:val="21"/>
          <w:highlight w:val="none"/>
          <w:u w:val="single"/>
        </w:rPr>
        <w:t xml:space="preserve">   承包人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承包人提交的竣工资料移交时间：</w:t>
      </w:r>
      <w:r>
        <w:rPr>
          <w:rFonts w:hint="eastAsia" w:ascii="宋体" w:cs="宋体"/>
          <w:color w:val="auto"/>
          <w:szCs w:val="21"/>
          <w:highlight w:val="none"/>
          <w:u w:val="single"/>
        </w:rPr>
        <w:t xml:space="preserve">     竣工验收合格后15日内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承包人提交的竣工资料形式要求：</w:t>
      </w:r>
      <w:r>
        <w:rPr>
          <w:rFonts w:hint="eastAsia" w:ascii="宋体" w:cs="宋体"/>
          <w:color w:val="auto"/>
          <w:szCs w:val="21"/>
          <w:highlight w:val="none"/>
          <w:u w:val="single"/>
        </w:rPr>
        <w:t xml:space="preserve">     纸质及电子形式   </w:t>
      </w:r>
      <w:r>
        <w:rPr>
          <w:rFonts w:hint="eastAsia" w:ascii="宋体" w:cs="宋体"/>
          <w:color w:val="auto"/>
          <w:szCs w:val="21"/>
          <w:highlight w:val="none"/>
        </w:rPr>
        <w:t>。</w:t>
      </w:r>
    </w:p>
    <w:p>
      <w:pPr>
        <w:numPr>
          <w:ilvl w:val="0"/>
          <w:numId w:val="4"/>
        </w:numPr>
        <w:spacing w:line="440" w:lineRule="exact"/>
        <w:rPr>
          <w:rFonts w:hint="eastAsia" w:ascii="宋体" w:cs="宋体"/>
          <w:color w:val="auto"/>
          <w:szCs w:val="21"/>
          <w:highlight w:val="none"/>
        </w:rPr>
      </w:pPr>
      <w:r>
        <w:rPr>
          <w:rFonts w:hint="eastAsia" w:ascii="宋体" w:cs="宋体"/>
          <w:color w:val="auto"/>
          <w:kern w:val="0"/>
          <w:szCs w:val="21"/>
          <w:highlight w:val="none"/>
        </w:rPr>
        <w:t>承包人应履行的其他义务：</w:t>
      </w:r>
      <w:r>
        <w:rPr>
          <w:rFonts w:hint="eastAsia" w:ascii="宋体" w:cs="宋体"/>
          <w:color w:val="auto"/>
          <w:szCs w:val="21"/>
          <w:highlight w:val="none"/>
          <w:u w:val="single"/>
        </w:rPr>
        <w:t>①工程竣工半年(含)内完成竣工结算的；②无合同纠纷等原因拖欠农民工工资、材料款，出现群访及时处理；③质量无缺陷，及时整改到位，处理及时；④施工现场服从调度或工程进度不超过合同工期或按合同期限按时移交的；⑤月工程量进度及时完成；⑥按规定提供工程资料并及时归档的；</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3.2 项目经理</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kern w:val="0"/>
          <w:szCs w:val="21"/>
          <w:highlight w:val="none"/>
        </w:rPr>
        <w:t xml:space="preserve">3.2.1 </w:t>
      </w:r>
      <w:r>
        <w:rPr>
          <w:rFonts w:hint="eastAsia" w:ascii="宋体" w:cs="宋体"/>
          <w:color w:val="auto"/>
          <w:szCs w:val="21"/>
          <w:highlight w:val="none"/>
        </w:rPr>
        <w:t>项目经理：</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姓    名：</w:t>
      </w:r>
      <w:r>
        <w:rPr>
          <w:rFonts w:hint="eastAsia" w:ascii="宋体" w:cs="宋体"/>
          <w:color w:val="auto"/>
          <w:szCs w:val="21"/>
          <w:highlight w:val="none"/>
          <w:u w:val="single"/>
        </w:rPr>
        <w:t>  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身份证号：</w:t>
      </w:r>
      <w:r>
        <w:rPr>
          <w:rFonts w:hint="eastAsia" w:ascii="宋体" w:cs="宋体"/>
          <w:color w:val="auto"/>
          <w:szCs w:val="21"/>
          <w:highlight w:val="none"/>
          <w:u w:val="single"/>
        </w:rPr>
        <w:t>  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建造师执业资格等级：</w:t>
      </w:r>
      <w:r>
        <w:rPr>
          <w:rFonts w:hint="eastAsia" w:ascii="宋体" w:cs="宋体"/>
          <w:color w:val="auto"/>
          <w:szCs w:val="21"/>
          <w:highlight w:val="none"/>
          <w:u w:val="single"/>
        </w:rPr>
        <w:t>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建造师注册证书号：</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建造师执业印章号：</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安全生产考核合格证书号：</w:t>
      </w:r>
      <w:r>
        <w:rPr>
          <w:rFonts w:hint="eastAsia" w:ascii="宋体" w:cs="宋体"/>
          <w:color w:val="auto"/>
          <w:szCs w:val="21"/>
          <w:highlight w:val="none"/>
          <w:u w:val="single"/>
        </w:rPr>
        <w:t>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联系电话：</w:t>
      </w:r>
      <w:r>
        <w:rPr>
          <w:rFonts w:hint="eastAsia" w:ascii="宋体" w:cs="宋体"/>
          <w:color w:val="auto"/>
          <w:szCs w:val="21"/>
          <w:highlight w:val="none"/>
          <w:u w:val="single"/>
        </w:rPr>
        <w:t>  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电子信箱：</w:t>
      </w:r>
      <w:r>
        <w:rPr>
          <w:rFonts w:hint="eastAsia" w:ascii="宋体" w:cs="宋体"/>
          <w:color w:val="auto"/>
          <w:szCs w:val="21"/>
          <w:highlight w:val="none"/>
          <w:u w:val="single"/>
        </w:rPr>
        <w:t>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通信地址：</w:t>
      </w:r>
      <w:r>
        <w:rPr>
          <w:rFonts w:hint="eastAsia" w:ascii="宋体" w:cs="宋体"/>
          <w:color w:val="auto"/>
          <w:szCs w:val="21"/>
          <w:highlight w:val="none"/>
          <w:u w:val="single"/>
        </w:rPr>
        <w:t>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承包人对项目负责人的授权范围如下：</w:t>
      </w:r>
      <w:r>
        <w:rPr>
          <w:rFonts w:hint="eastAsia" w:ascii="宋体" w:cs="宋体"/>
          <w:color w:val="auto"/>
          <w:szCs w:val="21"/>
          <w:highlight w:val="none"/>
          <w:u w:val="single"/>
        </w:rPr>
        <w:t xml:space="preserve">由承包人明确授权范围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关于项目负责人每月在施工现场的时间要求：</w:t>
      </w:r>
      <w:r>
        <w:rPr>
          <w:rFonts w:hint="eastAsia" w:ascii="宋体" w:cs="宋体"/>
          <w:color w:val="auto"/>
          <w:szCs w:val="21"/>
          <w:highlight w:val="none"/>
          <w:u w:val="single"/>
        </w:rPr>
        <w:t>项目经理每月在岗时间不得少于20天，施工现场其他管理人员每月在岗时间不得少于22天。</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承包人未提交劳动合同，以及没有为建造师缴纳社会保险证明的违约责任：</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签订本合同前提供，资格审查时已提供的，不再重复提供</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kern w:val="0"/>
          <w:szCs w:val="21"/>
          <w:highlight w:val="none"/>
        </w:rPr>
        <w:t>项目负责人未经批准，擅自离开施工现场的违约责任：</w:t>
      </w:r>
      <w:r>
        <w:rPr>
          <w:rFonts w:hint="eastAsia" w:ascii="宋体" w:cs="宋体"/>
          <w:color w:val="auto"/>
          <w:szCs w:val="21"/>
          <w:highlight w:val="none"/>
          <w:u w:val="single"/>
        </w:rPr>
        <w:t>未按规定在岗履责的，对项目经理和技术负责人处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5000元/人·天的违约金，对施工现场其他管理人员处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1000元/人·天的违约金。项目部关键岗位人员离岗必须向发包人项目组长履行请假手续，若被相关部门日常检查和随机抽查中发现不在岗的，又未履行请假手续的，处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5000元/人·次的违约金。</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3.2.3 承包人擅自更换项目负责人的违约责任：</w:t>
      </w:r>
      <w:r>
        <w:rPr>
          <w:rFonts w:hint="eastAsia" w:ascii="宋体" w:cs="宋体"/>
          <w:color w:val="auto"/>
          <w:szCs w:val="21"/>
          <w:highlight w:val="none"/>
          <w:u w:val="single"/>
        </w:rPr>
        <w:t>项目负责人变更必须经发包人批准，并满足《关于进一步加强建筑施工现场项目负责人变更行为管理的通知》及滁州市其他相关规定要求，除①因重病或重伤三个月以上，不能履行职责的；②辞职的；③发生重大质量安全责任事故，受到刑事或行政处罚，不能担任项目负责人的；④无能力履行合同责任和义务，建设单位要求更换的；⑤被责令停止职业资格的；⑥因犯罪被羁押或判刑的；⑦死亡的等原因外，原则上不得变更。其中，亡故的需提供公安部门开具的死亡证明；重大疾病的需提供三甲及以上医院证明。出国、辞职等原因提出变更的，除需提供相关证明外，须缴纳10万元违约金，否则不得变更。变更后的项目负责人必须符合本项目招标文件和响应承诺配备的同等条件人员，并按照滁州市有关规定履行变更审批程序。</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3.2.4 承包人无正当理由拒绝更换项目经理的违约责任：</w:t>
      </w:r>
      <w:r>
        <w:rPr>
          <w:rFonts w:hint="eastAsia" w:ascii="宋体" w:cs="宋体"/>
          <w:color w:val="auto"/>
          <w:szCs w:val="21"/>
          <w:highlight w:val="none"/>
          <w:u w:val="single"/>
        </w:rPr>
        <w:t>发包人将组织对项目经理进行业务能力考核，对未按响应文件配备或经考核不合格要求更换人员的，承包人7日内必须整改调整到位。否则，对于项目经理和技术负责人，按照5000元/人•天处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违约金，对于施工现场其他管理人员按照1000元/人•天处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违约金。28日内未整改调整到位的，发包人有权终止合同，并提请相关行政主管部门对企业和人员进行“黑名单”处罚。</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3.3 承包人人员</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3.3.1 承包人提交项目管理机构及施工现场管理人员安排报告的期限：</w:t>
      </w:r>
      <w:r>
        <w:rPr>
          <w:rFonts w:hint="eastAsia" w:ascii="宋体" w:cs="宋体"/>
          <w:color w:val="auto"/>
          <w:szCs w:val="21"/>
          <w:highlight w:val="none"/>
          <w:u w:val="single"/>
        </w:rPr>
        <w:t>承包人应在</w:t>
      </w:r>
      <w:r>
        <w:rPr>
          <w:rFonts w:hint="eastAsia"/>
          <w:color w:val="auto"/>
          <w:highlight w:val="none"/>
          <w:u w:val="single"/>
        </w:rPr>
        <w:t>合同签订</w:t>
      </w:r>
      <w:r>
        <w:rPr>
          <w:rFonts w:hint="eastAsia" w:ascii="宋体" w:cs="宋体"/>
          <w:color w:val="auto"/>
          <w:szCs w:val="21"/>
          <w:highlight w:val="none"/>
          <w:u w:val="single"/>
        </w:rPr>
        <w:t>后7日内，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3.3.3 承包人无正当理由拒绝撤换主要施工管理人员的违约责任：</w:t>
      </w:r>
      <w:r>
        <w:rPr>
          <w:rFonts w:hint="eastAsia" w:ascii="宋体" w:cs="宋体"/>
          <w:color w:val="auto"/>
          <w:szCs w:val="21"/>
          <w:highlight w:val="none"/>
          <w:u w:val="single"/>
        </w:rPr>
        <w:t xml:space="preserve"> 发包人将组织对人员进行业务能力考核，对未按响应文件配备或经考核不合格要求更换人员的，承包人7日内必须整改调整到位。否则，对于项目经理和技术负责人，按照5000元/人·天的违约金进行处罚，对于施工现场其他管理人员按照1000元/人·天的违约金进行处罚。28日内未整改调整到位的，发包人有权终止合同，并提请相关行政主管部门对企业和人员进行“黑名单”处罚。</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3.3.4 承包人主要施工管理人员离开施工现场的批准要求：</w:t>
      </w:r>
      <w:r>
        <w:rPr>
          <w:rFonts w:hint="eastAsia" w:ascii="宋体" w:cs="宋体"/>
          <w:color w:val="auto"/>
          <w:szCs w:val="21"/>
          <w:highlight w:val="none"/>
          <w:u w:val="single"/>
        </w:rPr>
        <w:t>未按规定在岗履责的，对项目经理和技术负责人处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5000元/人·天的违约金，对施工现场其他管理人员处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1000元/人·天的违约金。项目部关键岗位人员离岗必须向发包人项目组长履行请假手续，若被相关部门日常检查和随机抽查中发现不在岗的，又未履行请假手续的，处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5000元/人·次的违约金。</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3.3.5承包人擅自更换主要施工管理人员的违约责任：按照</w:t>
      </w:r>
      <w:r>
        <w:rPr>
          <w:rFonts w:hint="eastAsia" w:ascii="宋体" w:cs="宋体"/>
          <w:color w:val="auto"/>
          <w:szCs w:val="21"/>
          <w:highlight w:val="none"/>
          <w:u w:val="single"/>
        </w:rPr>
        <w:t>未按规定在岗履责进行处罚。</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 分包</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3.5.1 分包的一般约定</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禁止分包的工程包括：</w:t>
      </w:r>
      <w:r>
        <w:rPr>
          <w:rFonts w:hint="eastAsia" w:ascii="宋体" w:cs="宋体"/>
          <w:color w:val="auto"/>
          <w:szCs w:val="21"/>
          <w:highlight w:val="none"/>
          <w:u w:val="single"/>
        </w:rPr>
        <w:t>承包人不得将其承包的全部工程转包给第三人，或将其承包的全部工程肢解后以分包的名义转包给第三人。承包人不得将工程主体结构、关键性工作及合同条款中禁止分包的专业工程分包给第三人，主体结构、关键性工作的范围由合同当事人按照法律规定在专用合同条款中予以明确。</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主体结构、关键性工作的范围：</w:t>
      </w:r>
      <w:r>
        <w:rPr>
          <w:rFonts w:hint="eastAsia" w:ascii="宋体" w:cs="宋体"/>
          <w:color w:val="auto"/>
          <w:szCs w:val="21"/>
          <w:highlight w:val="none"/>
          <w:u w:val="single"/>
          <w:lang w:val="en-US" w:eastAsia="zh-CN"/>
        </w:rPr>
        <w:t>按照相关法律法规执行</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3.5.2分包的确定</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允许分包的专业工程包括：</w:t>
      </w:r>
      <w:r>
        <w:rPr>
          <w:rFonts w:hint="eastAsia" w:ascii="宋体" w:cs="宋体"/>
          <w:color w:val="auto"/>
          <w:szCs w:val="21"/>
          <w:highlight w:val="none"/>
          <w:u w:val="single"/>
          <w:lang w:val="en-US" w:eastAsia="zh-CN"/>
        </w:rPr>
        <w:t>无</w:t>
      </w:r>
      <w:r>
        <w:rPr>
          <w:rFonts w:hint="eastAsia" w:ascii="宋体" w:cs="宋体"/>
          <w:color w:val="auto"/>
          <w:szCs w:val="21"/>
          <w:highlight w:val="none"/>
          <w:u w:val="single"/>
        </w:rPr>
        <w:t>。</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其他关于分包的约定：</w:t>
      </w:r>
      <w:r>
        <w:rPr>
          <w:rFonts w:hint="eastAsia" w:ascii="宋体" w:cs="宋体"/>
          <w:color w:val="auto"/>
          <w:szCs w:val="21"/>
          <w:highlight w:val="none"/>
          <w:u w:val="single"/>
        </w:rPr>
        <w:t>承包人不得以劳务分包的名义转包或违法分包工程。</w:t>
      </w:r>
      <w:r>
        <w:rPr>
          <w:rFonts w:hint="eastAsia" w:ascii="宋体" w:hAnsi="宋体" w:cs="宋体"/>
          <w:b/>
          <w:bCs/>
          <w:color w:val="auto"/>
          <w:szCs w:val="21"/>
          <w:highlight w:val="none"/>
          <w:u w:val="single"/>
        </w:rPr>
        <w:t>发包人在施工进场第一个月或施工过程中发现承包人转包、挂靠等行为的，发包人立即解除合同，清退出场，承包人已完合格工程量按合同价款60%进行结算。</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3.5.4 分包合同价款</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关于分包合同价款支付的约定：</w:t>
      </w:r>
      <w:r>
        <w:rPr>
          <w:rFonts w:hint="eastAsia" w:ascii="宋体" w:cs="宋体"/>
          <w:color w:val="auto"/>
          <w:szCs w:val="21"/>
          <w:highlight w:val="none"/>
          <w:u w:val="single"/>
        </w:rPr>
        <w:t>（1）除本项第（2）目约定的情况外，分包合同价款由承包人与分包人结算，未经承包人同意，发包人不得向分包人支付分包工程价款；（2）生效法律文书要求发包人向分包人支付分包合同价款的，发包人有权从应付承包人工程款中扣除该部分款项</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3.6 工程照管与成品、半成品保护</w:t>
      </w:r>
    </w:p>
    <w:p>
      <w:pPr>
        <w:snapToGrid w:val="0"/>
        <w:spacing w:line="440" w:lineRule="exact"/>
        <w:ind w:firstLine="420" w:firstLineChars="200"/>
        <w:rPr>
          <w:rFonts w:hint="eastAsia" w:ascii="宋体" w:cs="宋体"/>
          <w:color w:val="auto"/>
          <w:kern w:val="0"/>
          <w:szCs w:val="21"/>
          <w:highlight w:val="none"/>
          <w:u w:val="single"/>
        </w:rPr>
      </w:pPr>
      <w:r>
        <w:rPr>
          <w:rFonts w:hint="eastAsia" w:ascii="宋体" w:cs="宋体"/>
          <w:color w:val="auto"/>
          <w:kern w:val="0"/>
          <w:szCs w:val="21"/>
          <w:highlight w:val="none"/>
        </w:rPr>
        <w:t>承包人负责照管工程及工程相关的材料、工程设备的起始时间：</w:t>
      </w:r>
      <w:r>
        <w:rPr>
          <w:rFonts w:hint="eastAsia" w:ascii="宋体" w:cs="宋体"/>
          <w:color w:val="auto"/>
          <w:kern w:val="0"/>
          <w:szCs w:val="21"/>
          <w:highlight w:val="none"/>
          <w:u w:val="single"/>
        </w:rPr>
        <w:t>（1）自发包人向承包人移交施工现场之日起，承包人应负责照管工程及工程相关的材料、工程设备，直到办理移交手续之日止。（2）在承包人负责照管期间，因承包人原因造成工程、材料、工程设备损坏的，由承包人负责修复或更换，并承担由此增加的费用和（或）延误的工期。（3）对合同内分期完成的成品和半成品，在办理移交手续前，由承包人承担保护责任。因承包人原因造成成品或半成品损坏的，由承包人负责修复或更换，并承担由此增加的费用和（或）延误的工期。</w:t>
      </w:r>
    </w:p>
    <w:p>
      <w:pPr>
        <w:tabs>
          <w:tab w:val="left" w:pos="77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3.7 履约担保</w:t>
      </w:r>
    </w:p>
    <w:p>
      <w:pPr>
        <w:tabs>
          <w:tab w:val="left" w:pos="77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承包人是否提供履约担保：</w:t>
      </w:r>
      <w:r>
        <w:rPr>
          <w:rFonts w:hint="eastAsia" w:ascii="宋体" w:cs="宋体"/>
          <w:color w:val="auto"/>
          <w:szCs w:val="21"/>
          <w:highlight w:val="none"/>
          <w:u w:val="single"/>
        </w:rPr>
        <w:t xml:space="preserve">   是  </w:t>
      </w:r>
      <w:r>
        <w:rPr>
          <w:rFonts w:hint="eastAsia" w:ascii="宋体" w:cs="宋体"/>
          <w:color w:val="auto"/>
          <w:szCs w:val="21"/>
          <w:highlight w:val="none"/>
        </w:rPr>
        <w:t>。</w:t>
      </w:r>
    </w:p>
    <w:p>
      <w:pPr>
        <w:tabs>
          <w:tab w:val="left" w:pos="7740"/>
        </w:tabs>
        <w:snapToGrid w:val="0"/>
        <w:spacing w:line="440" w:lineRule="exact"/>
        <w:ind w:firstLine="420" w:firstLineChars="200"/>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rPr>
        <w:t>履约数额：中标合同</w:t>
      </w:r>
      <w:r>
        <w:rPr>
          <w:rFonts w:hint="eastAsia" w:ascii="宋体" w:hAnsi="Times New Roman" w:eastAsia="宋体" w:cs="宋体"/>
          <w:color w:val="auto"/>
          <w:szCs w:val="21"/>
          <w:highlight w:val="none"/>
          <w:lang w:val="en-US" w:eastAsia="zh-CN"/>
        </w:rPr>
        <w:t>价*2%</w:t>
      </w:r>
      <w:r>
        <w:rPr>
          <w:rFonts w:hint="eastAsia" w:ascii="宋体" w:hAnsi="Times New Roman" w:eastAsia="宋体" w:cs="宋体"/>
          <w:color w:val="auto"/>
          <w:szCs w:val="21"/>
          <w:highlight w:val="none"/>
        </w:rPr>
        <w:t>；</w:t>
      </w:r>
    </w:p>
    <w:p>
      <w:pPr>
        <w:tabs>
          <w:tab w:val="left" w:pos="7740"/>
        </w:tabs>
        <w:snapToGrid w:val="0"/>
        <w:spacing w:line="440" w:lineRule="exact"/>
        <w:ind w:firstLine="420" w:firstLineChars="200"/>
        <w:rPr>
          <w:rFonts w:hint="eastAsia" w:ascii="宋体" w:hAnsi="Times New Roman" w:eastAsia="宋体" w:cs="宋体"/>
          <w:color w:val="auto"/>
          <w:szCs w:val="21"/>
          <w:highlight w:val="none"/>
        </w:rPr>
      </w:pPr>
      <w:r>
        <w:rPr>
          <w:rFonts w:hint="eastAsia" w:ascii="宋体" w:hAnsi="Times New Roman" w:eastAsia="宋体" w:cs="宋体"/>
          <w:color w:val="auto"/>
          <w:szCs w:val="21"/>
          <w:highlight w:val="none"/>
        </w:rPr>
        <w:t>形式：支持银行转账、银行电汇、银行保函、担保机构担保、保证保险使用</w:t>
      </w:r>
    </w:p>
    <w:p>
      <w:pPr>
        <w:tabs>
          <w:tab w:val="left" w:pos="7740"/>
        </w:tabs>
        <w:snapToGrid w:val="0"/>
        <w:spacing w:line="440" w:lineRule="exact"/>
        <w:ind w:firstLine="420" w:firstLineChars="200"/>
        <w:rPr>
          <w:rFonts w:hint="default" w:ascii="宋体" w:eastAsia="宋体" w:cs="宋体"/>
          <w:color w:val="auto"/>
          <w:szCs w:val="21"/>
          <w:highlight w:val="none"/>
          <w:lang w:val="en-US" w:eastAsia="zh-CN"/>
        </w:rPr>
      </w:pPr>
      <w:r>
        <w:rPr>
          <w:rFonts w:hint="eastAsia" w:ascii="宋体" w:cs="宋体"/>
          <w:color w:val="auto"/>
          <w:szCs w:val="21"/>
          <w:highlight w:val="none"/>
          <w:lang w:val="en-US" w:eastAsia="zh-CN"/>
        </w:rPr>
        <w:t>具体要求详见投标人须知前附表</w:t>
      </w:r>
    </w:p>
    <w:p>
      <w:pPr>
        <w:tabs>
          <w:tab w:val="left" w:pos="7740"/>
        </w:tabs>
        <w:snapToGrid w:val="0"/>
        <w:spacing w:line="440" w:lineRule="exact"/>
        <w:ind w:firstLine="420" w:firstLineChars="200"/>
        <w:rPr>
          <w:rFonts w:hint="eastAsia" w:ascii="宋体" w:eastAsia="宋体" w:cs="宋体"/>
          <w:strike w:val="0"/>
          <w:dstrike w:val="0"/>
          <w:color w:val="auto"/>
          <w:szCs w:val="21"/>
          <w:highlight w:val="none"/>
          <w:lang w:eastAsia="zh-CN"/>
        </w:rPr>
      </w:pPr>
      <w:r>
        <w:rPr>
          <w:rFonts w:hint="eastAsia" w:ascii="宋体" w:cs="宋体"/>
          <w:strike w:val="0"/>
          <w:dstrike w:val="0"/>
          <w:color w:val="auto"/>
          <w:szCs w:val="21"/>
          <w:highlight w:val="none"/>
        </w:rPr>
        <w:t xml:space="preserve">4. </w:t>
      </w:r>
      <w:r>
        <w:rPr>
          <w:rFonts w:hint="eastAsia" w:ascii="宋体" w:cs="宋体"/>
          <w:strike w:val="0"/>
          <w:dstrike w:val="0"/>
          <w:color w:val="auto"/>
          <w:szCs w:val="21"/>
          <w:highlight w:val="none"/>
          <w:lang w:eastAsia="zh-CN"/>
        </w:rPr>
        <w:t>发包人（</w:t>
      </w:r>
      <w:r>
        <w:rPr>
          <w:rFonts w:hint="eastAsia" w:ascii="宋体" w:cs="宋体"/>
          <w:strike w:val="0"/>
          <w:dstrike w:val="0"/>
          <w:color w:val="auto"/>
          <w:szCs w:val="21"/>
          <w:highlight w:val="none"/>
          <w:lang w:val="en-US" w:eastAsia="zh-CN"/>
        </w:rPr>
        <w:t>本项目不采用</w:t>
      </w:r>
      <w:r>
        <w:rPr>
          <w:rFonts w:hint="eastAsia" w:ascii="宋体" w:cs="宋体"/>
          <w:strike w:val="0"/>
          <w:dstrike w:val="0"/>
          <w:color w:val="auto"/>
          <w:szCs w:val="21"/>
          <w:highlight w:val="none"/>
          <w:lang w:eastAsia="zh-CN"/>
        </w:rPr>
        <w:t>）</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5. 工程质量</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5.1 质量要求</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5.1.1 特殊质量标准和要求：</w:t>
      </w:r>
      <w:r>
        <w:rPr>
          <w:rFonts w:hint="eastAsia" w:ascii="宋体" w:cs="宋体"/>
          <w:color w:val="auto"/>
          <w:szCs w:val="21"/>
          <w:highlight w:val="none"/>
          <w:u w:val="single"/>
        </w:rPr>
        <w:t xml:space="preserve"> 工程质量必须达到国家工程施工质量验收 合格 标准。 </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关于工程奖项的约定：</w:t>
      </w:r>
      <w:r>
        <w:rPr>
          <w:rFonts w:hint="eastAsia" w:ascii="宋体" w:cs="宋体"/>
          <w:color w:val="auto"/>
          <w:szCs w:val="21"/>
          <w:highlight w:val="none"/>
          <w:u w:val="single"/>
        </w:rPr>
        <w:t xml:space="preserve"> /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5.3 隐蔽工程检查</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5.3.1隐蔽工程隐蔽前，承包人应当对工程隐蔽部位进行自检，并经自检确认是否具备覆盖条件。</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5.3.2承包人提前通知</w:t>
      </w:r>
      <w:r>
        <w:rPr>
          <w:rFonts w:hint="eastAsia" w:ascii="宋体" w:cs="宋体"/>
          <w:color w:val="auto"/>
          <w:szCs w:val="21"/>
          <w:highlight w:val="none"/>
          <w:lang w:eastAsia="zh-CN"/>
        </w:rPr>
        <w:t>发包人</w:t>
      </w:r>
      <w:r>
        <w:rPr>
          <w:rFonts w:hint="eastAsia" w:ascii="宋体" w:cs="宋体"/>
          <w:color w:val="auto"/>
          <w:szCs w:val="21"/>
          <w:highlight w:val="none"/>
        </w:rPr>
        <w:t>隐蔽工程检查的期限的约定：工程隐蔽部位经承包人自检确认具备覆盖条件的，承包人应在共同检查前6小时书面通知</w:t>
      </w:r>
      <w:r>
        <w:rPr>
          <w:rFonts w:hint="eastAsia" w:ascii="宋体" w:cs="宋体"/>
          <w:color w:val="auto"/>
          <w:szCs w:val="21"/>
          <w:highlight w:val="none"/>
          <w:lang w:eastAsia="zh-CN"/>
        </w:rPr>
        <w:t>发包人</w:t>
      </w:r>
      <w:r>
        <w:rPr>
          <w:rFonts w:hint="eastAsia" w:ascii="宋体" w:cs="宋体"/>
          <w:color w:val="auto"/>
          <w:szCs w:val="21"/>
          <w:highlight w:val="none"/>
        </w:rPr>
        <w:t>检查，通知中应载明隐蔽检查的内容、时间和地点，并应附有自检记录和必要的检查资料。</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lang w:eastAsia="zh-CN"/>
        </w:rPr>
        <w:t>发包人</w:t>
      </w:r>
      <w:r>
        <w:rPr>
          <w:rFonts w:hint="eastAsia" w:ascii="宋体" w:cs="宋体"/>
          <w:color w:val="auto"/>
          <w:szCs w:val="21"/>
          <w:highlight w:val="none"/>
        </w:rPr>
        <w:t>应按时到场并对隐蔽工程及其施工工艺、材料和工程设备进行检查。经</w:t>
      </w:r>
      <w:r>
        <w:rPr>
          <w:rFonts w:hint="eastAsia" w:ascii="宋体" w:cs="宋体"/>
          <w:color w:val="auto"/>
          <w:szCs w:val="21"/>
          <w:highlight w:val="none"/>
          <w:lang w:eastAsia="zh-CN"/>
        </w:rPr>
        <w:t>发包人</w:t>
      </w:r>
      <w:r>
        <w:rPr>
          <w:rFonts w:hint="eastAsia" w:ascii="宋体" w:cs="宋体"/>
          <w:color w:val="auto"/>
          <w:szCs w:val="21"/>
          <w:highlight w:val="none"/>
        </w:rPr>
        <w:t>检查确认质量符合隐蔽要求，并在验收记录上签字后，承包人才能进行覆盖。经</w:t>
      </w:r>
      <w:r>
        <w:rPr>
          <w:rFonts w:hint="eastAsia" w:ascii="宋体" w:cs="宋体"/>
          <w:color w:val="auto"/>
          <w:szCs w:val="21"/>
          <w:highlight w:val="none"/>
          <w:lang w:eastAsia="zh-CN"/>
        </w:rPr>
        <w:t>发包人</w:t>
      </w:r>
      <w:r>
        <w:rPr>
          <w:rFonts w:hint="eastAsia" w:ascii="宋体" w:cs="宋体"/>
          <w:color w:val="auto"/>
          <w:szCs w:val="21"/>
          <w:highlight w:val="none"/>
        </w:rPr>
        <w:t>检查质量不合格的，承包人应在</w:t>
      </w:r>
      <w:r>
        <w:rPr>
          <w:rFonts w:hint="eastAsia" w:ascii="宋体" w:cs="宋体"/>
          <w:color w:val="auto"/>
          <w:szCs w:val="21"/>
          <w:highlight w:val="none"/>
          <w:lang w:eastAsia="zh-CN"/>
        </w:rPr>
        <w:t>发包人</w:t>
      </w:r>
      <w:r>
        <w:rPr>
          <w:rFonts w:hint="eastAsia" w:ascii="宋体" w:cs="宋体"/>
          <w:color w:val="auto"/>
          <w:szCs w:val="21"/>
          <w:highlight w:val="none"/>
        </w:rPr>
        <w:t>指示的时间内完成修复，并由</w:t>
      </w:r>
      <w:r>
        <w:rPr>
          <w:rFonts w:hint="eastAsia" w:ascii="宋体" w:cs="宋体"/>
          <w:color w:val="auto"/>
          <w:szCs w:val="21"/>
          <w:highlight w:val="none"/>
          <w:lang w:eastAsia="zh-CN"/>
        </w:rPr>
        <w:t>发包人</w:t>
      </w:r>
      <w:r>
        <w:rPr>
          <w:rFonts w:hint="eastAsia" w:ascii="宋体" w:cs="宋体"/>
          <w:color w:val="auto"/>
          <w:szCs w:val="21"/>
          <w:highlight w:val="none"/>
        </w:rPr>
        <w:t>重新检查，由此增加的费用和（或）延误的工期由承包人承担。</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lang w:eastAsia="zh-CN"/>
        </w:rPr>
        <w:t>发包人</w:t>
      </w:r>
      <w:r>
        <w:rPr>
          <w:rFonts w:hint="eastAsia" w:ascii="宋体" w:cs="宋体"/>
          <w:color w:val="auto"/>
          <w:szCs w:val="21"/>
          <w:highlight w:val="none"/>
        </w:rPr>
        <w:t>不能按时进行检查的，应在检查前3小时向承包人提交书面延期要求，但延期不能超过6小时，由此导致工期延误的，工期应予以顺延。</w:t>
      </w:r>
      <w:r>
        <w:rPr>
          <w:rFonts w:hint="eastAsia" w:ascii="宋体" w:cs="宋体"/>
          <w:color w:val="auto"/>
          <w:szCs w:val="21"/>
          <w:highlight w:val="none"/>
          <w:lang w:eastAsia="zh-CN"/>
        </w:rPr>
        <w:t>发包人</w:t>
      </w:r>
      <w:r>
        <w:rPr>
          <w:rFonts w:hint="eastAsia" w:ascii="宋体" w:cs="宋体"/>
          <w:color w:val="auto"/>
          <w:szCs w:val="21"/>
          <w:highlight w:val="none"/>
        </w:rPr>
        <w:t>未按时进行检查，也未提出延期要求的，视为隐蔽工程检查合格，承包人可自行完成覆盖工作，并作相应记录报送</w:t>
      </w:r>
      <w:r>
        <w:rPr>
          <w:rFonts w:hint="eastAsia" w:ascii="宋体" w:cs="宋体"/>
          <w:color w:val="auto"/>
          <w:szCs w:val="21"/>
          <w:highlight w:val="none"/>
          <w:lang w:eastAsia="zh-CN"/>
        </w:rPr>
        <w:t>发包人</w:t>
      </w:r>
      <w:r>
        <w:rPr>
          <w:rFonts w:hint="eastAsia" w:ascii="宋体" w:cs="宋体"/>
          <w:color w:val="auto"/>
          <w:szCs w:val="21"/>
          <w:highlight w:val="none"/>
        </w:rPr>
        <w:t>，</w:t>
      </w:r>
      <w:r>
        <w:rPr>
          <w:rFonts w:hint="eastAsia" w:ascii="宋体" w:cs="宋体"/>
          <w:color w:val="auto"/>
          <w:szCs w:val="21"/>
          <w:highlight w:val="none"/>
          <w:lang w:eastAsia="zh-CN"/>
        </w:rPr>
        <w:t>发包人</w:t>
      </w:r>
      <w:r>
        <w:rPr>
          <w:rFonts w:hint="eastAsia" w:ascii="宋体" w:cs="宋体"/>
          <w:color w:val="auto"/>
          <w:szCs w:val="21"/>
          <w:highlight w:val="none"/>
        </w:rPr>
        <w:t>应签字确认。</w:t>
      </w:r>
      <w:r>
        <w:rPr>
          <w:rFonts w:hint="eastAsia" w:ascii="宋体" w:cs="宋体"/>
          <w:color w:val="auto"/>
          <w:szCs w:val="21"/>
          <w:highlight w:val="none"/>
          <w:lang w:eastAsia="zh-CN"/>
        </w:rPr>
        <w:t>发包人</w:t>
      </w:r>
      <w:r>
        <w:rPr>
          <w:rFonts w:hint="eastAsia" w:ascii="宋体" w:cs="宋体"/>
          <w:color w:val="auto"/>
          <w:szCs w:val="21"/>
          <w:highlight w:val="none"/>
        </w:rPr>
        <w:t>事后对检查记录有疑问的，可按第5.3.3项〔重新检查〕的约定重新检查。</w:t>
      </w:r>
    </w:p>
    <w:p>
      <w:pPr>
        <w:pStyle w:val="5"/>
        <w:tabs>
          <w:tab w:val="left" w:pos="3315"/>
        </w:tabs>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6. 安全文明施工与环境保护</w:t>
      </w:r>
      <w:r>
        <w:rPr>
          <w:rFonts w:hint="eastAsia" w:ascii="宋体" w:eastAsia="宋体" w:cs="宋体"/>
          <w:b w:val="0"/>
          <w:color w:val="auto"/>
          <w:sz w:val="21"/>
          <w:szCs w:val="21"/>
          <w:highlight w:val="none"/>
        </w:rPr>
        <w:tab/>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6.1安全文明施工</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6.1.1 项目安全生产的达标目标及相应事项的约定</w:t>
      </w:r>
      <w:r>
        <w:rPr>
          <w:rFonts w:hint="eastAsia" w:ascii="宋体" w:cs="宋体"/>
          <w:color w:val="auto"/>
          <w:szCs w:val="21"/>
          <w:highlight w:val="none"/>
          <w:u w:val="single"/>
        </w:rPr>
        <w:t xml:space="preserve">  /    。</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6.1.4 关于治安保卫的特别约定：</w:t>
      </w:r>
      <w:r>
        <w:rPr>
          <w:rFonts w:hint="eastAsia" w:ascii="宋体" w:cs="宋体"/>
          <w:color w:val="auto"/>
          <w:szCs w:val="21"/>
          <w:highlight w:val="none"/>
          <w:u w:val="single"/>
        </w:rPr>
        <w:t xml:space="preserve"> 发包人应与当地公安部门协商，在现场建立治安管理机构或联防组织，统一管理施工场地的治安保卫事项，履行合同工程的治安保卫职责。发包人和承包人除应协助现场治安管理机构或联防组织维护施工场地的社会治安外，还应做好包括生活区在内的各自管辖区的治安保卫工作。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关于编制施工场地治安管理计划的约定：</w:t>
      </w:r>
      <w:r>
        <w:rPr>
          <w:rFonts w:hint="eastAsia" w:ascii="宋体" w:cs="宋体"/>
          <w:color w:val="auto"/>
          <w:szCs w:val="21"/>
          <w:highlight w:val="none"/>
          <w:u w:val="single"/>
        </w:rPr>
        <w:t xml:space="preserve">   由承包人负责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6.1.5 文明施工</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合同当事人对文明施工的要求：</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7. 工期和进度</w:t>
      </w:r>
    </w:p>
    <w:p>
      <w:pPr>
        <w:tabs>
          <w:tab w:val="left" w:pos="3240"/>
        </w:tabs>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7.1 施工组织设计</w:t>
      </w:r>
      <w:r>
        <w:rPr>
          <w:rFonts w:hint="eastAsia" w:ascii="宋体" w:cs="宋体"/>
          <w:color w:val="auto"/>
          <w:szCs w:val="21"/>
          <w:highlight w:val="none"/>
        </w:rPr>
        <w:tab/>
      </w:r>
    </w:p>
    <w:p>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7.1.1 （9）合</w:t>
      </w:r>
      <w:r>
        <w:rPr>
          <w:rFonts w:hint="eastAsia" w:ascii="宋体" w:cs="宋体"/>
          <w:color w:val="auto"/>
          <w:kern w:val="0"/>
          <w:szCs w:val="21"/>
          <w:highlight w:val="none"/>
        </w:rPr>
        <w:t>同当事人约定的施工组织设计应包括的其他内容：</w:t>
      </w:r>
      <w:r>
        <w:rPr>
          <w:rFonts w:hint="eastAsia" w:ascii="宋体" w:cs="宋体"/>
          <w:color w:val="auto"/>
          <w:szCs w:val="21"/>
          <w:highlight w:val="none"/>
          <w:u w:val="single"/>
        </w:rPr>
        <w:t xml:space="preserve">  本工程需按照总进度计划编制每月施工进度计划，经监理、发包人审批后作为进度考核和进度款支付的依据  </w:t>
      </w:r>
      <w:r>
        <w:rPr>
          <w:rFonts w:hint="eastAsia" w:ascii="宋体" w:cs="宋体"/>
          <w:color w:val="auto"/>
          <w:szCs w:val="21"/>
          <w:highlight w:val="none"/>
        </w:rPr>
        <w:t>。</w:t>
      </w:r>
    </w:p>
    <w:p>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szCs w:val="21"/>
          <w:highlight w:val="none"/>
        </w:rPr>
        <w:t xml:space="preserve">7.1.2 </w:t>
      </w:r>
      <w:r>
        <w:rPr>
          <w:rFonts w:hint="eastAsia" w:ascii="宋体" w:cs="宋体"/>
          <w:color w:val="auto"/>
          <w:kern w:val="0"/>
          <w:szCs w:val="21"/>
          <w:highlight w:val="none"/>
        </w:rPr>
        <w:t>施工组织设计的提交和修改</w:t>
      </w:r>
    </w:p>
    <w:p>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承包人提交详细施工组织设计的期限的约定：</w:t>
      </w:r>
      <w:r>
        <w:rPr>
          <w:rFonts w:hint="eastAsia" w:ascii="宋体" w:cs="宋体"/>
          <w:color w:val="auto"/>
          <w:szCs w:val="21"/>
          <w:highlight w:val="none"/>
          <w:u w:val="single"/>
        </w:rPr>
        <w:t xml:space="preserve">图纸会审及设计交底后一周内提供标后实施性施工组织设计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发包人和</w:t>
      </w:r>
      <w:r>
        <w:rPr>
          <w:rFonts w:hint="eastAsia" w:ascii="宋体" w:cs="宋体"/>
          <w:color w:val="auto"/>
          <w:szCs w:val="21"/>
          <w:highlight w:val="none"/>
          <w:lang w:eastAsia="zh-CN"/>
        </w:rPr>
        <w:t>发包人</w:t>
      </w:r>
      <w:r>
        <w:rPr>
          <w:rFonts w:hint="eastAsia" w:ascii="宋体" w:cs="宋体"/>
          <w:color w:val="auto"/>
          <w:szCs w:val="21"/>
          <w:highlight w:val="none"/>
        </w:rPr>
        <w:t>在收到详细的施工组织设计后确认或提出修改意见的期限：</w:t>
      </w:r>
      <w:r>
        <w:rPr>
          <w:rFonts w:hint="eastAsia" w:ascii="宋体" w:cs="宋体"/>
          <w:color w:val="auto"/>
          <w:szCs w:val="21"/>
          <w:highlight w:val="none"/>
          <w:u w:val="single"/>
        </w:rPr>
        <w:t>发包人和</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应在</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收到施工组织设计后7天内确认或提出修改意见。对发包人和</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提出的合理意见和要求，承包人应自费修改完善。根据工程实际情况需要修改施工组织设计的，承包人应向发包人和</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提交修改后的施工组织设计。</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7.2 施工进度计划</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7.2.2 施工进度计划的修订</w:t>
      </w:r>
    </w:p>
    <w:p>
      <w:pPr>
        <w:snapToGrid w:val="0"/>
        <w:spacing w:line="440" w:lineRule="exact"/>
        <w:ind w:firstLine="420" w:firstLineChars="200"/>
        <w:jc w:val="left"/>
        <w:rPr>
          <w:rFonts w:hint="default" w:ascii="宋体" w:cs="宋体"/>
          <w:color w:val="auto"/>
          <w:szCs w:val="21"/>
          <w:highlight w:val="none"/>
          <w:u w:val="single"/>
          <w:lang w:val="en-US"/>
        </w:rPr>
      </w:pPr>
      <w:r>
        <w:rPr>
          <w:rFonts w:hint="eastAsia" w:ascii="宋体" w:cs="宋体"/>
          <w:color w:val="auto"/>
          <w:szCs w:val="21"/>
          <w:highlight w:val="none"/>
          <w:lang w:eastAsia="zh-CN"/>
        </w:rPr>
        <w:t>发包人</w:t>
      </w:r>
      <w:r>
        <w:rPr>
          <w:rFonts w:hint="eastAsia" w:ascii="宋体" w:cs="宋体"/>
          <w:color w:val="auto"/>
          <w:szCs w:val="21"/>
          <w:highlight w:val="none"/>
        </w:rPr>
        <w:t>在收到修订的施工进度计划后确认或提出修改意见的期限：</w:t>
      </w:r>
      <w:r>
        <w:rPr>
          <w:rFonts w:hint="eastAsia" w:ascii="宋体" w:cs="宋体"/>
          <w:color w:val="auto"/>
          <w:szCs w:val="21"/>
          <w:highlight w:val="none"/>
          <w:u w:val="single"/>
          <w:lang w:val="en-US" w:eastAsia="zh-CN"/>
        </w:rPr>
        <w:t>确定施工计划后除发包人要求，不得更改。</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7.3 开工</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7.3.1 开工准备</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关于承包人提交</w:t>
      </w:r>
      <w:r>
        <w:rPr>
          <w:rFonts w:hint="eastAsia" w:ascii="宋体" w:cs="宋体"/>
          <w:color w:val="auto"/>
          <w:kern w:val="0"/>
          <w:szCs w:val="21"/>
          <w:highlight w:val="none"/>
        </w:rPr>
        <w:t>工程开工报审表的期限：</w:t>
      </w:r>
      <w:r>
        <w:rPr>
          <w:rFonts w:hint="eastAsia" w:ascii="宋体" w:cs="宋体"/>
          <w:color w:val="auto"/>
          <w:szCs w:val="21"/>
          <w:highlight w:val="none"/>
          <w:u w:val="single"/>
        </w:rPr>
        <w:t xml:space="preserve"> 承包人应按照第7.1款〔施工组织设计〕约定的期限，向</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提交工程开工报审表，经</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报发包人批准后执行。开工报审表应详细说明按施工进度计划正常施工所需的施工道路、临时设施、材料、工程设备、施工设备、施工人员等落实情况以及工程的进度安排。</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关于承包人应完成的其他开工准备工作及期限：</w:t>
      </w:r>
      <w:r>
        <w:rPr>
          <w:rFonts w:hint="eastAsia" w:ascii="宋体" w:cs="宋体"/>
          <w:color w:val="auto"/>
          <w:szCs w:val="21"/>
          <w:highlight w:val="none"/>
          <w:u w:val="single"/>
        </w:rPr>
        <w:t>合同当事人应按约定完成开工准备工作。</w:t>
      </w:r>
    </w:p>
    <w:p>
      <w:pPr>
        <w:snapToGrid w:val="0"/>
        <w:spacing w:line="440" w:lineRule="exact"/>
        <w:ind w:firstLine="420" w:firstLineChars="200"/>
        <w:jc w:val="left"/>
        <w:rPr>
          <w:rFonts w:hint="eastAsia" w:ascii="宋体" w:cs="宋体"/>
          <w:strike w:val="0"/>
          <w:dstrike w:val="0"/>
          <w:color w:val="auto"/>
          <w:szCs w:val="21"/>
          <w:highlight w:val="none"/>
        </w:rPr>
      </w:pPr>
      <w:r>
        <w:rPr>
          <w:rFonts w:hint="eastAsia" w:ascii="宋体" w:cs="宋体"/>
          <w:strike w:val="0"/>
          <w:dstrike w:val="0"/>
          <w:color w:val="auto"/>
          <w:szCs w:val="21"/>
          <w:highlight w:val="none"/>
        </w:rPr>
        <w:t>7.3.2开工通知</w:t>
      </w:r>
    </w:p>
    <w:p>
      <w:pPr>
        <w:snapToGrid w:val="0"/>
        <w:spacing w:line="440" w:lineRule="exact"/>
        <w:ind w:firstLine="420" w:firstLineChars="200"/>
        <w:jc w:val="left"/>
        <w:rPr>
          <w:rFonts w:hint="default" w:ascii="宋体" w:eastAsia="宋体" w:cs="宋体"/>
          <w:strike w:val="0"/>
          <w:dstrike w:val="0"/>
          <w:color w:val="auto"/>
          <w:szCs w:val="21"/>
          <w:highlight w:val="none"/>
          <w:lang w:val="en-US" w:eastAsia="zh-CN"/>
        </w:rPr>
      </w:pPr>
      <w:r>
        <w:rPr>
          <w:rFonts w:hint="eastAsia" w:ascii="宋体" w:cs="宋体"/>
          <w:strike w:val="0"/>
          <w:dstrike w:val="0"/>
          <w:color w:val="auto"/>
          <w:szCs w:val="21"/>
          <w:highlight w:val="none"/>
          <w:lang w:val="en-US" w:eastAsia="zh-CN"/>
        </w:rPr>
        <w:t>由发包人发出。</w:t>
      </w:r>
    </w:p>
    <w:p>
      <w:pPr>
        <w:snapToGrid w:val="0"/>
        <w:spacing w:line="440" w:lineRule="exact"/>
        <w:ind w:firstLine="420" w:firstLineChars="200"/>
        <w:rPr>
          <w:rFonts w:hint="eastAsia" w:ascii="宋体" w:eastAsia="宋体" w:cs="宋体"/>
          <w:strike w:val="0"/>
          <w:dstrike w:val="0"/>
          <w:color w:val="auto"/>
          <w:szCs w:val="21"/>
          <w:highlight w:val="none"/>
          <w:lang w:eastAsia="zh-CN"/>
        </w:rPr>
      </w:pPr>
      <w:r>
        <w:rPr>
          <w:rFonts w:hint="eastAsia" w:ascii="宋体" w:cs="宋体"/>
          <w:strike w:val="0"/>
          <w:dstrike w:val="0"/>
          <w:color w:val="auto"/>
          <w:szCs w:val="21"/>
          <w:highlight w:val="none"/>
        </w:rPr>
        <w:t>7.4 测量放线</w:t>
      </w:r>
      <w:r>
        <w:rPr>
          <w:rFonts w:hint="eastAsia" w:ascii="宋体" w:cs="宋体"/>
          <w:strike w:val="0"/>
          <w:dstrike w:val="0"/>
          <w:color w:val="auto"/>
          <w:szCs w:val="21"/>
          <w:highlight w:val="none"/>
          <w:lang w:eastAsia="zh-CN"/>
        </w:rPr>
        <w:t>（</w:t>
      </w:r>
      <w:r>
        <w:rPr>
          <w:rFonts w:hint="eastAsia" w:ascii="宋体" w:cs="宋体"/>
          <w:strike w:val="0"/>
          <w:dstrike w:val="0"/>
          <w:color w:val="auto"/>
          <w:szCs w:val="21"/>
          <w:highlight w:val="none"/>
          <w:lang w:val="en-US" w:eastAsia="zh-CN"/>
        </w:rPr>
        <w:t>本项目不采用</w:t>
      </w:r>
      <w:r>
        <w:rPr>
          <w:rFonts w:hint="eastAsia" w:ascii="宋体" w:cs="宋体"/>
          <w:strike w:val="0"/>
          <w:dstrike w:val="0"/>
          <w:color w:val="auto"/>
          <w:szCs w:val="21"/>
          <w:highlight w:val="none"/>
          <w:lang w:eastAsia="zh-CN"/>
        </w:rPr>
        <w:t>）</w:t>
      </w:r>
    </w:p>
    <w:p>
      <w:pPr>
        <w:snapToGrid w:val="0"/>
        <w:spacing w:line="440" w:lineRule="exact"/>
        <w:ind w:firstLine="420" w:firstLineChars="200"/>
        <w:jc w:val="left"/>
        <w:rPr>
          <w:rFonts w:hint="eastAsia" w:ascii="宋体" w:hAnsi="宋体" w:eastAsia="宋体" w:cs="宋体"/>
          <w:strike w:val="0"/>
          <w:dstrike w:val="0"/>
          <w:color w:val="auto"/>
          <w:highlight w:val="none"/>
          <w:lang w:eastAsia="zh-CN"/>
        </w:rPr>
      </w:pPr>
      <w:r>
        <w:rPr>
          <w:rFonts w:hint="eastAsia" w:ascii="宋体" w:cs="宋体"/>
          <w:strike w:val="0"/>
          <w:dstrike w:val="0"/>
          <w:color w:val="auto"/>
          <w:szCs w:val="21"/>
          <w:highlight w:val="none"/>
        </w:rPr>
        <w:t>7.4.1发包人通过</w:t>
      </w:r>
      <w:r>
        <w:rPr>
          <w:rFonts w:hint="eastAsia" w:ascii="宋体" w:cs="宋体"/>
          <w:strike w:val="0"/>
          <w:dstrike w:val="0"/>
          <w:color w:val="auto"/>
          <w:szCs w:val="21"/>
          <w:highlight w:val="none"/>
          <w:lang w:eastAsia="zh-CN"/>
        </w:rPr>
        <w:t>发包人</w:t>
      </w:r>
      <w:r>
        <w:rPr>
          <w:rFonts w:hint="eastAsia" w:ascii="宋体" w:cs="宋体"/>
          <w:strike w:val="0"/>
          <w:dstrike w:val="0"/>
          <w:color w:val="auto"/>
          <w:szCs w:val="21"/>
          <w:highlight w:val="none"/>
        </w:rPr>
        <w:t>向承包人提供测量基准点、基准线和水准点及其书面资料的期限：</w:t>
      </w:r>
      <w:r>
        <w:rPr>
          <w:rFonts w:hint="eastAsia" w:ascii="宋体" w:cs="宋体"/>
          <w:strike w:val="0"/>
          <w:dstrike w:val="0"/>
          <w:color w:val="auto"/>
          <w:szCs w:val="21"/>
          <w:highlight w:val="none"/>
          <w:u w:val="single"/>
        </w:rPr>
        <w:t xml:space="preserve"> </w:t>
      </w:r>
      <w:r>
        <w:rPr>
          <w:rFonts w:hint="eastAsia" w:ascii="宋体" w:hAnsi="宋体" w:cs="宋体"/>
          <w:strike w:val="0"/>
          <w:dstrike w:val="0"/>
          <w:color w:val="auto"/>
          <w:highlight w:val="none"/>
          <w:u w:val="single"/>
          <w:lang w:val="en-US" w:eastAsia="zh-CN"/>
        </w:rPr>
        <w:t>/</w:t>
      </w:r>
    </w:p>
    <w:p>
      <w:pPr>
        <w:snapToGrid w:val="0"/>
        <w:spacing w:line="440" w:lineRule="exact"/>
        <w:ind w:firstLine="420" w:firstLineChars="200"/>
        <w:rPr>
          <w:rFonts w:hint="eastAsia" w:ascii="宋体" w:cs="宋体"/>
          <w:strike w:val="0"/>
          <w:dstrike w:val="0"/>
          <w:color w:val="auto"/>
          <w:szCs w:val="21"/>
          <w:highlight w:val="none"/>
        </w:rPr>
      </w:pPr>
      <w:r>
        <w:rPr>
          <w:rFonts w:hint="eastAsia" w:ascii="宋体" w:cs="宋体"/>
          <w:strike w:val="0"/>
          <w:dstrike w:val="0"/>
          <w:color w:val="auto"/>
          <w:szCs w:val="21"/>
          <w:highlight w:val="none"/>
        </w:rPr>
        <w:t>7.5 工期延误</w:t>
      </w:r>
    </w:p>
    <w:p>
      <w:pPr>
        <w:snapToGrid w:val="0"/>
        <w:spacing w:line="440" w:lineRule="exact"/>
        <w:ind w:firstLine="420" w:firstLineChars="200"/>
        <w:jc w:val="left"/>
        <w:rPr>
          <w:rFonts w:hint="eastAsia" w:ascii="宋体" w:cs="宋体"/>
          <w:strike w:val="0"/>
          <w:dstrike w:val="0"/>
          <w:color w:val="auto"/>
          <w:szCs w:val="21"/>
          <w:highlight w:val="none"/>
        </w:rPr>
      </w:pPr>
      <w:r>
        <w:rPr>
          <w:rFonts w:hint="eastAsia" w:ascii="宋体" w:cs="宋体"/>
          <w:strike w:val="0"/>
          <w:dstrike w:val="0"/>
          <w:color w:val="auto"/>
          <w:szCs w:val="21"/>
          <w:highlight w:val="none"/>
        </w:rPr>
        <w:t>7.5.1 因发包人原因导致工期延误</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（7）因发包人原因导致工期延误的其他情形：</w:t>
      </w:r>
      <w:r>
        <w:rPr>
          <w:rFonts w:hint="eastAsia" w:ascii="宋体" w:cs="宋体"/>
          <w:color w:val="auto"/>
          <w:szCs w:val="21"/>
          <w:highlight w:val="none"/>
          <w:u w:val="single"/>
        </w:rPr>
        <w:t xml:space="preserve"> 无 。</w:t>
      </w:r>
      <w:r>
        <w:rPr>
          <w:rFonts w:hint="eastAsia" w:ascii="宋体" w:cs="宋体"/>
          <w:color w:val="auto"/>
          <w:szCs w:val="21"/>
          <w:highlight w:val="none"/>
        </w:rPr>
        <w:t xml:space="preserve">        </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7.5.2 因承包人原因导致工期延误</w:t>
      </w:r>
    </w:p>
    <w:p>
      <w:pPr>
        <w:pStyle w:val="14"/>
        <w:spacing w:after="0" w:line="440" w:lineRule="exact"/>
        <w:ind w:left="0" w:leftChars="0"/>
        <w:rPr>
          <w:rFonts w:hint="eastAsia"/>
          <w:color w:val="auto"/>
          <w:highlight w:val="none"/>
        </w:rPr>
      </w:pPr>
      <w:r>
        <w:rPr>
          <w:rFonts w:hint="eastAsia"/>
          <w:color w:val="auto"/>
          <w:highlight w:val="none"/>
        </w:rPr>
        <w:t>因承包人原因造成工期延误，逾期竣工违约金的计算方法为：</w:t>
      </w:r>
      <w:r>
        <w:rPr>
          <w:rFonts w:hint="eastAsia"/>
          <w:color w:val="auto"/>
          <w:highlight w:val="none"/>
          <w:u w:val="single"/>
        </w:rPr>
        <w:t xml:space="preserve">  因承包人原因造成合同工期延误，每延误一天，</w:t>
      </w:r>
      <w:r>
        <w:rPr>
          <w:rFonts w:hint="eastAsia"/>
          <w:color w:val="auto"/>
          <w:highlight w:val="none"/>
          <w:u w:val="single"/>
          <w:lang w:val="en-US" w:eastAsia="zh-CN"/>
        </w:rPr>
        <w:t>处以1000</w:t>
      </w:r>
      <w:r>
        <w:rPr>
          <w:rFonts w:hint="eastAsia"/>
          <w:color w:val="auto"/>
          <w:highlight w:val="none"/>
          <w:u w:val="single"/>
        </w:rPr>
        <w:t>元</w:t>
      </w:r>
      <w:r>
        <w:rPr>
          <w:rFonts w:hint="eastAsia"/>
          <w:color w:val="auto"/>
          <w:highlight w:val="none"/>
          <w:u w:val="single"/>
          <w:lang w:val="en-US" w:eastAsia="zh-CN"/>
        </w:rPr>
        <w:t>违约金</w:t>
      </w:r>
      <w:r>
        <w:rPr>
          <w:rFonts w:hint="eastAsia"/>
          <w:color w:val="auto"/>
          <w:highlight w:val="none"/>
          <w:u w:val="single"/>
        </w:rPr>
        <w:t>；月工程量未完成的当期不得请款，当月未完成的工程量纳入下月一并完成，完不成的仍不予请款，依此类推。连续两个月工程量未完成的立即限制承包人一年内不得参与发包人项目投标。</w:t>
      </w:r>
    </w:p>
    <w:p>
      <w:pPr>
        <w:pStyle w:val="14"/>
        <w:spacing w:after="0" w:line="440" w:lineRule="exact"/>
        <w:ind w:left="0" w:leftChars="0"/>
        <w:rPr>
          <w:rFonts w:hint="eastAsia"/>
          <w:color w:val="auto"/>
          <w:highlight w:val="none"/>
        </w:rPr>
      </w:pPr>
      <w:r>
        <w:rPr>
          <w:rFonts w:hint="eastAsia"/>
          <w:color w:val="auto"/>
          <w:highlight w:val="none"/>
        </w:rPr>
        <w:t>因承包人原因造成工期延误，逾期竣工违约金的上限：</w:t>
      </w:r>
      <w:r>
        <w:rPr>
          <w:rFonts w:hint="eastAsia"/>
          <w:color w:val="auto"/>
          <w:highlight w:val="none"/>
          <w:u w:val="single"/>
        </w:rPr>
        <w:t xml:space="preserve"> 全额履约保证金 </w:t>
      </w:r>
      <w:r>
        <w:rPr>
          <w:rFonts w:hint="eastAsia"/>
          <w:color w:val="auto"/>
          <w:highlight w:val="none"/>
        </w:rPr>
        <w:t>。</w:t>
      </w:r>
    </w:p>
    <w:p>
      <w:pPr>
        <w:pStyle w:val="14"/>
        <w:spacing w:after="0" w:line="440" w:lineRule="exact"/>
        <w:ind w:left="0" w:leftChars="0"/>
        <w:rPr>
          <w:rFonts w:hint="eastAsia" w:cs="宋体"/>
          <w:color w:val="auto"/>
          <w:szCs w:val="21"/>
          <w:highlight w:val="none"/>
        </w:rPr>
      </w:pPr>
      <w:r>
        <w:rPr>
          <w:rFonts w:hint="eastAsia" w:cs="宋体"/>
          <w:bCs/>
          <w:color w:val="auto"/>
          <w:szCs w:val="21"/>
          <w:highlight w:val="none"/>
        </w:rPr>
        <w:t>业主单位根据拖延工期的严重程度采用以下方法处理:</w:t>
      </w:r>
    </w:p>
    <w:p>
      <w:pPr>
        <w:widowControl/>
        <w:snapToGrid w:val="0"/>
        <w:spacing w:line="440" w:lineRule="exact"/>
        <w:ind w:firstLine="420" w:firstLineChars="200"/>
        <w:rPr>
          <w:rFonts w:hint="eastAsia" w:ascii="宋体" w:cs="宋体"/>
          <w:bCs/>
          <w:color w:val="auto"/>
          <w:szCs w:val="21"/>
          <w:highlight w:val="none"/>
          <w:u w:val="single"/>
        </w:rPr>
      </w:pPr>
      <w:r>
        <w:rPr>
          <w:rFonts w:hint="eastAsia" w:ascii="宋体" w:cs="宋体"/>
          <w:color w:val="auto"/>
          <w:szCs w:val="21"/>
          <w:highlight w:val="none"/>
          <w:u w:val="single"/>
        </w:rPr>
        <w:t>（1）</w:t>
      </w:r>
      <w:r>
        <w:rPr>
          <w:rFonts w:hint="eastAsia" w:ascii="宋体" w:cs="宋体"/>
          <w:bCs/>
          <w:color w:val="auto"/>
          <w:szCs w:val="21"/>
          <w:highlight w:val="none"/>
          <w:u w:val="single"/>
        </w:rPr>
        <w:t>督促承包人采取有效的赶工措施（费用自理）；</w:t>
      </w:r>
    </w:p>
    <w:p>
      <w:pPr>
        <w:widowControl/>
        <w:snapToGrid w:val="0"/>
        <w:spacing w:line="440" w:lineRule="exact"/>
        <w:ind w:firstLine="420" w:firstLineChars="200"/>
        <w:rPr>
          <w:rFonts w:hint="eastAsia" w:ascii="宋体" w:hAnsi="Times New Roman" w:eastAsia="宋体" w:cs="宋体"/>
          <w:bCs/>
          <w:color w:val="auto"/>
          <w:szCs w:val="21"/>
          <w:highlight w:val="none"/>
          <w:u w:val="single"/>
        </w:rPr>
      </w:pPr>
      <w:r>
        <w:rPr>
          <w:rFonts w:hint="eastAsia" w:ascii="宋体" w:hAnsi="Times New Roman" w:eastAsia="宋体" w:cs="宋体"/>
          <w:bCs/>
          <w:color w:val="auto"/>
          <w:szCs w:val="21"/>
          <w:highlight w:val="none"/>
          <w:u w:val="single"/>
        </w:rPr>
        <w:t>（2）发包人根据本项目总体施工计划对工程各分部分项工程的进度目标确定之后，承包人应采取各种措施确保本合同内各分部分项工程进度目标的实现，如果在工程实施某个分部分项工程，承包人的实际进度滞后该分部分项工程进度目标7天以上，并无法确保该分部分项工程进度目标的完成或承包人虽采取了一些措施，但仍无法按交工期交工时，监理工程师应立即通知发包人，并抄送承包人。发包人向承包人发出书面警告通知3天后，发包人有权终止合同，也可将本合同工程中的一部分或剩余工作交由其他承包人或指定分包人完成，因此所增加的一切费用由原承包人承担。</w:t>
      </w:r>
    </w:p>
    <w:p>
      <w:pPr>
        <w:widowControl/>
        <w:snapToGrid w:val="0"/>
        <w:spacing w:line="440" w:lineRule="exact"/>
        <w:ind w:firstLine="420" w:firstLineChars="200"/>
        <w:rPr>
          <w:rFonts w:hint="eastAsia" w:ascii="宋体" w:hAnsi="Times New Roman" w:eastAsia="宋体" w:cs="宋体"/>
          <w:bCs/>
          <w:color w:val="auto"/>
          <w:szCs w:val="21"/>
          <w:highlight w:val="none"/>
          <w:u w:val="single"/>
        </w:rPr>
      </w:pPr>
      <w:r>
        <w:rPr>
          <w:rFonts w:hint="eastAsia" w:ascii="宋体" w:hAnsi="Times New Roman" w:eastAsia="宋体" w:cs="宋体"/>
          <w:bCs/>
          <w:color w:val="auto"/>
          <w:szCs w:val="21"/>
          <w:highlight w:val="none"/>
          <w:u w:val="single"/>
        </w:rPr>
        <w:t>（3）对严重拖延工期，经发包人多次督促，承包人拒不执行的，发包人可中止施工合同，并和承包人进行清算。同时按原中</w:t>
      </w:r>
      <w:r>
        <w:rPr>
          <w:rFonts w:hint="eastAsia" w:ascii="宋体" w:hAnsi="Times New Roman" w:eastAsia="宋体" w:cs="宋体"/>
          <w:bCs/>
          <w:color w:val="auto"/>
          <w:szCs w:val="21"/>
          <w:highlight w:val="none"/>
          <w:u w:val="single"/>
          <w:lang w:val="en-US" w:eastAsia="zh-CN"/>
        </w:rPr>
        <w:t>标</w:t>
      </w:r>
      <w:r>
        <w:rPr>
          <w:rFonts w:hint="eastAsia" w:ascii="宋体" w:hAnsi="Times New Roman" w:eastAsia="宋体" w:cs="宋体"/>
          <w:bCs/>
          <w:color w:val="auto"/>
          <w:szCs w:val="21"/>
          <w:highlight w:val="none"/>
          <w:u w:val="single"/>
        </w:rPr>
        <w:t xml:space="preserve">价格另选同样资质的施工队伍进场施工，原承包人须无条件配合，不得以任何借口阻挠另选的施工队伍施工，不得向发包人提出任何索赔要求，详见补充条款。  </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7.6 不利物质条件</w:t>
      </w:r>
    </w:p>
    <w:p>
      <w:pPr>
        <w:snapToGrid w:val="0"/>
        <w:spacing w:line="440" w:lineRule="exact"/>
        <w:ind w:firstLine="420" w:firstLineChars="200"/>
        <w:jc w:val="left"/>
        <w:rPr>
          <w:rFonts w:ascii="宋体" w:cs="宋体"/>
          <w:color w:val="auto"/>
          <w:szCs w:val="21"/>
          <w:highlight w:val="none"/>
          <w:u w:val="single"/>
        </w:rPr>
      </w:pPr>
      <w:r>
        <w:rPr>
          <w:rFonts w:hint="eastAsia" w:ascii="宋体" w:cs="宋体"/>
          <w:color w:val="auto"/>
          <w:szCs w:val="21"/>
          <w:highlight w:val="none"/>
        </w:rPr>
        <w:t>不利物质条件的其他情形和有关约定：</w:t>
      </w:r>
      <w:r>
        <w:rPr>
          <w:rFonts w:hint="eastAsia" w:ascii="宋体" w:cs="宋体"/>
          <w:color w:val="auto"/>
          <w:szCs w:val="21"/>
          <w:highlight w:val="none"/>
          <w:u w:val="single"/>
        </w:rPr>
        <w:t xml:space="preserve"> 无  。</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7.7异常恶劣的气候条件</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发包人和承包人同意以下情形视为异常恶劣的气候条件：</w:t>
      </w:r>
    </w:p>
    <w:p>
      <w:pPr>
        <w:numPr>
          <w:ilvl w:val="0"/>
          <w:numId w:val="5"/>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numPr>
          <w:ilvl w:val="0"/>
          <w:numId w:val="5"/>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numPr>
          <w:ilvl w:val="0"/>
          <w:numId w:val="5"/>
        </w:numPr>
        <w:snapToGrid w:val="0"/>
        <w:spacing w:line="440" w:lineRule="exact"/>
        <w:ind w:firstLine="420" w:firstLineChars="200"/>
        <w:jc w:val="left"/>
        <w:rPr>
          <w:rFonts w:hint="eastAsia"/>
          <w:color w:val="auto"/>
          <w:highlight w:val="none"/>
        </w:rPr>
      </w:pP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snapToGrid w:val="0"/>
        <w:spacing w:line="44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7.9 提前竣工的奖励</w:t>
      </w:r>
    </w:p>
    <w:p>
      <w:pPr>
        <w:pStyle w:val="14"/>
        <w:spacing w:after="0" w:line="440" w:lineRule="exact"/>
        <w:ind w:left="0" w:leftChars="0"/>
        <w:rPr>
          <w:rFonts w:hint="eastAsia"/>
          <w:color w:val="auto"/>
          <w:highlight w:val="none"/>
        </w:rPr>
      </w:pPr>
      <w:r>
        <w:rPr>
          <w:rFonts w:hint="eastAsia"/>
          <w:color w:val="auto"/>
          <w:highlight w:val="none"/>
        </w:rPr>
        <w:t>7.9.2提前竣工的奖励：</w:t>
      </w:r>
      <w:r>
        <w:rPr>
          <w:rFonts w:hint="eastAsia"/>
          <w:color w:val="auto"/>
          <w:highlight w:val="none"/>
          <w:u w:val="single"/>
        </w:rPr>
        <w:t xml:space="preserve"> </w:t>
      </w:r>
      <w:r>
        <w:rPr>
          <w:rFonts w:hint="eastAsia"/>
          <w:color w:val="auto"/>
          <w:highlight w:val="none"/>
          <w:u w:val="single"/>
          <w:lang w:val="en-US" w:eastAsia="zh-CN"/>
        </w:rPr>
        <w:t>无</w:t>
      </w:r>
      <w:r>
        <w:rPr>
          <w:rFonts w:hint="eastAsia"/>
          <w:color w:val="auto"/>
          <w:highlight w:val="none"/>
          <w:u w:val="single"/>
        </w:rPr>
        <w:t xml:space="preserve"> </w:t>
      </w:r>
      <w:r>
        <w:rPr>
          <w:rFonts w:hint="eastAsia"/>
          <w:color w:val="auto"/>
          <w:highlight w:val="none"/>
        </w:rPr>
        <w:t>。</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8. 材料与设备</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8.4材料与工程设备的保管与使用</w:t>
      </w:r>
    </w:p>
    <w:p>
      <w:pPr>
        <w:snapToGrid w:val="0"/>
        <w:spacing w:line="440" w:lineRule="exact"/>
        <w:ind w:firstLine="420" w:firstLineChars="200"/>
        <w:jc w:val="left"/>
        <w:rPr>
          <w:rFonts w:hint="default" w:ascii="宋体" w:eastAsia="宋体" w:cs="宋体"/>
          <w:color w:val="auto"/>
          <w:szCs w:val="21"/>
          <w:highlight w:val="none"/>
          <w:u w:val="single"/>
          <w:lang w:val="en-US" w:eastAsia="zh-CN"/>
        </w:rPr>
      </w:pPr>
      <w:r>
        <w:rPr>
          <w:rFonts w:hint="eastAsia" w:ascii="宋体" w:cs="宋体"/>
          <w:color w:val="auto"/>
          <w:szCs w:val="21"/>
          <w:highlight w:val="none"/>
        </w:rPr>
        <w:t>8.4.1发包人供应的材料设备的保管费用的承担：</w:t>
      </w:r>
      <w:r>
        <w:rPr>
          <w:rFonts w:hint="eastAsia" w:ascii="宋体" w:cs="宋体"/>
          <w:color w:val="auto"/>
          <w:szCs w:val="21"/>
          <w:highlight w:val="none"/>
          <w:u w:val="single"/>
          <w:lang w:val="en-US" w:eastAsia="zh-CN"/>
        </w:rPr>
        <w:t>/</w:t>
      </w:r>
      <w:r>
        <w:rPr>
          <w:rFonts w:hint="eastAsia" w:ascii="宋体" w:cs="宋体"/>
          <w:color w:val="auto"/>
          <w:szCs w:val="21"/>
          <w:highlight w:val="none"/>
          <w:u w:val="none"/>
          <w:lang w:val="en-US" w:eastAsia="zh-CN"/>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8.6 样品</w:t>
      </w:r>
    </w:p>
    <w:p>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8.6.1样品的报送与封存</w:t>
      </w:r>
    </w:p>
    <w:p>
      <w:pPr>
        <w:snapToGrid w:val="0"/>
        <w:spacing w:line="440" w:lineRule="exact"/>
        <w:ind w:firstLine="420" w:firstLineChars="200"/>
        <w:rPr>
          <w:rFonts w:hint="eastAsia" w:ascii="宋体" w:cs="宋体"/>
          <w:color w:val="auto"/>
          <w:szCs w:val="21"/>
          <w:highlight w:val="none"/>
          <w:u w:val="single"/>
        </w:rPr>
      </w:pPr>
      <w:r>
        <w:rPr>
          <w:rFonts w:hint="eastAsia" w:ascii="宋体" w:cs="宋体"/>
          <w:color w:val="auto"/>
          <w:szCs w:val="21"/>
          <w:highlight w:val="none"/>
        </w:rPr>
        <w:t>需要承包人报送样品的材料或工程设备，样品的种类、名称、规格、数量要求：</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8.8 施工设备和临时设施</w:t>
      </w:r>
    </w:p>
    <w:p>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8.8.1 承包人提供的施工设备和临时设施</w:t>
      </w:r>
    </w:p>
    <w:p>
      <w:pPr>
        <w:autoSpaceDE w:val="0"/>
        <w:autoSpaceDN w:val="0"/>
        <w:adjustRightInd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关于修建临时设施费用承担的约定：</w:t>
      </w:r>
      <w:r>
        <w:rPr>
          <w:rFonts w:hint="eastAsia" w:ascii="宋体" w:cs="宋体"/>
          <w:color w:val="auto"/>
          <w:szCs w:val="21"/>
          <w:highlight w:val="none"/>
          <w:u w:val="single"/>
        </w:rPr>
        <w:t xml:space="preserve">  由承包人自行承担费用   </w:t>
      </w:r>
      <w:r>
        <w:rPr>
          <w:rFonts w:hint="eastAsia" w:ascii="宋体" w:cs="宋体"/>
          <w:color w:val="auto"/>
          <w:szCs w:val="21"/>
          <w:highlight w:val="none"/>
        </w:rPr>
        <w:t>。</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9. 试验与检验</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9.1试验设备与试验人员</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9.1.2 试验设备</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施工现场需要配置的试验场所：</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 xml:space="preserve">。 </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施工现场需要配备的试验设备：</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施工现场需要具备的其他试验条件：</w:t>
      </w:r>
      <w:r>
        <w:rPr>
          <w:rFonts w:hint="eastAsia" w:ascii="宋体" w:cs="宋体"/>
          <w:color w:val="auto"/>
          <w:szCs w:val="21"/>
          <w:highlight w:val="none"/>
          <w:u w:val="single"/>
        </w:rPr>
        <w:t xml:space="preserve">   执行</w:t>
      </w:r>
      <w:r>
        <w:rPr>
          <w:rFonts w:hint="eastAsia" w:ascii="宋体" w:cs="宋体"/>
          <w:color w:val="auto"/>
          <w:szCs w:val="21"/>
          <w:highlight w:val="none"/>
          <w:u w:val="single"/>
          <w:lang w:val="en-US" w:eastAsia="zh-CN"/>
        </w:rPr>
        <w:t>招标</w:t>
      </w:r>
      <w:r>
        <w:rPr>
          <w:rFonts w:hint="eastAsia" w:ascii="宋体" w:cs="宋体"/>
          <w:color w:val="auto"/>
          <w:szCs w:val="21"/>
          <w:highlight w:val="none"/>
          <w:u w:val="single"/>
        </w:rPr>
        <w:t xml:space="preserve">文件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 xml:space="preserve">9.4 现场工艺试验 </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现场工艺试验的有关约定：</w:t>
      </w:r>
      <w:r>
        <w:rPr>
          <w:rFonts w:hint="eastAsia" w:ascii="宋体" w:cs="宋体"/>
          <w:color w:val="auto"/>
          <w:szCs w:val="21"/>
          <w:highlight w:val="none"/>
          <w:u w:val="single"/>
        </w:rPr>
        <w:t xml:space="preserve">   按</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 xml:space="preserve">指示    </w:t>
      </w:r>
      <w:r>
        <w:rPr>
          <w:rFonts w:hint="eastAsia" w:ascii="宋体" w:cs="宋体"/>
          <w:color w:val="auto"/>
          <w:szCs w:val="21"/>
          <w:highlight w:val="none"/>
        </w:rPr>
        <w:t>。</w:t>
      </w:r>
    </w:p>
    <w:p>
      <w:pPr>
        <w:pStyle w:val="5"/>
        <w:snapToGrid w:val="0"/>
        <w:spacing w:before="0" w:after="0" w:line="440" w:lineRule="exact"/>
        <w:ind w:firstLine="420" w:firstLineChars="200"/>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10. 变更</w:t>
      </w:r>
    </w:p>
    <w:p>
      <w:pPr>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10.1变更的范围</w:t>
      </w:r>
    </w:p>
    <w:p>
      <w:pPr>
        <w:snapToGrid w:val="0"/>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关于变更范围的约定：</w:t>
      </w:r>
      <w:r>
        <w:rPr>
          <w:rFonts w:hint="eastAsia" w:ascii="宋体" w:hAnsi="宋体" w:cs="宋体"/>
          <w:b/>
          <w:color w:val="auto"/>
          <w:szCs w:val="21"/>
          <w:highlight w:val="none"/>
          <w:u w:val="single"/>
        </w:rPr>
        <w:t>执行合同通用条款</w:t>
      </w:r>
      <w:r>
        <w:rPr>
          <w:rFonts w:hint="eastAsia" w:ascii="宋体" w:hAnsi="宋体" w:cs="宋体"/>
          <w:b/>
          <w:bCs/>
          <w:color w:val="auto"/>
          <w:szCs w:val="21"/>
          <w:highlight w:val="none"/>
          <w:u w:val="single"/>
        </w:rPr>
        <w:t>。</w:t>
      </w:r>
    </w:p>
    <w:p>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10.4 变更估价</w:t>
      </w:r>
    </w:p>
    <w:p>
      <w:pPr>
        <w:snapToGrid w:val="0"/>
        <w:spacing w:line="440" w:lineRule="exact"/>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10.4.1变更估价原则</w:t>
      </w:r>
      <w:r>
        <w:rPr>
          <w:rFonts w:hint="eastAsia" w:ascii="宋体" w:hAnsi="宋体" w:cs="宋体"/>
          <w:color w:val="auto"/>
          <w:kern w:val="0"/>
          <w:szCs w:val="21"/>
          <w:highlight w:val="none"/>
        </w:rPr>
        <w:br w:type="textWrapping"/>
      </w:r>
      <w:r>
        <w:rPr>
          <w:rFonts w:hint="eastAsia" w:ascii="宋体" w:hAnsi="宋体" w:cs="宋体"/>
          <w:color w:val="auto"/>
          <w:kern w:val="0"/>
          <w:szCs w:val="21"/>
          <w:highlight w:val="none"/>
        </w:rPr>
        <w:t xml:space="preserve">   </w:t>
      </w:r>
      <w:r>
        <w:rPr>
          <w:rFonts w:hint="eastAsia" w:ascii="宋体" w:hAnsi="宋体" w:cs="宋体"/>
          <w:color w:val="auto"/>
          <w:szCs w:val="21"/>
          <w:highlight w:val="none"/>
        </w:rPr>
        <w:t>关于变更估价的约定:</w:t>
      </w:r>
    </w:p>
    <w:p>
      <w:pPr>
        <w:pStyle w:val="14"/>
        <w:spacing w:after="0" w:line="440" w:lineRule="exact"/>
        <w:ind w:left="0" w:leftChars="0" w:firstLine="422"/>
        <w:rPr>
          <w:rFonts w:hint="eastAsia" w:ascii="宋体" w:hAnsi="宋体" w:cs="宋体"/>
          <w:b/>
          <w:color w:val="auto"/>
          <w:highlight w:val="none"/>
          <w:u w:val="single"/>
        </w:rPr>
      </w:pPr>
      <w:r>
        <w:rPr>
          <w:rFonts w:hint="eastAsia" w:ascii="宋体" w:hAnsi="宋体" w:cs="宋体"/>
          <w:b/>
          <w:bCs/>
          <w:color w:val="auto"/>
          <w:szCs w:val="21"/>
          <w:highlight w:val="none"/>
          <w:u w:val="single"/>
        </w:rPr>
        <w:t>变更导致结算工程量（含1.13清单工程量错误产生的工程量）减少0-100%或增加15%以内部分，执行下列第（1）款或第（2）款确定的单价；但超出15%以外部分，结算单价按第（1）款或第（2）款对应的最高限价单价×响应让利幅度计算，组价明显错误的予以纠正；</w:t>
      </w:r>
      <w:r>
        <w:rPr>
          <w:rFonts w:ascii="宋体" w:hAnsi="宋体" w:cs="宋体"/>
          <w:b/>
          <w:bCs/>
          <w:color w:val="auto"/>
          <w:szCs w:val="21"/>
          <w:highlight w:val="none"/>
          <w:u w:val="single"/>
        </w:rPr>
        <w:t>已标价工程量清单或预算书中无相同项目及类似项目单价的</w:t>
      </w:r>
      <w:r>
        <w:rPr>
          <w:rFonts w:hint="eastAsia" w:ascii="宋体" w:hAnsi="宋体" w:cs="宋体"/>
          <w:b/>
          <w:bCs/>
          <w:color w:val="auto"/>
          <w:szCs w:val="21"/>
          <w:highlight w:val="none"/>
          <w:u w:val="single"/>
        </w:rPr>
        <w:t>新增项目单价按照最高限价的编制原则重新组价×响应让利幅度（上述响应让利幅度为中</w:t>
      </w:r>
      <w:r>
        <w:rPr>
          <w:rFonts w:hint="eastAsia" w:ascii="宋体" w:hAnsi="宋体" w:cs="宋体"/>
          <w:b/>
          <w:bCs/>
          <w:color w:val="auto"/>
          <w:szCs w:val="21"/>
          <w:highlight w:val="none"/>
          <w:u w:val="single"/>
          <w:lang w:val="en-US" w:eastAsia="zh-CN"/>
        </w:rPr>
        <w:t>标</w:t>
      </w:r>
      <w:r>
        <w:rPr>
          <w:rFonts w:hint="eastAsia" w:ascii="宋体" w:hAnsi="宋体" w:cs="宋体"/>
          <w:b/>
          <w:bCs/>
          <w:color w:val="auto"/>
          <w:szCs w:val="21"/>
          <w:highlight w:val="none"/>
          <w:u w:val="single"/>
        </w:rPr>
        <w:t>价/最高限价，其中中</w:t>
      </w:r>
      <w:r>
        <w:rPr>
          <w:rFonts w:hint="eastAsia" w:ascii="宋体" w:hAnsi="宋体" w:cs="宋体"/>
          <w:b/>
          <w:bCs/>
          <w:color w:val="auto"/>
          <w:szCs w:val="21"/>
          <w:highlight w:val="none"/>
          <w:u w:val="single"/>
          <w:lang w:val="en-US" w:eastAsia="zh-CN"/>
        </w:rPr>
        <w:t>标</w:t>
      </w:r>
      <w:r>
        <w:rPr>
          <w:rFonts w:hint="eastAsia" w:ascii="宋体" w:hAnsi="宋体" w:cs="宋体"/>
          <w:b/>
          <w:bCs/>
          <w:color w:val="auto"/>
          <w:szCs w:val="21"/>
          <w:highlight w:val="none"/>
          <w:u w:val="single"/>
        </w:rPr>
        <w:t>价和最高限价均扣除暂列金额、暂估价及相应税金），结算价格最终以相关部门审核价为准；</w:t>
      </w:r>
    </w:p>
    <w:p>
      <w:pPr>
        <w:pStyle w:val="14"/>
        <w:spacing w:after="0" w:line="440" w:lineRule="exact"/>
        <w:ind w:left="0" w:leftChars="0" w:firstLine="422"/>
        <w:rPr>
          <w:rFonts w:hint="eastAsia" w:ascii="宋体" w:hAnsi="宋体" w:cs="宋体"/>
          <w:b/>
          <w:color w:val="auto"/>
          <w:highlight w:val="none"/>
          <w:u w:val="single"/>
        </w:rPr>
      </w:pPr>
      <w:r>
        <w:rPr>
          <w:rFonts w:hint="eastAsia" w:ascii="宋体" w:hAnsi="宋体" w:cs="宋体"/>
          <w:b/>
          <w:color w:val="auto"/>
          <w:highlight w:val="none"/>
          <w:u w:val="single"/>
        </w:rPr>
        <w:t>（1）已标价工程量清单或预算书有相同项目的，按照相同项目单价认定；</w:t>
      </w:r>
    </w:p>
    <w:p>
      <w:pPr>
        <w:autoSpaceDE w:val="0"/>
        <w:autoSpaceDN w:val="0"/>
        <w:adjustRightInd w:val="0"/>
        <w:spacing w:line="360" w:lineRule="auto"/>
        <w:ind w:firstLine="422" w:firstLineChars="20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（2）</w:t>
      </w:r>
      <w:r>
        <w:rPr>
          <w:rFonts w:hint="eastAsia" w:ascii="宋体" w:hAnsi="宋体" w:cs="宋体"/>
          <w:b/>
          <w:color w:val="auto"/>
          <w:highlight w:val="none"/>
          <w:u w:val="single"/>
        </w:rPr>
        <w:t>已标价工程量清单或预算书中无相同项目，但有类似项目的，参照类似项目的单价认定。</w:t>
      </w:r>
    </w:p>
    <w:p>
      <w:pPr>
        <w:snapToGrid w:val="0"/>
        <w:spacing w:line="440" w:lineRule="exact"/>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技术措施费调整：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因承包人改变施工技术措施，造成的价格变动，措施费不予调整。因工程变更必须改变原来施工技术措施，造成价格变动的，按实调整，变更组价原则同上</w:t>
      </w:r>
      <w:r>
        <w:rPr>
          <w:rFonts w:hint="eastAsia" w:ascii="宋体" w:hAnsi="宋体" w:cs="宋体"/>
          <w:b/>
          <w:color w:val="auto"/>
          <w:szCs w:val="21"/>
          <w:highlight w:val="none"/>
          <w:u w:val="single"/>
        </w:rPr>
        <w:t>。</w:t>
      </w:r>
    </w:p>
    <w:p>
      <w:pPr>
        <w:snapToGrid w:val="0"/>
        <w:spacing w:line="440" w:lineRule="exact"/>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组织措施费调整：</w:t>
      </w:r>
      <w:r>
        <w:rPr>
          <w:rFonts w:hint="eastAsia" w:ascii="宋体" w:hAnsi="宋体" w:cs="宋体"/>
          <w:b/>
          <w:color w:val="auto"/>
          <w:szCs w:val="21"/>
          <w:highlight w:val="none"/>
          <w:u w:val="single"/>
          <w:lang w:val="en-US" w:eastAsia="zh-CN"/>
        </w:rPr>
        <w:t xml:space="preserve"> 按实调整</w:t>
      </w:r>
      <w:r>
        <w:rPr>
          <w:rFonts w:hint="eastAsia" w:ascii="宋体" w:hAnsi="宋体" w:cs="宋体"/>
          <w:b/>
          <w:color w:val="auto"/>
          <w:szCs w:val="21"/>
          <w:highlight w:val="none"/>
          <w:u w:val="singl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10.5承包人的合理化建议</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lang w:eastAsia="zh-CN"/>
        </w:rPr>
        <w:t>发包人</w:t>
      </w:r>
      <w:r>
        <w:rPr>
          <w:rFonts w:hint="eastAsia" w:ascii="宋体" w:cs="宋体"/>
          <w:color w:val="auto"/>
          <w:szCs w:val="21"/>
          <w:highlight w:val="none"/>
        </w:rPr>
        <w:t>审查承包人合理化建议的期限：</w:t>
      </w:r>
      <w:r>
        <w:rPr>
          <w:rFonts w:hint="eastAsia" w:ascii="宋体" w:cs="宋体"/>
          <w:color w:val="auto"/>
          <w:szCs w:val="21"/>
          <w:highlight w:val="none"/>
          <w:u w:val="single"/>
        </w:rPr>
        <w:t xml:space="preserve"> </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应在收到承包人提交的合理化建议后7天内审查完毕并报送发包人，发现其中存在技术上的缺陷，应通知承包人修改。</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发包人审批承包人合理化建议的期限：</w:t>
      </w:r>
      <w:r>
        <w:rPr>
          <w:rFonts w:hint="eastAsia" w:ascii="宋体" w:cs="宋体"/>
          <w:color w:val="auto"/>
          <w:szCs w:val="21"/>
          <w:highlight w:val="none"/>
          <w:u w:val="single"/>
        </w:rPr>
        <w:t xml:space="preserve"> 发包人应在收到</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报送的合理化建议后7天内审批完毕。合理化建议经发包人批准的，</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应及时发出变更指示，由此引起的合同价格调整按照第10.4款〔变更估价〕约定执行。发包人不同意变更的，</w:t>
      </w:r>
      <w:r>
        <w:rPr>
          <w:rFonts w:hint="eastAsia" w:ascii="宋体" w:cs="宋体"/>
          <w:color w:val="auto"/>
          <w:szCs w:val="21"/>
          <w:highlight w:val="none"/>
          <w:u w:val="single"/>
          <w:lang w:eastAsia="zh-CN"/>
        </w:rPr>
        <w:t>发包人</w:t>
      </w:r>
      <w:r>
        <w:rPr>
          <w:rFonts w:hint="eastAsia" w:ascii="宋体" w:cs="宋体"/>
          <w:color w:val="auto"/>
          <w:szCs w:val="21"/>
          <w:highlight w:val="none"/>
          <w:u w:val="single"/>
        </w:rPr>
        <w:t>应书面通知承包人。</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承包人提出的合理化建议降低了合同价格或者提高了工程经济效益的奖励的方法和金额为：</w:t>
      </w:r>
      <w:r>
        <w:rPr>
          <w:rFonts w:hint="eastAsia" w:ascii="宋体" w:cs="宋体"/>
          <w:color w:val="auto"/>
          <w:szCs w:val="21"/>
          <w:highlight w:val="none"/>
          <w:lang w:val="en-US" w:eastAsia="zh-CN"/>
        </w:rPr>
        <w:t>无</w:t>
      </w:r>
      <w:r>
        <w:rPr>
          <w:rFonts w:hint="eastAsia"/>
          <w:color w:val="auto"/>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10.7 暂估价</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暂估价材料和工程设备的明细</w:t>
      </w:r>
      <w:r>
        <w:rPr>
          <w:rFonts w:hint="eastAsia" w:ascii="宋体" w:cs="宋体"/>
          <w:color w:val="auto"/>
          <w:kern w:val="0"/>
          <w:szCs w:val="21"/>
          <w:highlight w:val="none"/>
          <w:u w:val="single"/>
        </w:rPr>
        <w:t>详见《暂估价一览表》。</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10.7.1 依法必须招标的暂估价项目</w:t>
      </w:r>
    </w:p>
    <w:p>
      <w:pPr>
        <w:adjustRightInd w:val="0"/>
        <w:snapToGrid w:val="0"/>
        <w:spacing w:line="384" w:lineRule="auto"/>
        <w:ind w:firstLine="420" w:firstLineChars="200"/>
        <w:rPr>
          <w:rFonts w:hint="eastAsia" w:ascii="宋体" w:hAnsi="宋体" w:cs="宋体"/>
          <w:color w:val="auto"/>
          <w:highlight w:val="none"/>
        </w:rPr>
      </w:pPr>
      <w:r>
        <w:rPr>
          <w:rFonts w:hint="eastAsia" w:ascii="宋体" w:hAnsi="宋体" w:cs="宋体"/>
          <w:color w:val="auto"/>
          <w:highlight w:val="none"/>
        </w:rPr>
        <w:t>对于依法必须招标的暂估价项目的确认和批准采取第</w:t>
      </w:r>
      <w:r>
        <w:rPr>
          <w:rFonts w:hint="eastAsia" w:ascii="宋体" w:hAnsi="宋体" w:cs="宋体"/>
          <w:color w:val="auto"/>
          <w:highlight w:val="none"/>
          <w:u w:val="single"/>
        </w:rPr>
        <w:t xml:space="preserve"> </w:t>
      </w:r>
      <w:r>
        <w:rPr>
          <w:rFonts w:hint="eastAsia" w:ascii="宋体" w:hAnsi="宋体" w:cs="宋体"/>
          <w:color w:val="auto"/>
          <w:highlight w:val="none"/>
          <w:u w:val="single"/>
          <w:lang w:val="en-US" w:eastAsia="zh-CN"/>
        </w:rPr>
        <w:t>/</w:t>
      </w:r>
      <w:r>
        <w:rPr>
          <w:rFonts w:hint="eastAsia" w:ascii="宋体" w:hAnsi="宋体" w:cs="宋体"/>
          <w:color w:val="auto"/>
          <w:highlight w:val="none"/>
          <w:u w:val="single"/>
        </w:rPr>
        <w:t xml:space="preserve"> </w:t>
      </w:r>
      <w:r>
        <w:rPr>
          <w:rFonts w:hint="eastAsia" w:ascii="宋体" w:hAnsi="宋体" w:cs="宋体"/>
          <w:color w:val="auto"/>
          <w:highlight w:val="none"/>
        </w:rPr>
        <w:t>种方式确定。</w:t>
      </w:r>
      <w:r>
        <w:rPr>
          <w:rFonts w:hint="eastAsia" w:ascii="宋体" w:hAnsi="宋体" w:cs="宋体"/>
          <w:b/>
          <w:color w:val="auto"/>
          <w:highlight w:val="none"/>
          <w:u w:val="single"/>
        </w:rPr>
        <w:t xml:space="preserve">并应按相关规定进行二次招标  </w:t>
      </w:r>
      <w:r>
        <w:rPr>
          <w:rFonts w:hint="eastAsia" w:ascii="宋体" w:hAnsi="宋体" w:cs="宋体"/>
          <w:color w:val="auto"/>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10.7.2 不属于依法必须招标的暂估价项目</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u w:val="single"/>
        </w:rPr>
        <w:t>对于不属于依法必须招标的暂估价项目的确认和批准采取询价或共同交易方式确定。</w:t>
      </w:r>
    </w:p>
    <w:p>
      <w:pPr>
        <w:pStyle w:val="14"/>
        <w:spacing w:after="0" w:line="440" w:lineRule="exact"/>
        <w:ind w:left="0" w:leftChars="0"/>
        <w:rPr>
          <w:rFonts w:hint="eastAsia"/>
          <w:color w:val="auto"/>
          <w:highlight w:val="none"/>
        </w:rPr>
      </w:pPr>
      <w:r>
        <w:rPr>
          <w:rFonts w:hint="eastAsia"/>
          <w:color w:val="auto"/>
          <w:highlight w:val="none"/>
        </w:rPr>
        <w:t>第3种方式：承包人直接实施的暂估价项目</w:t>
      </w:r>
    </w:p>
    <w:p>
      <w:pPr>
        <w:pStyle w:val="14"/>
        <w:spacing w:after="0" w:line="440" w:lineRule="exact"/>
        <w:ind w:left="0" w:leftChars="0"/>
        <w:rPr>
          <w:rFonts w:hint="eastAsia"/>
          <w:color w:val="auto"/>
          <w:highlight w:val="none"/>
        </w:rPr>
      </w:pPr>
      <w:r>
        <w:rPr>
          <w:rFonts w:hint="eastAsia"/>
          <w:color w:val="auto"/>
          <w:highlight w:val="none"/>
        </w:rPr>
        <w:t>承包人直接实施的暂估价项目的约定：</w:t>
      </w:r>
      <w:r>
        <w:rPr>
          <w:rFonts w:hint="eastAsia"/>
          <w:color w:val="auto"/>
          <w:highlight w:val="none"/>
          <w:u w:val="single"/>
        </w:rPr>
        <w:t xml:space="preserve">   无    。</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10.8 暂列金额</w:t>
      </w:r>
    </w:p>
    <w:p>
      <w:pPr>
        <w:autoSpaceDE w:val="0"/>
        <w:autoSpaceDN w:val="0"/>
        <w:adjustRightInd w:val="0"/>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合同当事人关于暂列金额使用的约定：</w:t>
      </w:r>
      <w:r>
        <w:rPr>
          <w:rFonts w:hint="eastAsia" w:ascii="宋体" w:cs="宋体"/>
          <w:color w:val="auto"/>
          <w:szCs w:val="21"/>
          <w:highlight w:val="none"/>
          <w:u w:val="single"/>
        </w:rPr>
        <w:t xml:space="preserve"> 暂列金额应按照发包人的要求使用。</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11. 价格调整</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11.1 市场价格波动引起的调整</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市场价格波动是否调整合同价格的约定：</w:t>
      </w:r>
      <w:r>
        <w:rPr>
          <w:rFonts w:hint="eastAsia" w:ascii="宋体" w:cs="宋体"/>
          <w:color w:val="auto"/>
          <w:szCs w:val="21"/>
          <w:highlight w:val="none"/>
          <w:u w:val="single"/>
        </w:rPr>
        <w:t xml:space="preserve"> 不调整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因市场价格波动调整合同价格，采用以下第</w:t>
      </w:r>
      <w:r>
        <w:rPr>
          <w:rFonts w:hint="eastAsia" w:ascii="宋体" w:cs="宋体"/>
          <w:color w:val="auto"/>
          <w:szCs w:val="21"/>
          <w:highlight w:val="none"/>
          <w:u w:val="single"/>
        </w:rPr>
        <w:t xml:space="preserve">  3  </w:t>
      </w:r>
      <w:r>
        <w:rPr>
          <w:rFonts w:hint="eastAsia" w:ascii="宋体" w:cs="宋体"/>
          <w:color w:val="auto"/>
          <w:szCs w:val="21"/>
          <w:highlight w:val="none"/>
        </w:rPr>
        <w:t>种方式对合同价格进行调整：</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第2种方式：采用造价信息进行价格调整。</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第3种方式：其他价格调整方式：</w:t>
      </w:r>
      <w:r>
        <w:rPr>
          <w:rFonts w:hint="eastAsia" w:ascii="宋体" w:cs="宋体"/>
          <w:color w:val="auto"/>
          <w:szCs w:val="21"/>
          <w:highlight w:val="none"/>
          <w:u w:val="single"/>
        </w:rPr>
        <w:t>不调整</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12. 合同价格、计量与支付</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12.1 合同价格形式</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1、单价合同。</w:t>
      </w:r>
    </w:p>
    <w:p>
      <w:pPr>
        <w:snapToGrid w:val="0"/>
        <w:spacing w:line="440" w:lineRule="exact"/>
        <w:ind w:firstLine="420" w:firstLineChars="200"/>
        <w:jc w:val="left"/>
        <w:rPr>
          <w:rFonts w:hint="eastAsia" w:ascii="宋体" w:cs="宋体"/>
          <w:b/>
          <w:color w:val="auto"/>
          <w:szCs w:val="21"/>
          <w:highlight w:val="none"/>
          <w:u w:val="single"/>
        </w:rPr>
      </w:pPr>
      <w:r>
        <w:rPr>
          <w:rFonts w:hint="eastAsia" w:ascii="宋体" w:cs="宋体"/>
          <w:color w:val="auto"/>
          <w:szCs w:val="21"/>
          <w:highlight w:val="none"/>
        </w:rPr>
        <w:t>综合单价包含的风险范围：</w:t>
      </w:r>
      <w:r>
        <w:rPr>
          <w:rFonts w:hint="eastAsia" w:ascii="黑体" w:eastAsia="黑体" w:cs="宋体"/>
          <w:b/>
          <w:color w:val="auto"/>
          <w:szCs w:val="21"/>
          <w:highlight w:val="none"/>
          <w:u w:val="single"/>
        </w:rPr>
        <w:t>各种因素引起的不属于本合同调价范围的市场材料价格、人工、机械使用费以及管理费、利润的变化等</w:t>
      </w:r>
      <w:r>
        <w:rPr>
          <w:rFonts w:hint="eastAsia" w:ascii="宋体" w:cs="宋体"/>
          <w:b/>
          <w:color w:val="auto"/>
          <w:szCs w:val="21"/>
          <w:highlight w:val="none"/>
          <w:u w:val="single"/>
        </w:rPr>
        <w:t>。</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风险费用的计算方法：</w:t>
      </w:r>
      <w:r>
        <w:rPr>
          <w:rFonts w:hint="eastAsia" w:ascii="宋体" w:cs="宋体"/>
          <w:color w:val="auto"/>
          <w:szCs w:val="21"/>
          <w:highlight w:val="none"/>
          <w:u w:val="single"/>
        </w:rPr>
        <w:t xml:space="preserve"> 不考虑  </w:t>
      </w:r>
    </w:p>
    <w:p>
      <w:pPr>
        <w:snapToGrid w:val="0"/>
        <w:spacing w:line="440" w:lineRule="exact"/>
        <w:ind w:firstLine="420" w:firstLineChars="200"/>
        <w:jc w:val="left"/>
        <w:rPr>
          <w:rFonts w:hint="eastAsia" w:ascii="宋体" w:hAnsi="宋体" w:cs="宋体"/>
          <w:bCs/>
          <w:color w:val="auto"/>
          <w:szCs w:val="21"/>
          <w:highlight w:val="none"/>
          <w:u w:val="single"/>
        </w:rPr>
      </w:pPr>
      <w:r>
        <w:rPr>
          <w:rFonts w:hint="eastAsia"/>
          <w:color w:val="auto"/>
          <w:highlight w:val="none"/>
        </w:rPr>
        <w:t>风险范围以外合同价格的调整方法：</w:t>
      </w:r>
      <w:r>
        <w:rPr>
          <w:rFonts w:hint="eastAsia" w:ascii="宋体" w:hAnsi="宋体" w:cs="宋体"/>
          <w:bCs/>
          <w:color w:val="auto"/>
          <w:szCs w:val="21"/>
          <w:highlight w:val="none"/>
          <w:u w:val="single"/>
        </w:rPr>
        <w:t xml:space="preserve">结算价=合同价±工程变更造价±分部分项工程量清单工程量误差造价±材料价格调整造价±政策性调整造价±人工价格调整造价±措施项目调整造价－暂列金额×1.09± 合理工程索赔。 </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12.2 预付款</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12.2.1 预付款的支付</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预付款支付比例或金额：</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预付款支付期限：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预付款扣回的方式：</w:t>
      </w: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12.2.2 预付款担保</w:t>
      </w:r>
    </w:p>
    <w:p>
      <w:pPr>
        <w:snapToGrid w:val="0"/>
        <w:spacing w:line="440" w:lineRule="exact"/>
        <w:ind w:firstLine="420" w:firstLineChars="200"/>
        <w:jc w:val="left"/>
        <w:rPr>
          <w:rFonts w:hint="eastAsia" w:ascii="宋体" w:eastAsia="宋体" w:cs="宋体"/>
          <w:color w:val="auto"/>
          <w:szCs w:val="21"/>
          <w:highlight w:val="none"/>
          <w:lang w:val="en-US" w:eastAsia="zh-CN"/>
        </w:rPr>
      </w:pPr>
      <w:r>
        <w:rPr>
          <w:rFonts w:hint="eastAsia" w:ascii="宋体" w:cs="宋体"/>
          <w:color w:val="auto"/>
          <w:szCs w:val="21"/>
          <w:highlight w:val="none"/>
        </w:rPr>
        <w:t>承包人提交预付款担保的期限：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预付款担保的形式为：</w:t>
      </w: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12.3 计量</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12.3.1 计量原则</w:t>
      </w:r>
    </w:p>
    <w:p>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工程量计算规则：</w:t>
      </w:r>
      <w:r>
        <w:rPr>
          <w:rFonts w:hint="eastAsia" w:ascii="宋体" w:cs="宋体"/>
          <w:color w:val="auto"/>
          <w:szCs w:val="21"/>
          <w:highlight w:val="none"/>
          <w:u w:val="single"/>
        </w:rPr>
        <w:t>执行现行建设工程工程量清单计价规范（GB50500）、安徽省建设工程计价依据。</w:t>
      </w:r>
    </w:p>
    <w:p>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12.3.2 计量周期</w:t>
      </w:r>
    </w:p>
    <w:p>
      <w:pPr>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关于计量周期的约定：</w:t>
      </w:r>
      <w:r>
        <w:rPr>
          <w:rFonts w:hint="eastAsia" w:ascii="宋体" w:cs="宋体"/>
          <w:color w:val="auto"/>
          <w:szCs w:val="21"/>
          <w:highlight w:val="none"/>
          <w:u w:val="single"/>
        </w:rPr>
        <w:t xml:space="preserve">   按月计量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12.3.3 单价合同的计量</w:t>
      </w:r>
    </w:p>
    <w:p>
      <w:pPr>
        <w:snapToGrid w:val="0"/>
        <w:spacing w:line="440" w:lineRule="exact"/>
        <w:ind w:firstLine="420" w:firstLineChars="200"/>
        <w:jc w:val="left"/>
        <w:rPr>
          <w:rFonts w:hint="default" w:ascii="宋体" w:eastAsia="宋体" w:cs="宋体"/>
          <w:color w:val="auto"/>
          <w:szCs w:val="21"/>
          <w:highlight w:val="none"/>
          <w:u w:val="single"/>
          <w:lang w:val="en-US" w:eastAsia="zh-CN"/>
        </w:rPr>
      </w:pPr>
      <w:r>
        <w:rPr>
          <w:rFonts w:hint="eastAsia" w:ascii="宋体" w:cs="宋体"/>
          <w:color w:val="auto"/>
          <w:szCs w:val="21"/>
          <w:highlight w:val="none"/>
        </w:rPr>
        <w:t>关于单价合同计量的约定：</w:t>
      </w:r>
      <w:r>
        <w:rPr>
          <w:rFonts w:hint="eastAsia" w:ascii="宋体" w:cs="宋体"/>
          <w:color w:val="auto"/>
          <w:szCs w:val="21"/>
          <w:highlight w:val="none"/>
          <w:u w:val="single"/>
          <w:lang w:val="en-US" w:eastAsia="zh-CN"/>
        </w:rPr>
        <w:t>按进度计量</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12.3.4 总价合同的计量</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关于总价合同计量的约定：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12.3.5总价合同采用支付分解表计量支付的，是否适用第</w:t>
      </w:r>
      <w:r>
        <w:rPr>
          <w:rFonts w:hint="eastAsia" w:ascii="宋体" w:cs="宋体"/>
          <w:color w:val="auto"/>
          <w:kern w:val="0"/>
          <w:szCs w:val="21"/>
          <w:highlight w:val="none"/>
        </w:rPr>
        <w:t xml:space="preserve">12.3.4 </w:t>
      </w:r>
      <w:r>
        <w:rPr>
          <w:rFonts w:hint="eastAsia" w:ascii="宋体" w:cs="宋体"/>
          <w:color w:val="auto"/>
          <w:szCs w:val="21"/>
          <w:highlight w:val="none"/>
        </w:rPr>
        <w:t>项</w:t>
      </w:r>
      <w:r>
        <w:rPr>
          <w:rFonts w:hint="eastAsia" w:ascii="宋体" w:cs="宋体"/>
          <w:color w:val="auto"/>
          <w:kern w:val="0"/>
          <w:szCs w:val="21"/>
          <w:highlight w:val="none"/>
        </w:rPr>
        <w:t>〔总价合同的计量〕</w:t>
      </w:r>
      <w:r>
        <w:rPr>
          <w:rFonts w:hint="eastAsia" w:ascii="宋体" w:cs="宋体"/>
          <w:color w:val="auto"/>
          <w:szCs w:val="21"/>
          <w:highlight w:val="none"/>
        </w:rPr>
        <w:t>约定进行计量：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12.3.6 其他价格形式合同的计量</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其他价格形式的计量方式和程序：</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12.4 工程进度款支付</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12.4.1 付款周期</w:t>
      </w:r>
    </w:p>
    <w:p>
      <w:pPr>
        <w:snapToGrid w:val="0"/>
        <w:spacing w:line="440" w:lineRule="exact"/>
        <w:ind w:firstLine="420" w:firstLineChars="200"/>
        <w:jc w:val="left"/>
        <w:rPr>
          <w:rFonts w:hint="eastAsia" w:ascii="宋体" w:cs="宋体"/>
          <w:color w:val="auto"/>
          <w:szCs w:val="21"/>
          <w:highlight w:val="yellow"/>
        </w:rPr>
      </w:pPr>
      <w:r>
        <w:rPr>
          <w:rFonts w:hint="eastAsia" w:ascii="宋体" w:cs="宋体"/>
          <w:color w:val="auto"/>
          <w:szCs w:val="21"/>
          <w:highlight w:val="yellow"/>
        </w:rPr>
        <w:t>关于付款周期的约定：</w:t>
      </w:r>
      <w:r>
        <w:rPr>
          <w:rFonts w:hint="eastAsia" w:ascii="宋体" w:cs="宋体"/>
          <w:color w:val="auto"/>
          <w:szCs w:val="21"/>
          <w:highlight w:val="yellow"/>
          <w:u w:val="single"/>
        </w:rPr>
        <w:t xml:space="preserve">  按月进度付款，当月完成进度计划的合格分部分项工程按85%付进度款；工程竣工验收合格后支付至已完成合格工程量价款的90%；竣工结算完成审计且经审核或复核后付至结算总造价的98%，剩余2%作为工程质量保证金，工程缺陷责任期（缺陷责任期两年，从验收合格之日起计算）满回访合格后一个月内付清。质量保证金支持保函（银行保函、担保机构担保、保证保险）使用。采用保函的不再从工程进度款中扣留质量保证金，保函有效期须与工程缺陷责任期截止时间保持一致   </w:t>
      </w:r>
      <w:r>
        <w:rPr>
          <w:rFonts w:hint="eastAsia" w:ascii="宋体" w:cs="宋体"/>
          <w:color w:val="auto"/>
          <w:szCs w:val="21"/>
          <w:highlight w:val="yellow"/>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12.4.2 进度付款申请单的编制</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关于进度付款申请单编制的约定：</w:t>
      </w:r>
      <w:r>
        <w:rPr>
          <w:rFonts w:hint="eastAsia" w:ascii="宋体" w:cs="宋体"/>
          <w:color w:val="auto"/>
          <w:szCs w:val="21"/>
          <w:highlight w:val="none"/>
          <w:u w:val="single"/>
        </w:rPr>
        <w:t>执行发包人统一内容格式。</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12.4.3 进度付款申请单的提交</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（1）单价合同进度付款申请单提交的约定：</w:t>
      </w:r>
      <w:r>
        <w:rPr>
          <w:rFonts w:hint="eastAsia" w:ascii="宋体" w:cs="宋体"/>
          <w:color w:val="auto"/>
          <w:szCs w:val="21"/>
          <w:highlight w:val="none"/>
          <w:u w:val="single"/>
        </w:rPr>
        <w:t xml:space="preserve"> </w:t>
      </w:r>
      <w:r>
        <w:rPr>
          <w:rFonts w:hint="eastAsia" w:ascii="宋体" w:hAnsi="宋体" w:cs="宋体"/>
          <w:color w:val="auto"/>
          <w:szCs w:val="21"/>
          <w:highlight w:val="none"/>
          <w:u w:val="single"/>
        </w:rPr>
        <w:t>无</w:t>
      </w:r>
      <w:r>
        <w:rPr>
          <w:rFonts w:hint="eastAsia" w:ascii="黑体" w:eastAsia="黑体" w:cs="宋体"/>
          <w:b/>
          <w:bCs/>
          <w:color w:val="auto"/>
          <w:szCs w:val="21"/>
          <w:highlight w:val="none"/>
          <w:u w:val="singl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（2）总价合同进度付款申请单提交的约定：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（3）其他价格形式合同进度付款申请单提交的约定：</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pPr>
        <w:snapToGrid w:val="0"/>
        <w:spacing w:line="440" w:lineRule="exact"/>
        <w:ind w:firstLine="420" w:firstLineChars="200"/>
        <w:rPr>
          <w:rFonts w:hint="default" w:ascii="宋体" w:eastAsia="宋体" w:cs="宋体"/>
          <w:color w:val="auto"/>
          <w:szCs w:val="21"/>
          <w:highlight w:val="none"/>
          <w:lang w:val="en-US" w:eastAsia="zh-CN"/>
        </w:rPr>
      </w:pPr>
      <w:r>
        <w:rPr>
          <w:rFonts w:hint="eastAsia" w:ascii="宋体" w:cs="宋体"/>
          <w:color w:val="auto"/>
          <w:szCs w:val="21"/>
          <w:highlight w:val="none"/>
        </w:rPr>
        <w:t>12.4.4 进度款审核和支付</w:t>
      </w:r>
      <w:r>
        <w:rPr>
          <w:rFonts w:hint="eastAsia" w:ascii="宋体" w:cs="宋体"/>
          <w:color w:val="auto"/>
          <w:szCs w:val="21"/>
          <w:highlight w:val="none"/>
          <w:lang w:eastAsia="zh-CN"/>
        </w:rPr>
        <w:t>：</w:t>
      </w:r>
      <w:r>
        <w:rPr>
          <w:rFonts w:hint="eastAsia" w:ascii="宋体" w:cs="宋体"/>
          <w:color w:val="auto"/>
          <w:szCs w:val="21"/>
          <w:highlight w:val="none"/>
          <w:lang w:val="en-US" w:eastAsia="zh-CN"/>
        </w:rPr>
        <w:t>发包人审核无误后支付。</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12.4.6 支付分解表的编制</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2、总价合同支付分解表的编制与审批：</w:t>
      </w:r>
      <w:r>
        <w:rPr>
          <w:rFonts w:hint="eastAsia" w:ascii="宋体" w:cs="宋体"/>
          <w:color w:val="auto"/>
          <w:szCs w:val="21"/>
          <w:highlight w:val="none"/>
          <w:u w:val="single"/>
        </w:rPr>
        <w:t xml:space="preserve">   不采用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3、单价合同的总价项目支付分解表的编制与审批：</w:t>
      </w:r>
      <w:r>
        <w:rPr>
          <w:rFonts w:hint="eastAsia" w:ascii="宋体" w:cs="宋体"/>
          <w:color w:val="auto"/>
          <w:szCs w:val="21"/>
          <w:highlight w:val="none"/>
          <w:u w:val="single"/>
        </w:rPr>
        <w:t>执行发包人统一内容格式。</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13. 验收和工程试车</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13.1 分部分项工程验收</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13.1.2</w:t>
      </w:r>
      <w:r>
        <w:rPr>
          <w:rFonts w:hint="eastAsia" w:ascii="宋体" w:cs="宋体"/>
          <w:color w:val="auto"/>
          <w:szCs w:val="21"/>
          <w:highlight w:val="none"/>
          <w:lang w:eastAsia="zh-CN"/>
        </w:rPr>
        <w:t>发包人</w:t>
      </w:r>
      <w:r>
        <w:rPr>
          <w:rFonts w:hint="eastAsia" w:ascii="宋体" w:cs="宋体"/>
          <w:color w:val="auto"/>
          <w:szCs w:val="21"/>
          <w:highlight w:val="none"/>
        </w:rPr>
        <w:t>不能按时进行验收时，应提前</w:t>
      </w:r>
      <w:r>
        <w:rPr>
          <w:rFonts w:hint="eastAsia" w:ascii="宋体" w:cs="宋体"/>
          <w:color w:val="auto"/>
          <w:szCs w:val="21"/>
          <w:highlight w:val="none"/>
          <w:u w:val="single"/>
        </w:rPr>
        <w:t xml:space="preserve">  3  </w:t>
      </w:r>
      <w:r>
        <w:rPr>
          <w:rFonts w:hint="eastAsia" w:ascii="宋体" w:cs="宋体"/>
          <w:color w:val="auto"/>
          <w:szCs w:val="21"/>
          <w:highlight w:val="none"/>
        </w:rPr>
        <w:t>小时提交书面延期要求。</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关于延期最长不得超过：</w:t>
      </w:r>
      <w:r>
        <w:rPr>
          <w:rFonts w:hint="eastAsia" w:ascii="宋体" w:cs="宋体"/>
          <w:color w:val="auto"/>
          <w:szCs w:val="21"/>
          <w:highlight w:val="none"/>
          <w:u w:val="single"/>
        </w:rPr>
        <w:t xml:space="preserve"> 6  </w:t>
      </w:r>
      <w:r>
        <w:rPr>
          <w:rFonts w:hint="eastAsia" w:ascii="宋体" w:cs="宋体"/>
          <w:color w:val="auto"/>
          <w:szCs w:val="21"/>
          <w:highlight w:val="none"/>
        </w:rPr>
        <w:t>小时。</w:t>
      </w:r>
    </w:p>
    <w:p>
      <w:pPr>
        <w:wordWrap w:val="0"/>
        <w:snapToGrid w:val="0"/>
        <w:spacing w:line="440" w:lineRule="exact"/>
        <w:ind w:firstLine="420" w:firstLineChars="200"/>
        <w:textAlignment w:val="bottom"/>
        <w:rPr>
          <w:rFonts w:hint="eastAsia" w:ascii="宋体" w:cs="宋体"/>
          <w:color w:val="auto"/>
          <w:szCs w:val="21"/>
          <w:highlight w:val="none"/>
        </w:rPr>
      </w:pPr>
      <w:r>
        <w:rPr>
          <w:rFonts w:hint="eastAsia" w:ascii="宋体" w:cs="宋体"/>
          <w:color w:val="auto"/>
          <w:szCs w:val="21"/>
          <w:highlight w:val="none"/>
        </w:rPr>
        <w:t>13.2 竣工验收</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13.2.2竣工验收程序</w:t>
      </w:r>
    </w:p>
    <w:p>
      <w:pPr>
        <w:wordWrap w:val="0"/>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关于竣工验收程序的约定：</w:t>
      </w:r>
      <w:r>
        <w:rPr>
          <w:rFonts w:hint="eastAsia" w:ascii="宋体" w:hAnsi="宋体" w:cs="宋体"/>
          <w:color w:val="auto"/>
          <w:szCs w:val="21"/>
          <w:highlight w:val="none"/>
          <w:u w:val="single"/>
        </w:rPr>
        <w:t>执行通用条款</w:t>
      </w:r>
      <w:r>
        <w:rPr>
          <w:rFonts w:ascii="宋体" w:hAnsi="宋体" w:cs="宋体"/>
          <w:color w:val="auto"/>
          <w:szCs w:val="21"/>
          <w:highlight w:val="none"/>
          <w:u w:val="single"/>
        </w:rPr>
        <w:t xml:space="preserve">  </w:t>
      </w:r>
      <w:r>
        <w:rPr>
          <w:rFonts w:hint="eastAsia" w:ascii="宋体" w:cs="宋体"/>
          <w:color w:val="auto"/>
          <w:szCs w:val="21"/>
          <w:highlight w:val="none"/>
          <w:u w:val="single"/>
        </w:rPr>
        <w:t>。</w:t>
      </w:r>
    </w:p>
    <w:p>
      <w:pPr>
        <w:wordWrap w:val="0"/>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发包人不按照本项约定组织竣工验收、颁发工程接收证书的违约金的计算方法：</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13.2.5移交、接收全部与部分工程</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承包人向发包人移交工程的期限：</w:t>
      </w:r>
      <w:r>
        <w:rPr>
          <w:rFonts w:hint="eastAsia" w:ascii="宋体" w:cs="宋体"/>
          <w:color w:val="auto"/>
          <w:szCs w:val="21"/>
          <w:highlight w:val="none"/>
          <w:u w:val="single"/>
        </w:rPr>
        <w:t xml:space="preserve"> 承包人应当无条件配合发包人在30日内将工程移交给</w:t>
      </w:r>
      <w:r>
        <w:rPr>
          <w:rFonts w:hint="eastAsia" w:ascii="宋体" w:cs="宋体"/>
          <w:color w:val="auto"/>
          <w:szCs w:val="21"/>
          <w:highlight w:val="none"/>
          <w:u w:val="single"/>
          <w:lang w:val="en-US" w:eastAsia="zh-CN"/>
        </w:rPr>
        <w:t>发包人</w:t>
      </w:r>
      <w:r>
        <w:rPr>
          <w:rFonts w:hint="eastAsia" w:ascii="宋体" w:cs="宋体"/>
          <w:color w:val="auto"/>
          <w:szCs w:val="21"/>
          <w:highlight w:val="none"/>
          <w:u w:val="singl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发包人未按本合同约定接收全部或部分工程的，违约金的计算方法为：</w:t>
      </w:r>
      <w:r>
        <w:rPr>
          <w:rFonts w:hint="eastAsia" w:ascii="宋体" w:cs="宋体"/>
          <w:color w:val="auto"/>
          <w:szCs w:val="21"/>
          <w:highlight w:val="none"/>
          <w:u w:val="single"/>
        </w:rPr>
        <w:t xml:space="preserve">  不考虑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承包人未按时移交工程的，违约金的计算方法为：</w:t>
      </w:r>
      <w:r>
        <w:rPr>
          <w:rFonts w:hint="eastAsia" w:ascii="宋体" w:cs="宋体"/>
          <w:color w:val="auto"/>
          <w:szCs w:val="21"/>
          <w:highlight w:val="none"/>
          <w:u w:val="single"/>
        </w:rPr>
        <w:t xml:space="preserve"> 因承包人原因，未按合同期限按时移交的，暂停工程款支付，发包人可动用质保金，用于工程质量整改 </w:t>
      </w:r>
      <w:r>
        <w:rPr>
          <w:rFonts w:hint="eastAsia" w:ascii="宋体" w:cs="宋体"/>
          <w:color w:val="auto"/>
          <w:szCs w:val="21"/>
          <w:highlight w:val="non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13.3 工程试车</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13.3.1 试车程序</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工程试车内容：</w:t>
      </w:r>
      <w:r>
        <w:rPr>
          <w:rFonts w:hint="eastAsia" w:ascii="宋体" w:cs="宋体"/>
          <w:color w:val="auto"/>
          <w:szCs w:val="21"/>
          <w:highlight w:val="none"/>
          <w:u w:val="single"/>
          <w:lang w:val="en-US" w:eastAsia="zh-CN"/>
        </w:rPr>
        <w:t>/</w:t>
      </w:r>
      <w:r>
        <w:rPr>
          <w:rFonts w:hint="eastAsia" w:ascii="宋体" w:cs="宋体"/>
          <w:color w:val="auto"/>
          <w:szCs w:val="21"/>
          <w:highlight w:val="none"/>
          <w:u w:val="single"/>
        </w:rPr>
        <w:t>。</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（1）单机无负荷试车费用由</w:t>
      </w:r>
      <w:r>
        <w:rPr>
          <w:rFonts w:hint="eastAsia" w:ascii="宋体" w:cs="宋体"/>
          <w:color w:val="auto"/>
          <w:szCs w:val="21"/>
          <w:highlight w:val="none"/>
          <w:u w:val="single"/>
        </w:rPr>
        <w:t xml:space="preserve">  承包人  </w:t>
      </w:r>
      <w:r>
        <w:rPr>
          <w:rFonts w:hint="eastAsia" w:ascii="宋体" w:cs="宋体"/>
          <w:color w:val="auto"/>
          <w:kern w:val="0"/>
          <w:szCs w:val="21"/>
          <w:highlight w:val="none"/>
        </w:rPr>
        <w:t>承担；</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（2）无负荷联动试车费用由</w:t>
      </w:r>
      <w:r>
        <w:rPr>
          <w:rFonts w:hint="eastAsia" w:ascii="宋体" w:cs="宋体"/>
          <w:color w:val="auto"/>
          <w:szCs w:val="21"/>
          <w:highlight w:val="none"/>
          <w:u w:val="single"/>
        </w:rPr>
        <w:t xml:space="preserve">  承包人  </w:t>
      </w:r>
      <w:r>
        <w:rPr>
          <w:rFonts w:hint="eastAsia" w:ascii="宋体" w:cs="宋体"/>
          <w:color w:val="auto"/>
          <w:kern w:val="0"/>
          <w:szCs w:val="21"/>
          <w:highlight w:val="none"/>
        </w:rPr>
        <w:t>承担。</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13.3.3 投料试车</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kern w:val="0"/>
          <w:szCs w:val="21"/>
          <w:highlight w:val="none"/>
        </w:rPr>
        <w:t>关于投料试车相关事项的约定：</w:t>
      </w:r>
      <w:r>
        <w:rPr>
          <w:rFonts w:hint="eastAsia" w:ascii="宋体" w:cs="宋体"/>
          <w:color w:val="auto"/>
          <w:kern w:val="0"/>
          <w:szCs w:val="21"/>
          <w:highlight w:val="none"/>
          <w:u w:val="single"/>
        </w:rPr>
        <w:t>如需进行投料试车的，发包人应在工程竣工验收后组织投料试车。发包人要求在工程竣工验收前进行或需要承包人配合时，应征得承包人同意。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13.6 竣工退场</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13.6.1 竣工退场</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承包人完成竣工退场的期限：</w:t>
      </w:r>
      <w:r>
        <w:rPr>
          <w:rFonts w:hint="eastAsia" w:ascii="宋体" w:cs="宋体"/>
          <w:color w:val="auto"/>
          <w:szCs w:val="21"/>
          <w:highlight w:val="none"/>
          <w:u w:val="single"/>
        </w:rPr>
        <w:t>工程竣工合格后，7天内退场。</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14. 竣工结算</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14.1 竣工付款申请</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承包人提交竣工付款申请单的期限：</w:t>
      </w:r>
      <w:r>
        <w:rPr>
          <w:rFonts w:hint="eastAsia" w:ascii="宋体" w:cs="宋体"/>
          <w:color w:val="auto"/>
          <w:szCs w:val="21"/>
          <w:highlight w:val="none"/>
          <w:u w:val="single"/>
        </w:rPr>
        <w:t>承包人须于竣工验收合格后60日内完成竣工结算报告和完整结算资料上报，特殊情况，经分管领导批准的可以延长。凡因承包人原因，未能在规定时间内上报竣工结算的，处</w:t>
      </w:r>
      <w:r>
        <w:rPr>
          <w:rFonts w:hint="eastAsia" w:ascii="宋体" w:cs="宋体"/>
          <w:color w:val="auto"/>
          <w:szCs w:val="21"/>
          <w:highlight w:val="none"/>
          <w:u w:val="single"/>
          <w:lang w:val="en-US" w:eastAsia="zh-CN"/>
        </w:rPr>
        <w:t>以</w:t>
      </w:r>
      <w:r>
        <w:rPr>
          <w:rFonts w:hint="eastAsia" w:ascii="宋体" w:cs="宋体"/>
          <w:color w:val="auto"/>
          <w:szCs w:val="21"/>
          <w:highlight w:val="none"/>
          <w:u w:val="single"/>
        </w:rPr>
        <w:t>10000元/月的违约金。情节严重的，项目单位有权按已有资料或按已付款报相关部门办理结算。</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竣工结算申请单应包括的内容：</w:t>
      </w:r>
      <w:r>
        <w:rPr>
          <w:rFonts w:hint="eastAsia" w:ascii="宋体" w:cs="宋体"/>
          <w:color w:val="auto"/>
          <w:szCs w:val="21"/>
          <w:highlight w:val="none"/>
          <w:u w:val="single"/>
        </w:rPr>
        <w:t>执行发包人统一内容格式。</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14.2 竣工结算审核</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发包人审批竣工付款申请单的期限：</w:t>
      </w:r>
      <w:r>
        <w:rPr>
          <w:rFonts w:hint="eastAsia" w:ascii="宋体" w:cs="宋体"/>
          <w:color w:val="auto"/>
          <w:szCs w:val="21"/>
          <w:highlight w:val="none"/>
          <w:u w:val="single"/>
        </w:rPr>
        <w:t>相关部门审核通过后7天内完成审批并签发结算款支付证书</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发包人完成竣工付款的期限：</w:t>
      </w:r>
      <w:r>
        <w:rPr>
          <w:rFonts w:hint="eastAsia" w:ascii="宋体" w:cs="宋体"/>
          <w:color w:val="auto"/>
          <w:szCs w:val="21"/>
          <w:highlight w:val="none"/>
          <w:u w:val="single"/>
        </w:rPr>
        <w:t xml:space="preserve">发包人在发票送达一周内完成支付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关于竣工付款证书异议部分复核的方式和程序：</w:t>
      </w:r>
      <w:r>
        <w:rPr>
          <w:rFonts w:hint="eastAsia" w:ascii="宋体" w:cs="宋体"/>
          <w:color w:val="auto"/>
          <w:szCs w:val="21"/>
          <w:highlight w:val="none"/>
          <w:u w:val="single"/>
        </w:rPr>
        <w:t>按照第20条〔争议解决〕约定处理。</w:t>
      </w:r>
    </w:p>
    <w:p>
      <w:pPr>
        <w:snapToGrid w:val="0"/>
        <w:spacing w:beforeLines="0" w:afterLines="0" w:line="440" w:lineRule="exact"/>
        <w:ind w:firstLine="422" w:firstLineChars="200"/>
        <w:jc w:val="left"/>
        <w:rPr>
          <w:rFonts w:hint="eastAsia" w:ascii="宋体" w:hAnsi="宋体" w:cs="宋体"/>
          <w:b/>
          <w:color w:val="auto"/>
          <w:sz w:val="21"/>
          <w:szCs w:val="21"/>
          <w:highlight w:val="none"/>
        </w:rPr>
      </w:pPr>
      <w:r>
        <w:rPr>
          <w:rFonts w:hint="eastAsia" w:ascii="宋体" w:hAnsi="宋体" w:cs="宋体"/>
          <w:b/>
          <w:color w:val="auto"/>
          <w:sz w:val="21"/>
          <w:szCs w:val="21"/>
          <w:highlight w:val="none"/>
        </w:rPr>
        <w:t>根据滁规建管办字【2023】3号文件《关于规范建设项目工程造价控制与审核费用的通知》的规定，工程造价审减率超过5%时，施工单位承担审减率超出5%以上的核减额的5%，项目结算付款单位根据审计结果从工程待结价款中扣除或以违约金形式缴纳至招标人处。</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14.4 最终结清</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14.4.1 最终结清申请单</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承包人提交最终结清申请单的份数：</w:t>
      </w:r>
      <w:r>
        <w:rPr>
          <w:rFonts w:hint="eastAsia" w:ascii="宋体" w:cs="宋体"/>
          <w:color w:val="auto"/>
          <w:szCs w:val="21"/>
          <w:highlight w:val="none"/>
          <w:u w:val="single"/>
        </w:rPr>
        <w:t xml:space="preserve"> 4份  </w:t>
      </w:r>
      <w:r>
        <w:rPr>
          <w:rFonts w:hint="eastAsia" w:ascii="宋体" w:cs="宋体"/>
          <w:color w:val="auto"/>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kern w:val="0"/>
          <w:szCs w:val="21"/>
          <w:highlight w:val="none"/>
        </w:rPr>
        <w:t>承包人提交最终结算申请单的期限：</w:t>
      </w:r>
      <w:r>
        <w:rPr>
          <w:rFonts w:hint="eastAsia" w:ascii="宋体" w:cs="宋体"/>
          <w:color w:val="auto"/>
          <w:szCs w:val="21"/>
          <w:highlight w:val="none"/>
          <w:u w:val="single"/>
        </w:rPr>
        <w:t xml:space="preserve"> 缺陷责任期满经复查合格后7天内。</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14.4.2 最终结清证书和支付</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（1）发包人完成最终结清申请单的审批并颁发最终结清证书的期限：</w:t>
      </w:r>
      <w:r>
        <w:rPr>
          <w:rFonts w:hint="eastAsia" w:ascii="宋体" w:cs="宋体"/>
          <w:color w:val="auto"/>
          <w:szCs w:val="21"/>
          <w:highlight w:val="none"/>
          <w:u w:val="single"/>
        </w:rPr>
        <w:t xml:space="preserve"> 缺陷责任期满经复查合格后14天内。</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（2）发包人完成支付的期限：</w:t>
      </w:r>
      <w:r>
        <w:rPr>
          <w:rFonts w:hint="eastAsia" w:ascii="宋体" w:cs="宋体"/>
          <w:color w:val="auto"/>
          <w:szCs w:val="21"/>
          <w:highlight w:val="none"/>
          <w:u w:val="single"/>
        </w:rPr>
        <w:t xml:space="preserve">发包人发票送达一周内完成支付 </w:t>
      </w:r>
      <w:r>
        <w:rPr>
          <w:rFonts w:hint="eastAsia" w:ascii="宋体" w:cs="宋体"/>
          <w:color w:val="auto"/>
          <w:szCs w:val="21"/>
          <w:highlight w:val="none"/>
        </w:rPr>
        <w:t>。</w:t>
      </w:r>
      <w:r>
        <w:rPr>
          <w:rFonts w:hint="eastAsia" w:ascii="宋体" w:cs="宋体"/>
          <w:color w:val="auto"/>
          <w:szCs w:val="21"/>
          <w:highlight w:val="none"/>
          <w:u w:val="single"/>
        </w:rPr>
        <w:t xml:space="preserve"> </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15. 缺陷责任期与保修</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15.2缺陷责任期</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缺陷责任期的具体期限：</w:t>
      </w:r>
      <w:r>
        <w:rPr>
          <w:rFonts w:hint="eastAsia" w:ascii="黑体" w:hAnsi="黑体" w:eastAsia="黑体" w:cs="黑体"/>
          <w:b/>
          <w:bCs/>
          <w:color w:val="auto"/>
          <w:szCs w:val="21"/>
          <w:highlight w:val="none"/>
          <w:u w:val="single"/>
        </w:rPr>
        <w:t>自竣工验收合格之日起24个月（详见付款方式）</w:t>
      </w:r>
      <w:r>
        <w:rPr>
          <w:rFonts w:hint="eastAsia" w:ascii="宋体" w:cs="宋体"/>
          <w:color w:val="auto"/>
          <w:szCs w:val="21"/>
          <w:highlight w:val="none"/>
          <w:u w:val="single"/>
        </w:rPr>
        <w:t>。</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15.3 质量保证金</w:t>
      </w:r>
    </w:p>
    <w:p>
      <w:pPr>
        <w:snapToGrid w:val="0"/>
        <w:spacing w:line="44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关于是否扣留质量保证金的约定：</w:t>
      </w:r>
      <w:r>
        <w:rPr>
          <w:rFonts w:hint="eastAsia" w:ascii="宋体" w:cs="宋体"/>
          <w:color w:val="auto"/>
          <w:szCs w:val="21"/>
          <w:highlight w:val="none"/>
          <w:u w:val="single"/>
        </w:rPr>
        <w:t xml:space="preserve"> 是。   </w:t>
      </w:r>
    </w:p>
    <w:p>
      <w:pPr>
        <w:snapToGrid w:val="0"/>
        <w:spacing w:line="44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在工程项目竣工前，承包人按专用合同条款第3.7条提供履约担保的，发包人不得同时预留工程质量保证金。</w:t>
      </w:r>
    </w:p>
    <w:p>
      <w:pPr>
        <w:snapToGrid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15.3.1 承包人提供质量保证金的方式</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质量保证金采用以下方式：</w:t>
      </w:r>
    </w:p>
    <w:p>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 xml:space="preserve">（1）质量保证金保函； </w:t>
      </w:r>
    </w:p>
    <w:p>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2</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的工程款；</w:t>
      </w:r>
    </w:p>
    <w:p>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（3）其他方式:</w:t>
      </w:r>
      <w:r>
        <w:rPr>
          <w:rFonts w:hint="eastAsia" w:ascii="宋体" w:cs="宋体"/>
          <w:color w:val="auto"/>
          <w:kern w:val="0"/>
          <w:szCs w:val="21"/>
          <w:highlight w:val="none"/>
          <w:u w:val="single"/>
        </w:rPr>
        <w:t xml:space="preserve">        。</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 xml:space="preserve">15.3.2 质量保证金的扣留 </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质量保证金的扣留采取以下方式：</w:t>
      </w:r>
    </w:p>
    <w:p>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（1）在支付工程进度款时逐次扣留，在此情形下，质量保证金的计算基数不包括预付款的支付、扣回以及价格调整的金额；</w:t>
      </w:r>
    </w:p>
    <w:p>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（2）工程竣工结算时一次性扣留质量保证金；</w:t>
      </w:r>
    </w:p>
    <w:p>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（3）其他扣留方式:</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eastAsia="宋体" w:cs="宋体"/>
          <w:color w:val="auto"/>
          <w:kern w:val="0"/>
          <w:szCs w:val="21"/>
          <w:highlight w:val="none"/>
          <w:u w:val="single"/>
          <w:lang w:eastAsia="zh-CN"/>
        </w:rPr>
      </w:pPr>
      <w:r>
        <w:rPr>
          <w:rFonts w:hint="eastAsia" w:ascii="宋体" w:cs="宋体"/>
          <w:color w:val="auto"/>
          <w:szCs w:val="21"/>
          <w:highlight w:val="none"/>
        </w:rPr>
        <w:t>关于质量保证金的补充约定：</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承包人在缺陷责任期内未履行保修义务的，缺陷责任期满经复查不合格的，质量保证金不予退还。</w:t>
      </w:r>
      <w:r>
        <w:rPr>
          <w:rFonts w:hint="eastAsia" w:ascii="宋体" w:cs="宋体"/>
          <w:color w:val="auto"/>
          <w:kern w:val="0"/>
          <w:szCs w:val="21"/>
          <w:highlight w:val="none"/>
          <w:u w:val="single"/>
        </w:rPr>
        <w:t>质量缺陷较多，多次催促整改不到位，处理不及时的，</w:t>
      </w:r>
      <w:r>
        <w:rPr>
          <w:rFonts w:hint="eastAsia" w:ascii="宋体" w:cs="宋体"/>
          <w:color w:val="auto"/>
          <w:szCs w:val="21"/>
          <w:highlight w:val="none"/>
          <w:u w:val="single"/>
        </w:rPr>
        <w:t>发包人可动用质保金，用于工程质量整改，同时限制承包人一年内不得参与我单位项目投标。</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15.4保修</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15.4.1 保修责任</w:t>
      </w:r>
    </w:p>
    <w:p>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szCs w:val="21"/>
          <w:highlight w:val="none"/>
        </w:rPr>
        <w:t>工程保修期为：</w:t>
      </w:r>
      <w:r>
        <w:rPr>
          <w:rFonts w:hint="eastAsia" w:ascii="宋体" w:cs="宋体"/>
          <w:color w:val="auto"/>
          <w:kern w:val="0"/>
          <w:szCs w:val="21"/>
          <w:highlight w:val="none"/>
          <w:u w:val="single"/>
        </w:rPr>
        <w:t xml:space="preserve">   执行《建设工程质量管理条例》及有关规定。     </w:t>
      </w:r>
    </w:p>
    <w:p>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承包人收到保修通知并到达工程现场的合理时间：</w:t>
      </w:r>
      <w:r>
        <w:rPr>
          <w:rFonts w:hint="eastAsia" w:ascii="宋体" w:cs="宋体"/>
          <w:color w:val="auto"/>
          <w:kern w:val="0"/>
          <w:szCs w:val="21"/>
          <w:highlight w:val="none"/>
          <w:u w:val="single"/>
        </w:rPr>
        <w:t xml:space="preserve">自承包人收到保修通知起24小时内到达工程现场。  </w:t>
      </w:r>
    </w:p>
    <w:p>
      <w:pPr>
        <w:pStyle w:val="5"/>
        <w:snapToGrid w:val="0"/>
        <w:spacing w:before="0" w:after="0" w:line="44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16. 违约</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16.1 发包人违约</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16.1.1发包人违约的情形</w:t>
      </w:r>
    </w:p>
    <w:p>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发包人违约的其他情形：</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16.1.2 发包人违约的责任</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发包人违约责任的承担方式和计算方法：</w:t>
      </w:r>
    </w:p>
    <w:p>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（1）因发包人原因未能在计划开工日期前7天内下达开工通知的违约责任：</w:t>
      </w:r>
      <w:r>
        <w:rPr>
          <w:rFonts w:hint="eastAsia" w:ascii="宋体" w:cs="宋体"/>
          <w:color w:val="auto"/>
          <w:kern w:val="0"/>
          <w:szCs w:val="21"/>
          <w:highlight w:val="none"/>
          <w:u w:val="single"/>
        </w:rPr>
        <w:t>对工期造成影响的可顺延工期</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（2）因发包人原因未能按合同约定支付合同价款的违约责任：</w:t>
      </w:r>
      <w:r>
        <w:rPr>
          <w:rFonts w:hint="eastAsia" w:ascii="宋体" w:cs="宋体"/>
          <w:color w:val="auto"/>
          <w:kern w:val="0"/>
          <w:szCs w:val="21"/>
          <w:highlight w:val="none"/>
          <w:u w:val="single"/>
        </w:rPr>
        <w:t>可按照中国人民银行发布的同期同类贷款基准利率支付违约金</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（3）发包人违反第10.1款〔变更的范围〕第（2）项约定，自行实施被取消的工作或转由他人实施的违约责任：</w:t>
      </w:r>
      <w:r>
        <w:rPr>
          <w:rFonts w:hint="eastAsia" w:ascii="宋体" w:cs="宋体"/>
          <w:color w:val="auto"/>
          <w:kern w:val="0"/>
          <w:szCs w:val="21"/>
          <w:highlight w:val="none"/>
          <w:u w:val="single"/>
        </w:rPr>
        <w:t xml:space="preserve">   发包人可追加与被取消的工作造价相当的额外工作做为补偿</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cs="宋体"/>
          <w:color w:val="auto"/>
          <w:kern w:val="0"/>
          <w:szCs w:val="21"/>
          <w:highlight w:val="none"/>
          <w:u w:val="single"/>
        </w:rPr>
        <w:t xml:space="preserve">发包人可补足或更换材料、工程设备；对工期造成延误的可以顺延；增加承包人成本的可予以补偿  </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（5）因发包人违反合同约定造成暂停施工的违约责任：</w:t>
      </w:r>
      <w:r>
        <w:rPr>
          <w:rFonts w:hint="eastAsia" w:ascii="宋体" w:cs="宋体"/>
          <w:color w:val="auto"/>
          <w:kern w:val="0"/>
          <w:szCs w:val="21"/>
          <w:highlight w:val="none"/>
          <w:u w:val="single"/>
        </w:rPr>
        <w:t xml:space="preserve">  可顺延工期  </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（6）发包人无正当理由没有在约定期限内发出复工指示，导致承包人无法复工的违约责任：</w:t>
      </w:r>
      <w:r>
        <w:rPr>
          <w:rFonts w:hint="eastAsia" w:ascii="宋体" w:cs="宋体"/>
          <w:color w:val="auto"/>
          <w:kern w:val="0"/>
          <w:szCs w:val="21"/>
          <w:highlight w:val="none"/>
          <w:u w:val="single"/>
        </w:rPr>
        <w:t xml:space="preserve"> 对工期造成影响的可顺延工期  </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（7）其他：</w:t>
      </w:r>
      <w:r>
        <w:rPr>
          <w:rFonts w:hint="eastAsia" w:ascii="宋体" w:cs="宋体"/>
          <w:color w:val="auto"/>
          <w:kern w:val="0"/>
          <w:szCs w:val="21"/>
          <w:highlight w:val="none"/>
          <w:u w:val="single"/>
        </w:rPr>
        <w:t xml:space="preserve">  无  </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16.1.3 因发包人违约解除合同</w:t>
      </w:r>
    </w:p>
    <w:p>
      <w:pPr>
        <w:autoSpaceDE w:val="0"/>
        <w:autoSpaceDN w:val="0"/>
        <w:adjustRightInd w:val="0"/>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承包人按16.1.1项〔发包人违约的情形〕约定暂停施工满</w:t>
      </w:r>
      <w:r>
        <w:rPr>
          <w:rFonts w:hint="eastAsia" w:ascii="宋体" w:cs="宋体"/>
          <w:color w:val="auto"/>
          <w:kern w:val="0"/>
          <w:szCs w:val="21"/>
          <w:highlight w:val="none"/>
          <w:u w:val="single"/>
        </w:rPr>
        <w:t xml:space="preserve">  28  </w:t>
      </w:r>
      <w:r>
        <w:rPr>
          <w:rFonts w:hint="eastAsia" w:ascii="宋体" w:cs="宋体"/>
          <w:color w:val="auto"/>
          <w:kern w:val="0"/>
          <w:szCs w:val="21"/>
          <w:highlight w:val="none"/>
        </w:rPr>
        <w:t>天后发包人仍不纠正其违约行为并致使合同目的不能实现的，承包人有权解除合同。</w:t>
      </w:r>
    </w:p>
    <w:p>
      <w:pPr>
        <w:snapToGrid w:val="0"/>
        <w:spacing w:line="440" w:lineRule="exact"/>
        <w:ind w:firstLine="420" w:firstLineChars="200"/>
        <w:rPr>
          <w:rFonts w:hint="eastAsia" w:ascii="宋体" w:cs="宋体"/>
          <w:color w:val="auto"/>
          <w:szCs w:val="21"/>
          <w:highlight w:val="none"/>
        </w:rPr>
      </w:pPr>
      <w:r>
        <w:rPr>
          <w:rFonts w:hint="eastAsia" w:ascii="宋体" w:cs="宋体"/>
          <w:color w:val="auto"/>
          <w:szCs w:val="21"/>
          <w:highlight w:val="none"/>
        </w:rPr>
        <w:t>16.2 承包人违约</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16.2.1 承包人违约的情形</w:t>
      </w:r>
    </w:p>
    <w:p>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承包人违约的其他情形：</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pPr>
        <w:snapToGrid w:val="0"/>
        <w:spacing w:line="44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16.2.2承包人违约的责任</w:t>
      </w:r>
    </w:p>
    <w:p>
      <w:pPr>
        <w:snapToGrid w:val="0"/>
        <w:spacing w:line="44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承包人违约责任的承担方式和计算方法：</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r>
        <w:rPr>
          <w:rFonts w:hint="eastAsia" w:ascii="宋体" w:cs="宋体"/>
          <w:color w:val="auto"/>
          <w:szCs w:val="21"/>
          <w:highlight w:val="none"/>
        </w:rPr>
        <w:t xml:space="preserve">    </w:t>
      </w:r>
    </w:p>
    <w:p>
      <w:pPr>
        <w:snapToGrid w:val="0"/>
        <w:spacing w:line="44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16.2.3 因承包人违约解除合同</w:t>
      </w:r>
    </w:p>
    <w:p>
      <w:pPr>
        <w:snapToGrid w:val="0"/>
        <w:spacing w:line="44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关于承包人违约解除合同的特别约定：</w:t>
      </w:r>
      <w:r>
        <w:rPr>
          <w:rFonts w:hint="eastAsia" w:ascii="宋体" w:cs="宋体"/>
          <w:color w:val="auto"/>
          <w:kern w:val="0"/>
          <w:szCs w:val="21"/>
          <w:highlight w:val="none"/>
          <w:u w:val="single"/>
          <w:lang w:val="en-US" w:eastAsia="zh-CN"/>
        </w:rPr>
        <w:t>/</w:t>
      </w:r>
      <w:r>
        <w:rPr>
          <w:rFonts w:hint="eastAsia" w:ascii="宋体" w:cs="宋体"/>
          <w:color w:val="auto"/>
          <w:szCs w:val="21"/>
          <w:highlight w:val="none"/>
          <w:u w:val="single"/>
        </w:rPr>
        <w:t>。</w:t>
      </w:r>
    </w:p>
    <w:p>
      <w:pPr>
        <w:snapToGrid w:val="0"/>
        <w:spacing w:line="420" w:lineRule="exact"/>
        <w:ind w:firstLine="420" w:firstLineChars="200"/>
        <w:rPr>
          <w:rFonts w:hint="eastAsia" w:ascii="宋体" w:cs="宋体"/>
          <w:color w:val="auto"/>
          <w:kern w:val="0"/>
          <w:szCs w:val="21"/>
          <w:highlight w:val="none"/>
        </w:rPr>
      </w:pPr>
      <w:r>
        <w:rPr>
          <w:rFonts w:hint="eastAsia" w:asci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cs="宋体"/>
          <w:color w:val="auto"/>
          <w:kern w:val="0"/>
          <w:szCs w:val="21"/>
          <w:highlight w:val="none"/>
          <w:u w:val="single"/>
        </w:rPr>
        <w:t xml:space="preserve">   发包人不承担费用   </w:t>
      </w:r>
      <w:r>
        <w:rPr>
          <w:rFonts w:hint="eastAsia" w:ascii="宋体" w:cs="宋体"/>
          <w:color w:val="auto"/>
          <w:kern w:val="0"/>
          <w:szCs w:val="21"/>
          <w:highlight w:val="none"/>
        </w:rPr>
        <w:t>。</w:t>
      </w:r>
    </w:p>
    <w:p>
      <w:pPr>
        <w:pStyle w:val="5"/>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 xml:space="preserve">17. 不可抗力 </w:t>
      </w:r>
    </w:p>
    <w:p>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17.1 不可抗力的确认</w:t>
      </w:r>
    </w:p>
    <w:p>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szCs w:val="21"/>
          <w:highlight w:val="none"/>
        </w:rPr>
        <w:t>除通用合同条款约定的不可抗力事件之外，视为不可抗力的其他情形：</w:t>
      </w:r>
      <w:r>
        <w:rPr>
          <w:rFonts w:hint="eastAsia" w:ascii="宋体" w:cs="宋体"/>
          <w:color w:val="auto"/>
          <w:kern w:val="0"/>
          <w:szCs w:val="21"/>
          <w:highlight w:val="none"/>
          <w:u w:val="single"/>
        </w:rPr>
        <w:t xml:space="preserve">   </w:t>
      </w:r>
      <w:r>
        <w:rPr>
          <w:rFonts w:hint="eastAsia" w:ascii="宋体" w:cs="宋体"/>
          <w:color w:val="auto"/>
          <w:szCs w:val="21"/>
          <w:highlight w:val="none"/>
          <w:u w:val="single"/>
        </w:rPr>
        <w:t>无</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p>
    <w:p>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17.4 因不可抗力解除合同</w:t>
      </w:r>
    </w:p>
    <w:p>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合同解除后，发包人应在</w:t>
      </w:r>
      <w:r>
        <w:rPr>
          <w:rFonts w:hint="eastAsia" w:ascii="宋体" w:cs="宋体"/>
          <w:color w:val="auto"/>
          <w:szCs w:val="21"/>
          <w:highlight w:val="none"/>
          <w:u w:val="single"/>
        </w:rPr>
        <w:t>发票送达一周内</w:t>
      </w:r>
      <w:r>
        <w:rPr>
          <w:rFonts w:hint="eastAsia" w:ascii="宋体" w:cs="宋体"/>
          <w:color w:val="auto"/>
          <w:szCs w:val="21"/>
          <w:highlight w:val="none"/>
        </w:rPr>
        <w:t>完成款项的支付。</w:t>
      </w:r>
    </w:p>
    <w:p>
      <w:pPr>
        <w:pStyle w:val="5"/>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18. 保险</w:t>
      </w:r>
    </w:p>
    <w:p>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18.1 工程保险</w:t>
      </w:r>
    </w:p>
    <w:p>
      <w:pPr>
        <w:snapToGrid w:val="0"/>
        <w:spacing w:line="420" w:lineRule="exact"/>
        <w:ind w:firstLine="420" w:firstLineChars="200"/>
        <w:rPr>
          <w:rFonts w:hint="eastAsia"/>
          <w:color w:val="auto"/>
          <w:highlight w:val="none"/>
        </w:rPr>
      </w:pPr>
      <w:r>
        <w:rPr>
          <w:rFonts w:hint="eastAsia"/>
          <w:color w:val="auto"/>
          <w:highlight w:val="none"/>
        </w:rPr>
        <w:t>关于工程保险的特别约定：</w:t>
      </w:r>
      <w:r>
        <w:rPr>
          <w:rFonts w:hint="eastAsia"/>
          <w:color w:val="auto"/>
          <w:highlight w:val="none"/>
          <w:u w:val="single"/>
        </w:rPr>
        <w:t xml:space="preserve"> 无   </w:t>
      </w:r>
      <w:r>
        <w:rPr>
          <w:rFonts w:hint="eastAsia"/>
          <w:color w:val="auto"/>
          <w:highlight w:val="none"/>
        </w:rPr>
        <w:t>。</w:t>
      </w:r>
    </w:p>
    <w:p>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18.3 其他保险</w:t>
      </w:r>
    </w:p>
    <w:p>
      <w:pPr>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szCs w:val="21"/>
          <w:highlight w:val="none"/>
        </w:rPr>
        <w:t>关于其他保险的约定：</w:t>
      </w:r>
      <w:r>
        <w:rPr>
          <w:rFonts w:hint="eastAsia" w:ascii="宋体" w:cs="宋体"/>
          <w:color w:val="auto"/>
          <w:kern w:val="0"/>
          <w:szCs w:val="21"/>
          <w:highlight w:val="none"/>
          <w:u w:val="single"/>
        </w:rPr>
        <w:t xml:space="preserve"> 执行国家、省、市有关规定</w:t>
      </w:r>
    </w:p>
    <w:p>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承包人是否应为其施工设备等办理财产保险：</w:t>
      </w:r>
      <w:r>
        <w:rPr>
          <w:rFonts w:hint="eastAsia" w:ascii="宋体" w:cs="宋体"/>
          <w:color w:val="auto"/>
          <w:szCs w:val="21"/>
          <w:highlight w:val="none"/>
          <w:u w:val="single"/>
        </w:rPr>
        <w:t xml:space="preserve"> 承包人应为其施工设备等办理财产保险。</w:t>
      </w:r>
    </w:p>
    <w:p>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18.7 通知义务</w:t>
      </w:r>
    </w:p>
    <w:p>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rPr>
        <w:t>关于变更保险合同时的通知义务的约定：</w:t>
      </w:r>
      <w:r>
        <w:rPr>
          <w:rFonts w:hint="eastAsia" w:ascii="宋体" w:cs="宋体"/>
          <w:color w:val="auto"/>
          <w:kern w:val="0"/>
          <w:szCs w:val="21"/>
          <w:highlight w:val="none"/>
          <w:u w:val="single"/>
        </w:rPr>
        <w:t>发包人变更除工伤保险之外的保险合同时，应事先征得承包人同意，并通知</w:t>
      </w:r>
      <w:r>
        <w:rPr>
          <w:rFonts w:hint="eastAsia" w:ascii="宋体" w:cs="宋体"/>
          <w:color w:val="auto"/>
          <w:kern w:val="0"/>
          <w:szCs w:val="21"/>
          <w:highlight w:val="none"/>
          <w:u w:val="single"/>
          <w:lang w:eastAsia="zh-CN"/>
        </w:rPr>
        <w:t>发包人</w:t>
      </w:r>
      <w:r>
        <w:rPr>
          <w:rFonts w:hint="eastAsia" w:ascii="宋体" w:cs="宋体"/>
          <w:color w:val="auto"/>
          <w:kern w:val="0"/>
          <w:szCs w:val="21"/>
          <w:highlight w:val="none"/>
          <w:u w:val="single"/>
        </w:rPr>
        <w:t>；承包人变更除工伤保险之外的保险合同时，应事先征得发包人同意，并通知</w:t>
      </w:r>
      <w:r>
        <w:rPr>
          <w:rFonts w:hint="eastAsia" w:ascii="宋体" w:cs="宋体"/>
          <w:color w:val="auto"/>
          <w:kern w:val="0"/>
          <w:szCs w:val="21"/>
          <w:highlight w:val="none"/>
          <w:u w:val="single"/>
          <w:lang w:eastAsia="zh-CN"/>
        </w:rPr>
        <w:t>发包人</w:t>
      </w:r>
      <w:r>
        <w:rPr>
          <w:rFonts w:hint="eastAsia" w:ascii="宋体" w:cs="宋体"/>
          <w:color w:val="auto"/>
          <w:kern w:val="0"/>
          <w:szCs w:val="21"/>
          <w:highlight w:val="none"/>
          <w:u w:val="single"/>
        </w:rPr>
        <w:t>。</w:t>
      </w:r>
    </w:p>
    <w:p>
      <w:pPr>
        <w:snapToGrid w:val="0"/>
        <w:spacing w:line="420" w:lineRule="exact"/>
        <w:ind w:firstLine="420" w:firstLineChars="200"/>
        <w:jc w:val="left"/>
        <w:rPr>
          <w:rFonts w:hint="eastAsia" w:ascii="宋体" w:cs="宋体"/>
          <w:color w:val="auto"/>
          <w:kern w:val="0"/>
          <w:szCs w:val="21"/>
          <w:highlight w:val="none"/>
          <w:u w:val="single"/>
        </w:rPr>
      </w:pPr>
      <w:r>
        <w:rPr>
          <w:rFonts w:hint="eastAsia" w:ascii="宋体" w:cs="宋体"/>
          <w:color w:val="auto"/>
          <w:kern w:val="0"/>
          <w:szCs w:val="21"/>
          <w:highlight w:val="none"/>
          <w:u w:val="single"/>
        </w:rPr>
        <w:t>保险事故发生时，投保人应按照保险合同规定的条件和期限及时向保险人报告。发包人和承包人应当在知道保险事故发生后及时通知对方。</w:t>
      </w:r>
    </w:p>
    <w:p>
      <w:pPr>
        <w:pStyle w:val="5"/>
        <w:snapToGrid w:val="0"/>
        <w:spacing w:before="0" w:after="0" w:line="420" w:lineRule="exact"/>
        <w:ind w:firstLine="420" w:firstLineChars="200"/>
        <w:rPr>
          <w:rFonts w:hint="eastAsia" w:ascii="宋体" w:eastAsia="宋体" w:cs="宋体"/>
          <w:b w:val="0"/>
          <w:color w:val="auto"/>
          <w:sz w:val="21"/>
          <w:szCs w:val="21"/>
          <w:highlight w:val="none"/>
        </w:rPr>
      </w:pPr>
      <w:r>
        <w:rPr>
          <w:rFonts w:hint="eastAsia" w:ascii="宋体" w:eastAsia="宋体" w:cs="宋体"/>
          <w:b w:val="0"/>
          <w:color w:val="auto"/>
          <w:sz w:val="21"/>
          <w:szCs w:val="21"/>
          <w:highlight w:val="none"/>
        </w:rPr>
        <w:t>20. 争议解决</w:t>
      </w:r>
    </w:p>
    <w:p>
      <w:pPr>
        <w:snapToGrid w:val="0"/>
        <w:spacing w:line="420" w:lineRule="exact"/>
        <w:ind w:firstLine="420" w:firstLineChars="200"/>
        <w:rPr>
          <w:rFonts w:hint="eastAsia" w:ascii="宋体" w:cs="宋体"/>
          <w:color w:val="auto"/>
          <w:szCs w:val="21"/>
          <w:highlight w:val="none"/>
        </w:rPr>
      </w:pPr>
      <w:r>
        <w:rPr>
          <w:rFonts w:hint="eastAsia" w:ascii="宋体" w:cs="宋体"/>
          <w:color w:val="auto"/>
          <w:szCs w:val="21"/>
          <w:highlight w:val="none"/>
        </w:rPr>
        <w:t>20.3 争议评审</w:t>
      </w:r>
    </w:p>
    <w:p>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合同当事人是否同意将工程争议提交争议评审小组决定：</w:t>
      </w:r>
      <w:r>
        <w:rPr>
          <w:rFonts w:hint="eastAsia" w:ascii="宋体" w:cs="宋体"/>
          <w:color w:val="auto"/>
          <w:szCs w:val="21"/>
          <w:highlight w:val="none"/>
          <w:u w:val="single"/>
        </w:rPr>
        <w:t xml:space="preserve">  不同意   </w:t>
      </w:r>
      <w:r>
        <w:rPr>
          <w:rFonts w:hint="eastAsia" w:ascii="宋体" w:cs="宋体"/>
          <w:color w:val="auto"/>
          <w:szCs w:val="21"/>
          <w:highlight w:val="none"/>
        </w:rPr>
        <w:t xml:space="preserve">。  </w:t>
      </w:r>
    </w:p>
    <w:p>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20.3.1 争议评审小组的确定</w:t>
      </w:r>
    </w:p>
    <w:p>
      <w:pPr>
        <w:snapToGrid w:val="0"/>
        <w:spacing w:line="420" w:lineRule="exact"/>
        <w:ind w:firstLine="420" w:firstLineChars="200"/>
        <w:jc w:val="left"/>
        <w:rPr>
          <w:rFonts w:hint="eastAsia" w:ascii="宋体" w:cs="宋体"/>
          <w:color w:val="auto"/>
          <w:szCs w:val="21"/>
          <w:highlight w:val="none"/>
          <w:u w:val="single"/>
        </w:rPr>
      </w:pPr>
      <w:r>
        <w:rPr>
          <w:rFonts w:hint="eastAsia" w:ascii="宋体" w:cs="宋体"/>
          <w:color w:val="auto"/>
          <w:szCs w:val="21"/>
          <w:highlight w:val="none"/>
        </w:rPr>
        <w:t>争议评审小组成员的确定：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选定争议评审员的期限：</w:t>
      </w: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争议评审小组成员的报酬承担方式：</w:t>
      </w: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其他事项的约定：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20.3.2 争议评审小组的决定</w:t>
      </w:r>
    </w:p>
    <w:p>
      <w:pPr>
        <w:snapToGrid w:val="0"/>
        <w:spacing w:line="420" w:lineRule="exact"/>
        <w:ind w:firstLine="420" w:firstLineChars="200"/>
        <w:jc w:val="left"/>
        <w:rPr>
          <w:rFonts w:hint="eastAsia" w:ascii="宋体" w:cs="宋体"/>
          <w:color w:val="auto"/>
          <w:szCs w:val="21"/>
          <w:highlight w:val="none"/>
        </w:rPr>
      </w:pPr>
      <w:r>
        <w:rPr>
          <w:rFonts w:hint="eastAsia" w:ascii="宋体" w:cs="宋体"/>
          <w:color w:val="auto"/>
          <w:szCs w:val="21"/>
          <w:highlight w:val="none"/>
        </w:rPr>
        <w:t>合同当事人关于本项的约定：</w:t>
      </w:r>
      <w:r>
        <w:rPr>
          <w:rFonts w:hint="eastAsia" w:ascii="宋体" w:cs="宋体"/>
          <w:color w:val="auto"/>
          <w:szCs w:val="21"/>
          <w:highlight w:val="none"/>
          <w:u w:val="single"/>
        </w:rPr>
        <w:t xml:space="preserve">  无   </w:t>
      </w:r>
      <w:r>
        <w:rPr>
          <w:rFonts w:hint="eastAsia" w:ascii="宋体" w:cs="宋体"/>
          <w:color w:val="auto"/>
          <w:szCs w:val="21"/>
          <w:highlight w:val="none"/>
        </w:rPr>
        <w:t>。</w:t>
      </w:r>
    </w:p>
    <w:p>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20.4仲裁或诉讼</w:t>
      </w:r>
    </w:p>
    <w:p>
      <w:pPr>
        <w:autoSpaceDE w:val="0"/>
        <w:autoSpaceDN w:val="0"/>
        <w:adjustRightInd w:val="0"/>
        <w:snapToGrid w:val="0"/>
        <w:spacing w:line="420" w:lineRule="exact"/>
        <w:ind w:firstLine="420" w:firstLineChars="200"/>
        <w:jc w:val="left"/>
        <w:rPr>
          <w:rFonts w:hint="eastAsia" w:ascii="宋体" w:cs="宋体"/>
          <w:color w:val="auto"/>
          <w:kern w:val="0"/>
          <w:szCs w:val="21"/>
          <w:highlight w:val="none"/>
        </w:rPr>
      </w:pPr>
      <w:r>
        <w:rPr>
          <w:rFonts w:hint="eastAsia" w:ascii="宋体" w:cs="宋体"/>
          <w:color w:val="auto"/>
          <w:kern w:val="0"/>
          <w:szCs w:val="21"/>
          <w:highlight w:val="none"/>
        </w:rPr>
        <w:t>因合同及合同有关事项发生的争议，按下列第</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 xml:space="preserve"> 1 </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种方式解决：</w:t>
      </w:r>
    </w:p>
    <w:p>
      <w:pPr>
        <w:keepNext w:val="0"/>
        <w:keepLines w:val="0"/>
        <w:pageBreakBefore w:val="0"/>
        <w:widowControl w:val="0"/>
        <w:numPr>
          <w:ilvl w:val="0"/>
          <w:numId w:val="6"/>
        </w:numPr>
        <w:kinsoku/>
        <w:wordWrap/>
        <w:overflowPunct/>
        <w:topLinePunct w:val="0"/>
        <w:autoSpaceDE w:val="0"/>
        <w:autoSpaceDN w:val="0"/>
        <w:bidi w:val="0"/>
        <w:adjustRightInd w:val="0"/>
        <w:snapToGrid w:val="0"/>
        <w:spacing w:line="420" w:lineRule="exact"/>
        <w:ind w:left="317" w:firstLine="0" w:firstLineChars="0"/>
        <w:jc w:val="both"/>
        <w:textAlignment w:val="auto"/>
        <w:rPr>
          <w:rFonts w:hint="eastAsia" w:ascii="宋体" w:cs="宋体"/>
          <w:color w:val="auto"/>
          <w:kern w:val="0"/>
          <w:szCs w:val="21"/>
          <w:highlight w:val="none"/>
        </w:rPr>
      </w:pPr>
      <w:r>
        <w:rPr>
          <w:rFonts w:hint="eastAsia" w:ascii="宋体" w:cs="宋体"/>
          <w:color w:val="auto"/>
          <w:kern w:val="0"/>
          <w:szCs w:val="21"/>
          <w:highlight w:val="none"/>
        </w:rPr>
        <w:t>向</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u w:val="single"/>
          <w:lang w:val="en-US" w:eastAsia="zh-CN"/>
        </w:rPr>
        <w:t>滁州</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仲裁委员会申请仲裁；</w:t>
      </w:r>
    </w:p>
    <w:p>
      <w:pPr>
        <w:keepNext w:val="0"/>
        <w:keepLines w:val="0"/>
        <w:pageBreakBefore w:val="0"/>
        <w:widowControl w:val="0"/>
        <w:numPr>
          <w:ilvl w:val="0"/>
          <w:numId w:val="6"/>
        </w:numPr>
        <w:kinsoku/>
        <w:wordWrap/>
        <w:overflowPunct/>
        <w:topLinePunct w:val="0"/>
        <w:autoSpaceDE w:val="0"/>
        <w:autoSpaceDN w:val="0"/>
        <w:bidi w:val="0"/>
        <w:adjustRightInd w:val="0"/>
        <w:snapToGrid w:val="0"/>
        <w:spacing w:line="420" w:lineRule="exact"/>
        <w:ind w:left="317" w:firstLine="0" w:firstLineChars="0"/>
        <w:jc w:val="both"/>
        <w:textAlignment w:val="auto"/>
        <w:rPr>
          <w:rFonts w:hint="eastAsia" w:ascii="宋体" w:cs="宋体"/>
          <w:color w:val="auto"/>
          <w:kern w:val="0"/>
          <w:szCs w:val="21"/>
          <w:highlight w:val="none"/>
        </w:rPr>
      </w:pPr>
      <w:r>
        <w:rPr>
          <w:rFonts w:hint="eastAsia" w:ascii="宋体" w:cs="宋体"/>
          <w:color w:val="auto"/>
          <w:kern w:val="0"/>
          <w:szCs w:val="21"/>
          <w:highlight w:val="none"/>
        </w:rPr>
        <w:t>向</w:t>
      </w:r>
      <w:r>
        <w:rPr>
          <w:rFonts w:hint="eastAsia" w:ascii="宋体" w:hAnsi="宋体" w:cs="宋体"/>
          <w:color w:val="auto"/>
          <w:szCs w:val="21"/>
          <w:highlight w:val="none"/>
          <w:u w:val="single"/>
        </w:rPr>
        <w:t>工程所在地</w:t>
      </w:r>
      <w:r>
        <w:rPr>
          <w:rFonts w:hint="eastAsia" w:ascii="宋体" w:cs="宋体"/>
          <w:color w:val="auto"/>
          <w:kern w:val="0"/>
          <w:szCs w:val="21"/>
          <w:highlight w:val="none"/>
        </w:rPr>
        <w:t>人民法院起诉。</w:t>
      </w:r>
    </w:p>
    <w:p>
      <w:pPr>
        <w:pStyle w:val="5"/>
        <w:snapToGrid w:val="0"/>
        <w:spacing w:before="0" w:after="0" w:line="420" w:lineRule="exact"/>
        <w:ind w:firstLine="420" w:firstLineChars="200"/>
        <w:rPr>
          <w:rFonts w:hint="eastAsia" w:ascii="宋体" w:eastAsia="宋体" w:cs="宋体"/>
          <w:b w:val="0"/>
          <w:color w:val="auto"/>
          <w:sz w:val="21"/>
          <w:szCs w:val="21"/>
          <w:highlight w:val="none"/>
        </w:rPr>
      </w:pPr>
      <w:bookmarkStart w:id="897" w:name="_Toc95223485"/>
      <w:r>
        <w:rPr>
          <w:rFonts w:hint="eastAsia" w:ascii="宋体" w:eastAsia="宋体" w:cs="宋体"/>
          <w:b w:val="0"/>
          <w:color w:val="auto"/>
          <w:sz w:val="21"/>
          <w:szCs w:val="21"/>
          <w:highlight w:val="none"/>
        </w:rPr>
        <w:t>21. 补充条款</w:t>
      </w:r>
      <w:bookmarkEnd w:id="897"/>
      <w:r>
        <w:rPr>
          <w:rFonts w:hint="eastAsia" w:ascii="宋体" w:eastAsia="宋体" w:cs="宋体"/>
          <w:b w:val="0"/>
          <w:color w:val="auto"/>
          <w:sz w:val="21"/>
          <w:szCs w:val="21"/>
          <w:highlight w:val="none"/>
          <w:lang w:eastAsia="zh-CN"/>
        </w:rPr>
        <w:t>：/</w:t>
      </w:r>
      <w:r>
        <w:rPr>
          <w:rFonts w:hint="eastAsia" w:ascii="宋体" w:eastAsia="宋体" w:cs="宋体"/>
          <w:b w:val="0"/>
          <w:color w:val="auto"/>
          <w:sz w:val="21"/>
          <w:szCs w:val="21"/>
          <w:highlight w:val="none"/>
        </w:rPr>
        <w:t xml:space="preserve"> </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发包人：  (公章)                           承包人：  (公章)</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法定代表人或其委托代理人：                 法定代表人或其委托代理人：</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（签字）                                  （签字）</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组织机构代码：</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组织机构代码：</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地  址：</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地  址：</w:t>
      </w:r>
      <w:r>
        <w:rPr>
          <w:rFonts w:hint="eastAsia" w:ascii="宋体" w:hAnsi="宋体" w:cs="宋体"/>
          <w:color w:val="auto"/>
          <w:highlight w:val="none"/>
          <w:u w:val="single"/>
        </w:rPr>
        <w:t xml:space="preserve">                  </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邮政编码：</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邮政编码：</w:t>
      </w:r>
      <w:r>
        <w:rPr>
          <w:rFonts w:hint="eastAsia" w:ascii="宋体" w:hAnsi="宋体" w:cs="宋体"/>
          <w:color w:val="auto"/>
          <w:highlight w:val="none"/>
          <w:u w:val="single"/>
        </w:rPr>
        <w:t xml:space="preserve">                   </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法定代表人：</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法定代表人：</w:t>
      </w:r>
      <w:r>
        <w:rPr>
          <w:rFonts w:hint="eastAsia" w:ascii="宋体" w:hAnsi="宋体" w:cs="宋体"/>
          <w:color w:val="auto"/>
          <w:highlight w:val="none"/>
          <w:u w:val="single"/>
        </w:rPr>
        <w:t xml:space="preserve">             </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委托代理人：</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委托代理人：</w:t>
      </w:r>
      <w:r>
        <w:rPr>
          <w:rFonts w:hint="eastAsia" w:ascii="宋体" w:hAnsi="宋体" w:cs="宋体"/>
          <w:color w:val="auto"/>
          <w:highlight w:val="none"/>
          <w:u w:val="single"/>
        </w:rPr>
        <w:t xml:space="preserve">                 </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电  话：</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  话：</w:t>
      </w:r>
      <w:r>
        <w:rPr>
          <w:rFonts w:hint="eastAsia" w:ascii="宋体" w:hAnsi="宋体" w:cs="宋体"/>
          <w:color w:val="auto"/>
          <w:highlight w:val="none"/>
          <w:u w:val="single"/>
        </w:rPr>
        <w:t xml:space="preserve">                     </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传  真：</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传  真：</w:t>
      </w:r>
      <w:r>
        <w:rPr>
          <w:rFonts w:hint="eastAsia" w:ascii="宋体" w:hAnsi="宋体" w:cs="宋体"/>
          <w:color w:val="auto"/>
          <w:highlight w:val="none"/>
          <w:u w:val="single"/>
        </w:rPr>
        <w:t xml:space="preserve">                   </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电子信箱：</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电子信箱：</w:t>
      </w:r>
      <w:r>
        <w:rPr>
          <w:rFonts w:hint="eastAsia" w:ascii="宋体" w:hAnsi="宋体" w:cs="宋体"/>
          <w:color w:val="auto"/>
          <w:highlight w:val="none"/>
          <w:u w:val="single"/>
        </w:rPr>
        <w:t xml:space="preserve">                   </w:t>
      </w:r>
    </w:p>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开户银行：</w:t>
      </w:r>
      <w:r>
        <w:rPr>
          <w:rFonts w:hint="eastAsia" w:ascii="宋体" w:hAnsi="宋体" w:cs="宋体"/>
          <w:color w:val="auto"/>
          <w:highlight w:val="none"/>
          <w:u w:val="single"/>
        </w:rPr>
        <w:t xml:space="preserve">                 </w:t>
      </w:r>
      <w:r>
        <w:rPr>
          <w:rFonts w:hint="eastAsia" w:ascii="宋体" w:hAnsi="宋体" w:cs="宋体"/>
          <w:color w:val="auto"/>
          <w:highlight w:val="none"/>
        </w:rPr>
        <w:t xml:space="preserve">                开户银行：</w:t>
      </w:r>
      <w:r>
        <w:rPr>
          <w:rFonts w:hint="eastAsia" w:ascii="宋体" w:hAnsi="宋体" w:cs="宋体"/>
          <w:color w:val="auto"/>
          <w:highlight w:val="none"/>
          <w:u w:val="single"/>
        </w:rPr>
        <w:t xml:space="preserve">                   </w:t>
      </w:r>
    </w:p>
    <w:p>
      <w:pPr>
        <w:adjustRightInd w:val="0"/>
        <w:snapToGrid w:val="0"/>
        <w:spacing w:line="360" w:lineRule="auto"/>
        <w:rPr>
          <w:rFonts w:hint="eastAsia" w:ascii="宋体" w:hAnsi="宋体" w:cs="宋体"/>
          <w:color w:val="auto"/>
          <w:highlight w:val="none"/>
          <w:u w:val="single"/>
        </w:rPr>
      </w:pPr>
      <w:r>
        <w:rPr>
          <w:rFonts w:hint="eastAsia" w:ascii="宋体" w:hAnsi="宋体" w:cs="宋体"/>
          <w:color w:val="auto"/>
          <w:highlight w:val="none"/>
        </w:rPr>
        <w:t>账  号：</w:t>
      </w:r>
      <w:r>
        <w:rPr>
          <w:rFonts w:hint="eastAsia" w:ascii="宋体" w:hAnsi="宋体" w:cs="宋体"/>
          <w:color w:val="auto"/>
          <w:highlight w:val="none"/>
          <w:u w:val="single"/>
        </w:rPr>
        <w:t xml:space="preserve">                 </w:t>
      </w:r>
      <w:r>
        <w:rPr>
          <w:rFonts w:hint="eastAsia" w:ascii="宋体" w:hAnsi="宋体" w:cs="宋体"/>
          <w:color w:val="auto"/>
          <w:highlight w:val="none"/>
        </w:rPr>
        <w:t xml:space="preserve">                账  号：</w:t>
      </w:r>
      <w:r>
        <w:rPr>
          <w:rFonts w:hint="eastAsia" w:ascii="宋体" w:hAnsi="宋体" w:cs="宋体"/>
          <w:color w:val="auto"/>
          <w:highlight w:val="none"/>
          <w:u w:val="single"/>
        </w:rPr>
        <w:t xml:space="preserve">                     </w:t>
      </w:r>
    </w:p>
    <w:bookmarkEnd w:id="866"/>
    <w:bookmarkEnd w:id="867"/>
    <w:bookmarkEnd w:id="868"/>
    <w:bookmarkEnd w:id="869"/>
    <w:bookmarkEnd w:id="895"/>
    <w:bookmarkEnd w:id="896"/>
    <w:p>
      <w:pPr>
        <w:rPr>
          <w:rFonts w:hint="eastAsia" w:ascii="宋体" w:hAnsi="宋体" w:cs="宋体"/>
          <w:bCs/>
          <w:color w:val="auto"/>
          <w:sz w:val="24"/>
          <w:highlight w:val="none"/>
        </w:rPr>
      </w:pPr>
      <w:bookmarkStart w:id="898" w:name="_Toc95223487"/>
      <w:bookmarkStart w:id="899" w:name="_Toc152045786"/>
      <w:bookmarkStart w:id="900" w:name="_Toc15058934"/>
      <w:bookmarkStart w:id="901" w:name="_Toc246997097"/>
      <w:bookmarkStart w:id="902" w:name="_Toc324404888"/>
      <w:bookmarkStart w:id="903" w:name="_Toc152042575"/>
      <w:bookmarkStart w:id="904" w:name="_Toc35425136"/>
      <w:bookmarkStart w:id="905" w:name="_Toc506107340"/>
      <w:bookmarkStart w:id="906" w:name="_Toc144974855"/>
      <w:bookmarkStart w:id="907" w:name="_Toc35424970"/>
      <w:bookmarkStart w:id="908" w:name="_Toc179632806"/>
      <w:bookmarkStart w:id="909" w:name="_Toc78803398"/>
      <w:bookmarkStart w:id="910" w:name="_Toc247085872"/>
      <w:bookmarkStart w:id="911" w:name="_Toc246996354"/>
    </w:p>
    <w:p>
      <w:pPr>
        <w:rPr>
          <w:rFonts w:hint="eastAsia" w:ascii="宋体" w:hAnsi="宋体" w:cs="宋体"/>
          <w:bCs/>
          <w:color w:val="auto"/>
          <w:sz w:val="24"/>
          <w:highlight w:val="none"/>
        </w:rPr>
      </w:pPr>
      <w:r>
        <w:rPr>
          <w:rFonts w:hint="eastAsia" w:ascii="宋体" w:hAnsi="宋体" w:cs="宋体"/>
          <w:bCs/>
          <w:color w:val="auto"/>
          <w:sz w:val="24"/>
          <w:highlight w:val="none"/>
        </w:rPr>
        <w:br w:type="page"/>
      </w:r>
    </w:p>
    <w:p>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w:t>
      </w:r>
      <w:bookmarkStart w:id="912" w:name="_Toc296944564"/>
      <w:bookmarkStart w:id="913" w:name="_Toc296891265"/>
      <w:bookmarkStart w:id="914" w:name="_Toc296346726"/>
      <w:bookmarkStart w:id="915" w:name="_Toc296347224"/>
      <w:bookmarkStart w:id="916" w:name="_Toc267261692"/>
      <w:bookmarkStart w:id="917" w:name="_Toc296891053"/>
      <w:bookmarkStart w:id="918" w:name="_Toc296503225"/>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：发包人供应材料设备一览表</w:t>
      </w:r>
      <w:bookmarkEnd w:id="898"/>
    </w:p>
    <w:bookmarkEnd w:id="912"/>
    <w:bookmarkEnd w:id="913"/>
    <w:bookmarkEnd w:id="914"/>
    <w:bookmarkEnd w:id="915"/>
    <w:bookmarkEnd w:id="916"/>
    <w:bookmarkEnd w:id="917"/>
    <w:bookmarkEnd w:id="918"/>
    <w:p>
      <w:pPr>
        <w:spacing w:line="360" w:lineRule="auto"/>
        <w:jc w:val="center"/>
        <w:rPr>
          <w:rFonts w:hint="eastAsia" w:ascii="宋体" w:hAnsi="宋体" w:cs="宋体"/>
          <w:color w:val="auto"/>
          <w:sz w:val="22"/>
          <w:szCs w:val="21"/>
          <w:highlight w:val="none"/>
        </w:rPr>
      </w:pPr>
      <w:r>
        <w:rPr>
          <w:rFonts w:hint="eastAsia" w:ascii="宋体" w:hAnsi="宋体" w:cs="宋体"/>
          <w:color w:val="auto"/>
          <w:sz w:val="22"/>
          <w:szCs w:val="21"/>
          <w:highlight w:val="none"/>
        </w:rPr>
        <w:t>发包人供应材料设备一览表</w:t>
      </w:r>
    </w:p>
    <w:tbl>
      <w:tblPr>
        <w:tblStyle w:val="46"/>
        <w:tblW w:w="96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082"/>
        <w:gridCol w:w="940"/>
        <w:gridCol w:w="851"/>
        <w:gridCol w:w="1044"/>
        <w:gridCol w:w="992"/>
        <w:gridCol w:w="851"/>
        <w:gridCol w:w="966"/>
        <w:gridCol w:w="8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51" w:type="dxa"/>
            <w:tcBorders>
              <w:top w:val="single" w:color="auto" w:sz="12" w:space="0"/>
              <w:bottom w:val="double" w:color="auto" w:sz="6" w:space="0"/>
            </w:tcBorders>
            <w:noWrap w:val="0"/>
            <w:vAlign w:val="center"/>
          </w:tcPr>
          <w:p>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序号</w:t>
            </w:r>
          </w:p>
        </w:tc>
        <w:tc>
          <w:tcPr>
            <w:tcW w:w="1276" w:type="dxa"/>
            <w:tcBorders>
              <w:top w:val="single" w:color="auto" w:sz="12" w:space="0"/>
              <w:bottom w:val="double" w:color="auto" w:sz="6" w:space="0"/>
            </w:tcBorders>
            <w:noWrap w:val="0"/>
            <w:vAlign w:val="center"/>
          </w:tcPr>
          <w:p>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材料、设备品种</w:t>
            </w:r>
          </w:p>
        </w:tc>
        <w:tc>
          <w:tcPr>
            <w:tcW w:w="1082" w:type="dxa"/>
            <w:tcBorders>
              <w:top w:val="single" w:color="auto" w:sz="12" w:space="0"/>
              <w:bottom w:val="double" w:color="auto" w:sz="6" w:space="0"/>
            </w:tcBorders>
            <w:noWrap w:val="0"/>
            <w:vAlign w:val="center"/>
          </w:tcPr>
          <w:p>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规格型号</w:t>
            </w:r>
          </w:p>
        </w:tc>
        <w:tc>
          <w:tcPr>
            <w:tcW w:w="940" w:type="dxa"/>
            <w:tcBorders>
              <w:top w:val="single" w:color="auto" w:sz="12" w:space="0"/>
              <w:bottom w:val="double" w:color="auto" w:sz="6" w:space="0"/>
            </w:tcBorders>
            <w:noWrap w:val="0"/>
            <w:vAlign w:val="center"/>
          </w:tcPr>
          <w:p>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单位</w:t>
            </w:r>
          </w:p>
        </w:tc>
        <w:tc>
          <w:tcPr>
            <w:tcW w:w="851" w:type="dxa"/>
            <w:tcBorders>
              <w:top w:val="single" w:color="auto" w:sz="12" w:space="0"/>
              <w:bottom w:val="double" w:color="auto" w:sz="6" w:space="0"/>
            </w:tcBorders>
            <w:noWrap w:val="0"/>
            <w:vAlign w:val="center"/>
          </w:tcPr>
          <w:p>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数量</w:t>
            </w:r>
          </w:p>
        </w:tc>
        <w:tc>
          <w:tcPr>
            <w:tcW w:w="1044" w:type="dxa"/>
            <w:tcBorders>
              <w:top w:val="single" w:color="auto" w:sz="12" w:space="0"/>
              <w:bottom w:val="double" w:color="auto" w:sz="6" w:space="0"/>
            </w:tcBorders>
            <w:noWrap w:val="0"/>
            <w:vAlign w:val="center"/>
          </w:tcPr>
          <w:p>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单价（元）</w:t>
            </w:r>
          </w:p>
        </w:tc>
        <w:tc>
          <w:tcPr>
            <w:tcW w:w="992" w:type="dxa"/>
            <w:tcBorders>
              <w:top w:val="single" w:color="auto" w:sz="12" w:space="0"/>
              <w:bottom w:val="double" w:color="auto" w:sz="6" w:space="0"/>
            </w:tcBorders>
            <w:noWrap w:val="0"/>
            <w:vAlign w:val="center"/>
          </w:tcPr>
          <w:p>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质量等级</w:t>
            </w:r>
          </w:p>
        </w:tc>
        <w:tc>
          <w:tcPr>
            <w:tcW w:w="851" w:type="dxa"/>
            <w:tcBorders>
              <w:top w:val="single" w:color="auto" w:sz="12" w:space="0"/>
              <w:bottom w:val="double" w:color="auto" w:sz="6" w:space="0"/>
            </w:tcBorders>
            <w:noWrap w:val="0"/>
            <w:vAlign w:val="center"/>
          </w:tcPr>
          <w:p>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供应时间</w:t>
            </w:r>
          </w:p>
        </w:tc>
        <w:tc>
          <w:tcPr>
            <w:tcW w:w="966" w:type="dxa"/>
            <w:tcBorders>
              <w:top w:val="single" w:color="auto" w:sz="12" w:space="0"/>
              <w:bottom w:val="double" w:color="auto" w:sz="6" w:space="0"/>
            </w:tcBorders>
            <w:noWrap w:val="0"/>
            <w:vAlign w:val="center"/>
          </w:tcPr>
          <w:p>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送达地点</w:t>
            </w:r>
          </w:p>
        </w:tc>
        <w:tc>
          <w:tcPr>
            <w:tcW w:w="803" w:type="dxa"/>
            <w:tcBorders>
              <w:top w:val="single" w:color="auto" w:sz="12" w:space="0"/>
              <w:bottom w:val="double" w:color="auto" w:sz="6" w:space="0"/>
            </w:tcBorders>
            <w:noWrap w:val="0"/>
            <w:vAlign w:val="center"/>
          </w:tcPr>
          <w:p>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r>
              <w:rPr>
                <w:rFonts w:hint="eastAsia" w:ascii="宋体" w:hAnsi="宋体" w:cs="宋体"/>
                <w:color w:val="auto"/>
                <w:sz w:val="22"/>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tcBorders>
              <w:top w:val="double" w:color="auto" w:sz="6" w:space="0"/>
            </w:tcBorders>
            <w:noWrap w:val="0"/>
            <w:vAlign w:val="center"/>
          </w:tcPr>
          <w:p>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276" w:type="dxa"/>
            <w:tcBorders>
              <w:top w:val="double" w:color="auto" w:sz="6" w:space="0"/>
            </w:tcBorders>
            <w:noWrap w:val="0"/>
            <w:vAlign w:val="center"/>
          </w:tcPr>
          <w:p>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82" w:type="dxa"/>
            <w:tcBorders>
              <w:top w:val="double" w:color="auto" w:sz="6" w:space="0"/>
            </w:tcBorders>
            <w:noWrap w:val="0"/>
            <w:vAlign w:val="center"/>
          </w:tcPr>
          <w:p>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40" w:type="dxa"/>
            <w:tcBorders>
              <w:top w:val="double" w:color="auto" w:sz="6" w:space="0"/>
            </w:tcBorders>
            <w:noWrap w:val="0"/>
            <w:vAlign w:val="center"/>
          </w:tcPr>
          <w:p>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top w:val="double" w:color="auto" w:sz="6" w:space="0"/>
            </w:tcBorders>
            <w:noWrap w:val="0"/>
            <w:vAlign w:val="center"/>
          </w:tcPr>
          <w:p>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44" w:type="dxa"/>
            <w:tcBorders>
              <w:top w:val="double" w:color="auto" w:sz="6" w:space="0"/>
            </w:tcBorders>
            <w:noWrap w:val="0"/>
            <w:vAlign w:val="center"/>
          </w:tcPr>
          <w:p>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92" w:type="dxa"/>
            <w:tcBorders>
              <w:top w:val="double" w:color="auto" w:sz="6" w:space="0"/>
            </w:tcBorders>
            <w:noWrap w:val="0"/>
            <w:vAlign w:val="center"/>
          </w:tcPr>
          <w:p>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top w:val="double" w:color="auto" w:sz="6" w:space="0"/>
            </w:tcBorders>
            <w:noWrap w:val="0"/>
            <w:vAlign w:val="center"/>
          </w:tcPr>
          <w:p>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66" w:type="dxa"/>
            <w:tcBorders>
              <w:top w:val="double" w:color="auto" w:sz="6" w:space="0"/>
            </w:tcBorders>
            <w:noWrap w:val="0"/>
            <w:vAlign w:val="center"/>
          </w:tcPr>
          <w:p>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03" w:type="dxa"/>
            <w:tcBorders>
              <w:top w:val="double" w:color="auto" w:sz="6" w:space="0"/>
            </w:tcBorders>
            <w:noWrap w:val="0"/>
            <w:vAlign w:val="center"/>
          </w:tcPr>
          <w:p>
            <w:pPr>
              <w:keepNext/>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851" w:type="dxa"/>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276" w:type="dxa"/>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82" w:type="dxa"/>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40" w:type="dxa"/>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44" w:type="dxa"/>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92" w:type="dxa"/>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66" w:type="dxa"/>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03" w:type="dxa"/>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trPr>
        <w:tc>
          <w:tcPr>
            <w:tcW w:w="851" w:type="dxa"/>
            <w:tcBorders>
              <w:bottom w:val="single" w:color="auto" w:sz="12"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276" w:type="dxa"/>
            <w:tcBorders>
              <w:bottom w:val="single" w:color="auto" w:sz="12"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82" w:type="dxa"/>
            <w:tcBorders>
              <w:bottom w:val="single" w:color="auto" w:sz="12"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40" w:type="dxa"/>
            <w:tcBorders>
              <w:bottom w:val="single" w:color="auto" w:sz="12"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bottom w:val="single" w:color="auto" w:sz="12"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1044" w:type="dxa"/>
            <w:tcBorders>
              <w:bottom w:val="single" w:color="auto" w:sz="12"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92" w:type="dxa"/>
            <w:tcBorders>
              <w:bottom w:val="single" w:color="auto" w:sz="12"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51" w:type="dxa"/>
            <w:tcBorders>
              <w:bottom w:val="single" w:color="auto" w:sz="12"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966" w:type="dxa"/>
            <w:tcBorders>
              <w:bottom w:val="single" w:color="auto" w:sz="12"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c>
          <w:tcPr>
            <w:tcW w:w="803" w:type="dxa"/>
            <w:tcBorders>
              <w:bottom w:val="single" w:color="auto" w:sz="12" w:space="0"/>
            </w:tcBorders>
            <w:noWrap w:val="0"/>
            <w:vAlign w:val="center"/>
          </w:tcPr>
          <w:p>
            <w:pPr>
              <w:keepNext w:val="0"/>
              <w:keepLines w:val="0"/>
              <w:suppressLineNumbers w:val="0"/>
              <w:snapToGrid w:val="0"/>
              <w:spacing w:before="0" w:beforeAutospacing="0" w:after="0" w:afterAutospacing="0" w:line="360" w:lineRule="auto"/>
              <w:ind w:left="0" w:right="0"/>
              <w:rPr>
                <w:rFonts w:hint="eastAsia" w:ascii="宋体" w:hAnsi="宋体" w:cs="宋体"/>
                <w:color w:val="auto"/>
                <w:sz w:val="22"/>
                <w:szCs w:val="21"/>
                <w:highlight w:val="none"/>
              </w:rPr>
            </w:pPr>
          </w:p>
        </w:tc>
      </w:tr>
    </w:tbl>
    <w:p>
      <w:pPr>
        <w:pStyle w:val="14"/>
        <w:rPr>
          <w:rFonts w:hint="eastAsia"/>
          <w:color w:val="auto"/>
          <w:highlight w:val="none"/>
        </w:rPr>
      </w:pPr>
    </w:p>
    <w:p>
      <w:pPr>
        <w:rPr>
          <w:rFonts w:hint="eastAsia" w:ascii="宋体" w:hAnsi="宋体" w:cs="宋体"/>
          <w:bCs/>
          <w:color w:val="auto"/>
          <w:sz w:val="24"/>
          <w:highlight w:val="none"/>
        </w:rPr>
      </w:pPr>
      <w:bookmarkStart w:id="919" w:name="_Toc95223490"/>
      <w:r>
        <w:rPr>
          <w:rFonts w:hint="eastAsia" w:ascii="宋体" w:hAnsi="宋体" w:cs="宋体"/>
          <w:bCs/>
          <w:color w:val="auto"/>
          <w:sz w:val="24"/>
          <w:highlight w:val="none"/>
        </w:rPr>
        <w:br w:type="page"/>
      </w:r>
    </w:p>
    <w:p>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w:t>
      </w:r>
      <w:bookmarkStart w:id="920" w:name="_Toc296347225"/>
      <w:bookmarkStart w:id="921" w:name="_Toc296944565"/>
      <w:bookmarkStart w:id="922" w:name="_Toc296891054"/>
      <w:bookmarkStart w:id="923" w:name="_Toc267261693"/>
      <w:bookmarkStart w:id="924" w:name="_Toc296891266"/>
      <w:bookmarkStart w:id="925" w:name="_Toc296503226"/>
      <w:bookmarkStart w:id="926" w:name="_Toc296346727"/>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w:t>
      </w:r>
      <w:bookmarkEnd w:id="920"/>
      <w:bookmarkEnd w:id="921"/>
      <w:bookmarkEnd w:id="922"/>
      <w:bookmarkEnd w:id="923"/>
      <w:bookmarkEnd w:id="924"/>
      <w:bookmarkEnd w:id="925"/>
      <w:bookmarkEnd w:id="926"/>
      <w:r>
        <w:rPr>
          <w:rFonts w:hint="eastAsia" w:ascii="宋体" w:hAnsi="宋体" w:cs="宋体"/>
          <w:bCs/>
          <w:color w:val="auto"/>
          <w:sz w:val="24"/>
          <w:highlight w:val="none"/>
        </w:rPr>
        <w:t>工程质量保修书</w:t>
      </w:r>
    </w:p>
    <w:p>
      <w:pPr>
        <w:adjustRightInd w:val="0"/>
        <w:snapToGrid w:val="0"/>
        <w:spacing w:line="360" w:lineRule="auto"/>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工程质量保修书</w:t>
      </w:r>
    </w:p>
    <w:p>
      <w:pPr>
        <w:adjustRightInd w:val="0"/>
        <w:snapToGrid w:val="0"/>
        <w:spacing w:line="360" w:lineRule="auto"/>
        <w:ind w:firstLine="420" w:firstLineChars="200"/>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发包人</w:t>
      </w:r>
      <w:r>
        <w:rPr>
          <w:rFonts w:hint="eastAsia" w:ascii="宋体" w:hAnsi="宋体" w:cs="宋体"/>
          <w:color w:val="auto"/>
          <w:kern w:val="0"/>
          <w:position w:val="14"/>
          <w:szCs w:val="21"/>
          <w:highlight w:val="none"/>
        </w:rPr>
        <w:t>：_______________________________</w:t>
      </w:r>
    </w:p>
    <w:p>
      <w:pPr>
        <w:widowControl/>
        <w:adjustRightInd w:val="0"/>
        <w:snapToGrid w:val="0"/>
        <w:spacing w:line="360" w:lineRule="auto"/>
        <w:ind w:firstLine="420" w:firstLineChars="200"/>
        <w:jc w:val="left"/>
        <w:rPr>
          <w:rFonts w:hint="eastAsia" w:ascii="宋体" w:hAnsi="宋体" w:cs="宋体"/>
          <w:color w:val="auto"/>
          <w:kern w:val="0"/>
          <w:position w:val="14"/>
          <w:szCs w:val="21"/>
          <w:highlight w:val="none"/>
        </w:rPr>
      </w:pPr>
      <w:r>
        <w:rPr>
          <w:rFonts w:hint="eastAsia" w:ascii="宋体" w:hAnsi="宋体" w:cs="宋体"/>
          <w:bCs/>
          <w:color w:val="auto"/>
          <w:kern w:val="0"/>
          <w:position w:val="14"/>
          <w:szCs w:val="21"/>
          <w:highlight w:val="none"/>
        </w:rPr>
        <w:t>承包人</w:t>
      </w:r>
      <w:r>
        <w:rPr>
          <w:rFonts w:hint="eastAsia" w:ascii="宋体" w:hAnsi="宋体" w:cs="宋体"/>
          <w:color w:val="auto"/>
          <w:kern w:val="0"/>
          <w:position w:val="14"/>
          <w:szCs w:val="21"/>
          <w:highlight w:val="none"/>
        </w:rPr>
        <w:t>：_______________________________</w:t>
      </w:r>
    </w:p>
    <w:p>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发包人、承包人根据《中华人民共和国建筑法》《建设工程质量管理条例》,参照《房屋建筑工程质量保修办法》，经协商一致，对______________________工程签订工程质量保修书。</w:t>
      </w:r>
    </w:p>
    <w:p>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一、工程质量保修范围和内容</w:t>
      </w:r>
    </w:p>
    <w:p>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按照《建设工程质量管理条例》及有关法律、法规、规章的管理规定，双方约定由施工单位在质量保修期内，承担本工程的质量保修责任。</w:t>
      </w:r>
    </w:p>
    <w:p>
      <w:pPr>
        <w:adjustRightInd w:val="0"/>
        <w:snapToGrid w:val="0"/>
        <w:spacing w:line="360" w:lineRule="auto"/>
        <w:ind w:firstLine="420" w:firstLineChars="200"/>
        <w:jc w:val="left"/>
        <w:rPr>
          <w:rFonts w:hint="eastAsia" w:ascii="宋体" w:hAnsi="宋体" w:cs="宋体"/>
          <w:color w:val="auto"/>
          <w:position w:val="6"/>
          <w:szCs w:val="21"/>
          <w:highlight w:val="none"/>
        </w:rPr>
      </w:pPr>
      <w:r>
        <w:rPr>
          <w:rFonts w:hint="eastAsia" w:ascii="宋体" w:hAnsi="宋体" w:cs="宋体"/>
          <w:color w:val="auto"/>
          <w:position w:val="6"/>
          <w:szCs w:val="21"/>
          <w:highlight w:val="none"/>
        </w:rPr>
        <w:t>质量保修范围和内容：______________________。</w:t>
      </w:r>
      <w:r>
        <w:rPr>
          <w:rFonts w:hint="eastAsia" w:ascii="宋体" w:hAnsi="宋体" w:cs="宋体"/>
          <w:bCs/>
          <w:color w:val="auto"/>
          <w:kern w:val="0"/>
          <w:position w:val="6"/>
          <w:szCs w:val="21"/>
          <w:highlight w:val="none"/>
        </w:rPr>
        <w:t>因不可抗力或使用不当造成的质量缺陷，不属保修范围。</w:t>
      </w:r>
    </w:p>
    <w:p>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二、质量保修期</w:t>
      </w:r>
    </w:p>
    <w:p>
      <w:pPr>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双方根据</w:t>
      </w:r>
      <w:r>
        <w:rPr>
          <w:rFonts w:hint="eastAsia" w:ascii="宋体" w:hAnsi="宋体" w:cs="宋体"/>
          <w:color w:val="auto"/>
          <w:position w:val="6"/>
          <w:szCs w:val="21"/>
          <w:highlight w:val="none"/>
        </w:rPr>
        <w:t>《建设工程质量管理条例》</w:t>
      </w:r>
      <w:r>
        <w:rPr>
          <w:rFonts w:hint="eastAsia" w:ascii="宋体" w:hAnsi="宋体" w:cs="宋体"/>
          <w:color w:val="auto"/>
          <w:kern w:val="0"/>
          <w:position w:val="6"/>
          <w:szCs w:val="21"/>
          <w:highlight w:val="none"/>
        </w:rPr>
        <w:t>及有关规定，约定本工程的质量保修期如下：</w:t>
      </w:r>
    </w:p>
    <w:p>
      <w:pPr>
        <w:widowControl/>
        <w:adjustRightInd w:val="0"/>
        <w:snapToGrid w:val="0"/>
        <w:spacing w:line="360" w:lineRule="auto"/>
        <w:ind w:left="420" w:leftChars="200" w:firstLine="58" w:firstLineChars="28"/>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 主体结构和基础工程，</w:t>
      </w:r>
      <w:r>
        <w:rPr>
          <w:rFonts w:hint="eastAsia" w:ascii="宋体" w:hAnsi="宋体" w:cs="宋体"/>
          <w:color w:val="auto"/>
          <w:kern w:val="0"/>
          <w:position w:val="6"/>
          <w:szCs w:val="21"/>
          <w:highlight w:val="none"/>
          <w:lang w:val="en-US" w:eastAsia="zh-CN"/>
        </w:rPr>
        <w:t>同设计年限</w:t>
      </w:r>
      <w:r>
        <w:rPr>
          <w:rFonts w:hint="eastAsia" w:ascii="宋体" w:hAnsi="宋体" w:cs="宋体"/>
          <w:color w:val="auto"/>
          <w:kern w:val="0"/>
          <w:position w:val="6"/>
          <w:szCs w:val="21"/>
          <w:highlight w:val="none"/>
        </w:rPr>
        <w:t>；</w:t>
      </w:r>
    </w:p>
    <w:p>
      <w:pPr>
        <w:widowControl/>
        <w:adjustRightInd w:val="0"/>
        <w:snapToGrid w:val="0"/>
        <w:spacing w:line="360" w:lineRule="auto"/>
        <w:ind w:left="420" w:leftChars="200" w:firstLine="58" w:firstLineChars="28"/>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 _</w:t>
      </w:r>
      <w:r>
        <w:rPr>
          <w:rFonts w:hint="eastAsia" w:ascii="宋体" w:hAnsi="宋体" w:cs="宋体"/>
          <w:color w:val="auto"/>
          <w:kern w:val="0"/>
          <w:position w:val="6"/>
          <w:szCs w:val="21"/>
          <w:highlight w:val="none"/>
          <w:lang w:eastAsia="zh-CN"/>
        </w:rPr>
        <w:t>（</w:t>
      </w:r>
      <w:r>
        <w:rPr>
          <w:rFonts w:hint="eastAsia" w:ascii="宋体" w:hAnsi="宋体" w:cs="宋体"/>
          <w:color w:val="auto"/>
          <w:kern w:val="0"/>
          <w:position w:val="6"/>
          <w:szCs w:val="21"/>
          <w:highlight w:val="none"/>
          <w:lang w:val="en-US" w:eastAsia="zh-CN"/>
        </w:rPr>
        <w:t>签订合同时约定</w:t>
      </w:r>
      <w:r>
        <w:rPr>
          <w:rFonts w:hint="eastAsia" w:ascii="宋体" w:hAnsi="宋体" w:cs="宋体"/>
          <w:color w:val="auto"/>
          <w:kern w:val="0"/>
          <w:position w:val="6"/>
          <w:szCs w:val="21"/>
          <w:highlight w:val="none"/>
          <w:lang w:eastAsia="zh-CN"/>
        </w:rPr>
        <w:t>）</w:t>
      </w:r>
      <w:r>
        <w:rPr>
          <w:rFonts w:hint="eastAsia" w:ascii="宋体" w:hAnsi="宋体" w:cs="宋体"/>
          <w:color w:val="auto"/>
          <w:kern w:val="0"/>
          <w:position w:val="6"/>
          <w:szCs w:val="21"/>
          <w:highlight w:val="none"/>
        </w:rPr>
        <w:t>_工程，为</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rPr>
        <w:t>年；</w:t>
      </w:r>
    </w:p>
    <w:p>
      <w:pPr>
        <w:widowControl/>
        <w:adjustRightInd w:val="0"/>
        <w:snapToGrid w:val="0"/>
        <w:spacing w:line="360" w:lineRule="auto"/>
        <w:ind w:left="420" w:leftChars="200" w:firstLine="58" w:firstLineChars="28"/>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 __</w:t>
      </w:r>
      <w:r>
        <w:rPr>
          <w:rFonts w:hint="eastAsia" w:ascii="宋体" w:hAnsi="宋体" w:cs="宋体"/>
          <w:color w:val="auto"/>
          <w:kern w:val="0"/>
          <w:position w:val="6"/>
          <w:szCs w:val="21"/>
          <w:highlight w:val="none"/>
          <w:lang w:eastAsia="zh-CN"/>
        </w:rPr>
        <w:t>（</w:t>
      </w:r>
      <w:r>
        <w:rPr>
          <w:rFonts w:hint="eastAsia" w:ascii="宋体" w:hAnsi="宋体" w:cs="宋体"/>
          <w:color w:val="auto"/>
          <w:kern w:val="0"/>
          <w:position w:val="6"/>
          <w:szCs w:val="21"/>
          <w:highlight w:val="none"/>
          <w:lang w:val="en-US" w:eastAsia="zh-CN"/>
        </w:rPr>
        <w:t>签订合同时约定</w:t>
      </w:r>
      <w:r>
        <w:rPr>
          <w:rFonts w:hint="eastAsia" w:ascii="宋体" w:hAnsi="宋体" w:cs="宋体"/>
          <w:color w:val="auto"/>
          <w:kern w:val="0"/>
          <w:position w:val="6"/>
          <w:szCs w:val="21"/>
          <w:highlight w:val="none"/>
          <w:lang w:eastAsia="zh-CN"/>
        </w:rPr>
        <w:t>）</w:t>
      </w:r>
      <w:r>
        <w:rPr>
          <w:rFonts w:hint="eastAsia" w:ascii="宋体" w:hAnsi="宋体" w:cs="宋体"/>
          <w:color w:val="auto"/>
          <w:kern w:val="0"/>
          <w:position w:val="6"/>
          <w:szCs w:val="21"/>
          <w:highlight w:val="none"/>
        </w:rPr>
        <w:t>工程，为</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rPr>
        <w:t>年；</w:t>
      </w:r>
    </w:p>
    <w:p>
      <w:pPr>
        <w:adjustRightInd w:val="0"/>
        <w:snapToGrid w:val="0"/>
        <w:spacing w:line="360" w:lineRule="auto"/>
        <w:ind w:left="359" w:leftChars="171" w:firstLine="105" w:firstLineChars="50"/>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 _</w:t>
      </w:r>
      <w:r>
        <w:rPr>
          <w:rFonts w:hint="eastAsia" w:ascii="宋体" w:hAnsi="宋体" w:cs="宋体"/>
          <w:color w:val="auto"/>
          <w:kern w:val="0"/>
          <w:position w:val="6"/>
          <w:szCs w:val="21"/>
          <w:highlight w:val="none"/>
          <w:lang w:eastAsia="zh-CN"/>
        </w:rPr>
        <w:t>（</w:t>
      </w:r>
      <w:r>
        <w:rPr>
          <w:rFonts w:hint="eastAsia" w:ascii="宋体" w:hAnsi="宋体" w:cs="宋体"/>
          <w:color w:val="auto"/>
          <w:kern w:val="0"/>
          <w:position w:val="6"/>
          <w:szCs w:val="21"/>
          <w:highlight w:val="none"/>
          <w:lang w:val="en-US" w:eastAsia="zh-CN"/>
        </w:rPr>
        <w:t>签订合同时约定</w:t>
      </w:r>
      <w:r>
        <w:rPr>
          <w:rFonts w:hint="eastAsia" w:ascii="宋体" w:hAnsi="宋体" w:cs="宋体"/>
          <w:color w:val="auto"/>
          <w:kern w:val="0"/>
          <w:position w:val="6"/>
          <w:szCs w:val="21"/>
          <w:highlight w:val="none"/>
          <w:lang w:eastAsia="zh-CN"/>
        </w:rPr>
        <w:t>）</w:t>
      </w:r>
      <w:r>
        <w:rPr>
          <w:rFonts w:hint="eastAsia" w:ascii="宋体" w:hAnsi="宋体" w:cs="宋体"/>
          <w:color w:val="auto"/>
          <w:kern w:val="0"/>
          <w:position w:val="6"/>
          <w:szCs w:val="21"/>
          <w:highlight w:val="none"/>
        </w:rPr>
        <w:t xml:space="preserve">_工程，为 </w:t>
      </w:r>
      <w:r>
        <w:rPr>
          <w:rFonts w:hint="eastAsia" w:ascii="宋体" w:hAnsi="宋体" w:cs="宋体"/>
          <w:color w:val="auto"/>
          <w:kern w:val="0"/>
          <w:position w:val="6"/>
          <w:szCs w:val="21"/>
          <w:highlight w:val="none"/>
          <w:u w:val="single"/>
        </w:rPr>
        <w:t xml:space="preserve">     </w:t>
      </w:r>
      <w:r>
        <w:rPr>
          <w:rFonts w:hint="eastAsia" w:ascii="宋体" w:hAnsi="宋体" w:cs="宋体"/>
          <w:color w:val="auto"/>
          <w:kern w:val="0"/>
          <w:position w:val="6"/>
          <w:szCs w:val="21"/>
          <w:highlight w:val="none"/>
        </w:rPr>
        <w:t>年；</w:t>
      </w:r>
      <w:r>
        <w:rPr>
          <w:rFonts w:hint="eastAsia" w:ascii="宋体" w:hAnsi="宋体" w:cs="宋体"/>
          <w:color w:val="auto"/>
          <w:kern w:val="0"/>
          <w:position w:val="6"/>
          <w:szCs w:val="21"/>
          <w:highlight w:val="none"/>
        </w:rPr>
        <w:br w:type="textWrapping"/>
      </w:r>
      <w:r>
        <w:rPr>
          <w:rFonts w:hint="eastAsia" w:ascii="宋体" w:hAnsi="宋体" w:cs="宋体"/>
          <w:color w:val="auto"/>
          <w:kern w:val="0"/>
          <w:position w:val="6"/>
          <w:szCs w:val="21"/>
          <w:highlight w:val="none"/>
        </w:rPr>
        <w:t>质量保修期自工程竣工验收合格之日起计算。</w:t>
      </w:r>
    </w:p>
    <w:p>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三、缺陷责任期</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工程缺陷责任期为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24个月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，缺陷责任期自工程竣工验收合格之日起计算。单位工程先于全部工程进行验收，单位工程缺陷责任期自单位工程验收合格之日起算。</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缺陷责任期终止后，发包人应退还剩余的质量保证金。</w:t>
      </w:r>
    </w:p>
    <w:p>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color w:val="auto"/>
          <w:szCs w:val="21"/>
          <w:highlight w:val="none"/>
        </w:rPr>
        <w:t>四、质量保修责任</w:t>
      </w:r>
    </w:p>
    <w:p>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1. 属于保修范围、内容的项目，承包人应当在接到保修通知之日起7天内派人保修。承包人不在约定期限内派人保修的，发包人可以委托他人修理。</w:t>
      </w:r>
    </w:p>
    <w:p>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2. 发生紧急抢修事故的，承包人在接到事故通知后，应当立即到达事故现场抢修。</w:t>
      </w:r>
    </w:p>
    <w:p>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3. 对于涉及结构安全的质量问题，应当立即向当地建设行政主管部门报告，采取安全防范措施；由原设计单位或者具有相应资质等级的设计单位提出保修方案，承包人实施保修。</w:t>
      </w:r>
    </w:p>
    <w:p>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4. 质量保修完成后，由发包人组织验收。</w:t>
      </w:r>
    </w:p>
    <w:p>
      <w:pPr>
        <w:widowControl/>
        <w:adjustRightInd w:val="0"/>
        <w:snapToGrid w:val="0"/>
        <w:spacing w:line="360" w:lineRule="auto"/>
        <w:ind w:firstLine="422" w:firstLineChars="200"/>
        <w:jc w:val="left"/>
        <w:rPr>
          <w:rFonts w:hint="eastAsia" w:ascii="宋体" w:hAnsi="宋体" w:cs="宋体"/>
          <w:b/>
          <w:bCs/>
          <w:color w:val="auto"/>
          <w:kern w:val="0"/>
          <w:position w:val="6"/>
          <w:szCs w:val="21"/>
          <w:highlight w:val="none"/>
        </w:rPr>
      </w:pPr>
      <w:r>
        <w:rPr>
          <w:rFonts w:hint="eastAsia" w:ascii="宋体" w:hAnsi="宋体" w:cs="宋体"/>
          <w:b/>
          <w:bCs/>
          <w:color w:val="auto"/>
          <w:kern w:val="0"/>
          <w:position w:val="6"/>
          <w:szCs w:val="21"/>
          <w:highlight w:val="none"/>
        </w:rPr>
        <w:t>五、保修费用</w:t>
      </w:r>
    </w:p>
    <w:p>
      <w:pPr>
        <w:widowControl/>
        <w:adjustRightInd w:val="0"/>
        <w:snapToGrid w:val="0"/>
        <w:spacing w:line="360" w:lineRule="auto"/>
        <w:ind w:firstLine="420" w:firstLineChars="200"/>
        <w:jc w:val="left"/>
        <w:rPr>
          <w:rFonts w:hint="eastAsia" w:ascii="宋体" w:hAnsi="宋体" w:cs="宋体"/>
          <w:color w:val="auto"/>
          <w:kern w:val="0"/>
          <w:position w:val="6"/>
          <w:szCs w:val="21"/>
          <w:highlight w:val="none"/>
        </w:rPr>
      </w:pPr>
      <w:r>
        <w:rPr>
          <w:rFonts w:hint="eastAsia" w:ascii="宋体" w:hAnsi="宋体" w:cs="宋体"/>
          <w:color w:val="auto"/>
          <w:kern w:val="0"/>
          <w:position w:val="6"/>
          <w:szCs w:val="21"/>
          <w:highlight w:val="none"/>
        </w:rPr>
        <w:t>保修费用由造成质量缺陷的责任方承担。</w:t>
      </w:r>
    </w:p>
    <w:p>
      <w:pPr>
        <w:widowControl/>
        <w:adjustRightInd w:val="0"/>
        <w:snapToGrid w:val="0"/>
        <w:spacing w:line="360" w:lineRule="auto"/>
        <w:ind w:firstLine="422" w:firstLineChars="200"/>
        <w:jc w:val="left"/>
        <w:rPr>
          <w:rFonts w:hint="eastAsia" w:ascii="宋体" w:hAnsi="宋体" w:cs="宋体"/>
          <w:b/>
          <w:color w:val="auto"/>
          <w:szCs w:val="21"/>
          <w:highlight w:val="none"/>
        </w:rPr>
      </w:pPr>
      <w:r>
        <w:rPr>
          <w:rFonts w:hint="eastAsia" w:ascii="宋体" w:hAnsi="宋体" w:cs="宋体"/>
          <w:b/>
          <w:bCs/>
          <w:color w:val="auto"/>
          <w:kern w:val="0"/>
          <w:position w:val="6"/>
          <w:szCs w:val="21"/>
          <w:highlight w:val="none"/>
        </w:rPr>
        <w:t>六、双方约定的其他工程质量保修事项：</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w:t>
      </w:r>
    </w:p>
    <w:p>
      <w:pPr>
        <w:widowControl/>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position w:val="6"/>
          <w:szCs w:val="21"/>
          <w:highlight w:val="none"/>
        </w:rPr>
        <w:t>本工程质量保修书，由施工合同发包人、承包人双方在竣工验收前共同签署，作为施工合同附件，其有效期限至保修期满。</w:t>
      </w:r>
    </w:p>
    <w:p>
      <w:pPr>
        <w:adjustRightInd w:val="0"/>
        <w:snapToGrid w:val="0"/>
        <w:spacing w:line="360" w:lineRule="auto"/>
        <w:ind w:firstLine="420"/>
        <w:rPr>
          <w:rFonts w:hint="eastAsia" w:ascii="宋体" w:hAnsi="宋体" w:cs="宋体"/>
          <w:color w:val="auto"/>
          <w:szCs w:val="21"/>
          <w:highlight w:val="none"/>
        </w:rPr>
      </w:pPr>
    </w:p>
    <w:p>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发包人(公章)：</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承包人(公章)：</w:t>
      </w:r>
      <w:r>
        <w:rPr>
          <w:rFonts w:hint="eastAsia" w:ascii="宋体" w:hAnsi="宋体" w:cs="宋体"/>
          <w:color w:val="auto"/>
          <w:szCs w:val="21"/>
          <w:highlight w:val="none"/>
          <w:u w:val="single"/>
        </w:rPr>
        <w:t xml:space="preserve">           </w:t>
      </w:r>
    </w:p>
    <w:p>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地  址：</w:t>
      </w:r>
      <w:r>
        <w:rPr>
          <w:rFonts w:hint="eastAsia" w:ascii="宋体" w:hAnsi="宋体" w:cs="宋体"/>
          <w:color w:val="auto"/>
          <w:szCs w:val="21"/>
          <w:highlight w:val="none"/>
          <w:u w:val="single"/>
        </w:rPr>
        <w:t xml:space="preserve">                  </w:t>
      </w:r>
    </w:p>
    <w:p>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法定代表人(签字)：</w:t>
      </w:r>
      <w:r>
        <w:rPr>
          <w:rFonts w:hint="eastAsia" w:ascii="宋体" w:hAnsi="宋体" w:cs="宋体"/>
          <w:color w:val="auto"/>
          <w:szCs w:val="21"/>
          <w:highlight w:val="none"/>
          <w:u w:val="single"/>
        </w:rPr>
        <w:t xml:space="preserve">           </w:t>
      </w:r>
    </w:p>
    <w:p>
      <w:pPr>
        <w:adjustRightInd w:val="0"/>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委托代理人(签字)：</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委托代理人(签字)：</w:t>
      </w:r>
      <w:r>
        <w:rPr>
          <w:rFonts w:hint="eastAsia" w:ascii="宋体" w:hAnsi="宋体" w:cs="宋体"/>
          <w:color w:val="auto"/>
          <w:szCs w:val="21"/>
          <w:highlight w:val="none"/>
          <w:u w:val="single"/>
        </w:rPr>
        <w:t xml:space="preserve">            </w:t>
      </w:r>
    </w:p>
    <w:p>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 xml:space="preserve">                     </w:t>
      </w:r>
    </w:p>
    <w:p>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  真：</w:t>
      </w:r>
      <w:r>
        <w:rPr>
          <w:rFonts w:hint="eastAsia" w:ascii="宋体" w:hAnsi="宋体" w:cs="宋体"/>
          <w:color w:val="auto"/>
          <w:szCs w:val="21"/>
          <w:highlight w:val="none"/>
          <w:u w:val="single"/>
        </w:rPr>
        <w:t xml:space="preserve">                   </w:t>
      </w:r>
    </w:p>
    <w:p>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开户银行：</w:t>
      </w:r>
      <w:r>
        <w:rPr>
          <w:rFonts w:hint="eastAsia" w:ascii="宋体" w:hAnsi="宋体" w:cs="宋体"/>
          <w:color w:val="auto"/>
          <w:szCs w:val="21"/>
          <w:highlight w:val="none"/>
          <w:u w:val="single"/>
        </w:rPr>
        <w:t xml:space="preserve">                   </w:t>
      </w:r>
    </w:p>
    <w:p>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账  号：</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 xml:space="preserve">                      账  号：</w:t>
      </w:r>
      <w:r>
        <w:rPr>
          <w:rFonts w:hint="eastAsia" w:ascii="宋体" w:hAnsi="宋体" w:cs="宋体"/>
          <w:color w:val="auto"/>
          <w:szCs w:val="21"/>
          <w:highlight w:val="none"/>
          <w:u w:val="single"/>
        </w:rPr>
        <w:t xml:space="preserve">                     </w:t>
      </w:r>
    </w:p>
    <w:p>
      <w:pPr>
        <w:rPr>
          <w:color w:val="auto"/>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邮政编码：</w:t>
      </w:r>
      <w:r>
        <w:rPr>
          <w:rFonts w:hint="eastAsia" w:ascii="宋体" w:hAnsi="宋体" w:cs="宋体"/>
          <w:color w:val="auto"/>
          <w:szCs w:val="21"/>
          <w:highlight w:val="none"/>
          <w:u w:val="single"/>
        </w:rPr>
        <w:t xml:space="preserve">                   </w:t>
      </w:r>
    </w:p>
    <w:p>
      <w:pPr>
        <w:rPr>
          <w:rFonts w:hint="eastAsia" w:ascii="宋体" w:hAnsi="宋体" w:cs="宋体"/>
          <w:bCs/>
          <w:color w:val="auto"/>
          <w:sz w:val="24"/>
          <w:highlight w:val="none"/>
        </w:rPr>
      </w:pPr>
      <w:r>
        <w:rPr>
          <w:rFonts w:hint="eastAsia" w:ascii="宋体" w:hAnsi="宋体" w:cs="宋体"/>
          <w:bCs/>
          <w:color w:val="auto"/>
          <w:sz w:val="24"/>
          <w:highlight w:val="none"/>
        </w:rPr>
        <w:br w:type="page"/>
      </w:r>
    </w:p>
    <w:p>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：主要建设工程文件目录</w:t>
      </w:r>
      <w:bookmarkEnd w:id="919"/>
    </w:p>
    <w:p>
      <w:pPr>
        <w:spacing w:before="120" w:beforeLines="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主要建设工程文件目录</w:t>
      </w:r>
    </w:p>
    <w:tbl>
      <w:tblPr>
        <w:tblStyle w:val="4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953" w:type="dxa"/>
            <w:tcBorders>
              <w:top w:val="single" w:color="auto" w:sz="12" w:space="0"/>
              <w:bottom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文件名称</w:t>
            </w:r>
          </w:p>
        </w:tc>
        <w:tc>
          <w:tcPr>
            <w:tcW w:w="1276" w:type="dxa"/>
            <w:tcBorders>
              <w:top w:val="single" w:color="auto" w:sz="12" w:space="0"/>
              <w:bottom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套数</w:t>
            </w:r>
          </w:p>
        </w:tc>
        <w:tc>
          <w:tcPr>
            <w:tcW w:w="1450" w:type="dxa"/>
            <w:tcBorders>
              <w:top w:val="single" w:color="auto" w:sz="12" w:space="0"/>
              <w:bottom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费用（元）</w:t>
            </w:r>
          </w:p>
        </w:tc>
        <w:tc>
          <w:tcPr>
            <w:tcW w:w="1243" w:type="dxa"/>
            <w:tcBorders>
              <w:top w:val="single" w:color="auto" w:sz="12" w:space="0"/>
              <w:bottom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质量</w:t>
            </w:r>
          </w:p>
        </w:tc>
        <w:tc>
          <w:tcPr>
            <w:tcW w:w="1450" w:type="dxa"/>
            <w:tcBorders>
              <w:top w:val="single" w:color="auto" w:sz="12" w:space="0"/>
              <w:bottom w:val="double" w:color="auto" w:sz="6"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移交时间</w:t>
            </w:r>
          </w:p>
        </w:tc>
        <w:tc>
          <w:tcPr>
            <w:tcW w:w="1667" w:type="dxa"/>
            <w:tcBorders>
              <w:top w:val="single" w:color="auto" w:sz="12" w:space="0"/>
              <w:bottom w:val="double" w:color="auto" w:sz="6"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tcBorders>
              <w:top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tcBorders>
              <w:top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top w:val="nil"/>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top w:val="nil"/>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nil"/>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tcBorders>
              <w:top w:val="nil"/>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top w:val="nil"/>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tcBorders>
              <w:top w:val="nil"/>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953" w:type="dxa"/>
            <w:tcBorders>
              <w:bottom w:val="single" w:color="auto" w:sz="12"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76" w:type="dxa"/>
            <w:tcBorders>
              <w:bottom w:val="single" w:color="auto" w:sz="12"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bottom w:val="single" w:color="auto" w:sz="12"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243" w:type="dxa"/>
            <w:tcBorders>
              <w:bottom w:val="single" w:color="auto" w:sz="12"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50" w:type="dxa"/>
            <w:tcBorders>
              <w:bottom w:val="single" w:color="auto" w:sz="12"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667" w:type="dxa"/>
            <w:tcBorders>
              <w:bottom w:val="single" w:color="auto" w:sz="12"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bl>
    <w:p>
      <w:pPr>
        <w:rPr>
          <w:rFonts w:hint="eastAsia" w:ascii="宋体" w:hAnsi="宋体" w:cs="宋体"/>
          <w:color w:val="auto"/>
          <w:szCs w:val="21"/>
          <w:highlight w:val="none"/>
        </w:rPr>
      </w:pPr>
    </w:p>
    <w:p>
      <w:pPr>
        <w:keepNext/>
        <w:keepLines/>
        <w:spacing w:before="120" w:after="120" w:line="360" w:lineRule="auto"/>
        <w:jc w:val="left"/>
        <w:outlineLvl w:val="2"/>
        <w:rPr>
          <w:rFonts w:hint="eastAsia" w:ascii="宋体" w:hAnsi="宋体" w:cs="宋体"/>
          <w:bCs/>
          <w:color w:val="auto"/>
          <w:sz w:val="24"/>
          <w:highlight w:val="none"/>
        </w:rPr>
      </w:pPr>
      <w:bookmarkStart w:id="927" w:name="_Toc95223491"/>
      <w:r>
        <w:rPr>
          <w:rFonts w:hint="eastAsia" w:ascii="宋体" w:hAnsi="宋体" w:cs="宋体"/>
          <w:bCs/>
          <w:color w:val="auto"/>
          <w:sz w:val="24"/>
          <w:highlight w:val="none"/>
        </w:rPr>
        <w:t>附</w:t>
      </w:r>
      <w:bookmarkStart w:id="928" w:name="_Toc296891267"/>
      <w:bookmarkStart w:id="929" w:name="_Toc296503227"/>
      <w:bookmarkStart w:id="930" w:name="_Toc296944566"/>
      <w:bookmarkStart w:id="931" w:name="_Toc296346728"/>
      <w:bookmarkStart w:id="932" w:name="_Toc296891055"/>
      <w:bookmarkStart w:id="933" w:name="_Toc267261698"/>
      <w:bookmarkStart w:id="934" w:name="_Toc296347226"/>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：承包人用于本工程施工的机械设备表</w:t>
      </w:r>
      <w:bookmarkEnd w:id="927"/>
    </w:p>
    <w:bookmarkEnd w:id="928"/>
    <w:bookmarkEnd w:id="929"/>
    <w:bookmarkEnd w:id="930"/>
    <w:bookmarkEnd w:id="931"/>
    <w:bookmarkEnd w:id="932"/>
    <w:bookmarkEnd w:id="933"/>
    <w:bookmarkEnd w:id="934"/>
    <w:p>
      <w:pPr>
        <w:spacing w:before="120" w:beforeLines="50" w:after="120" w:afterLines="50"/>
        <w:jc w:val="center"/>
        <w:rPr>
          <w:rFonts w:hint="eastAsia" w:ascii="宋体" w:hAnsi="宋体" w:cs="宋体"/>
          <w:color w:val="auto"/>
          <w:szCs w:val="21"/>
          <w:highlight w:val="none"/>
        </w:rPr>
      </w:pPr>
      <w:r>
        <w:rPr>
          <w:rFonts w:hint="eastAsia" w:ascii="宋体" w:hAnsi="宋体" w:cs="宋体"/>
          <w:color w:val="auto"/>
          <w:szCs w:val="21"/>
          <w:highlight w:val="none"/>
        </w:rPr>
        <w:t>承包人用于本工程施工的机械设备表</w:t>
      </w:r>
    </w:p>
    <w:tbl>
      <w:tblPr>
        <w:tblStyle w:val="46"/>
        <w:tblW w:w="89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418"/>
        <w:gridCol w:w="850"/>
        <w:gridCol w:w="709"/>
        <w:gridCol w:w="850"/>
        <w:gridCol w:w="963"/>
        <w:gridCol w:w="1480"/>
        <w:gridCol w:w="1020"/>
        <w:gridCol w:w="93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737" w:type="dxa"/>
            <w:tcBorders>
              <w:top w:val="single" w:color="auto" w:sz="12" w:space="0"/>
              <w:bottom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418" w:type="dxa"/>
            <w:tcBorders>
              <w:top w:val="single" w:color="auto" w:sz="12" w:space="0"/>
              <w:bottom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机械或设备名称</w:t>
            </w:r>
          </w:p>
        </w:tc>
        <w:tc>
          <w:tcPr>
            <w:tcW w:w="850" w:type="dxa"/>
            <w:tcBorders>
              <w:top w:val="single" w:color="auto" w:sz="12" w:space="0"/>
              <w:bottom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规格型号</w:t>
            </w:r>
          </w:p>
        </w:tc>
        <w:tc>
          <w:tcPr>
            <w:tcW w:w="709" w:type="dxa"/>
            <w:tcBorders>
              <w:top w:val="single" w:color="auto" w:sz="12" w:space="0"/>
              <w:bottom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850" w:type="dxa"/>
            <w:tcBorders>
              <w:top w:val="single" w:color="auto" w:sz="12" w:space="0"/>
              <w:bottom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产地</w:t>
            </w:r>
          </w:p>
        </w:tc>
        <w:tc>
          <w:tcPr>
            <w:tcW w:w="963" w:type="dxa"/>
            <w:tcBorders>
              <w:top w:val="single" w:color="auto" w:sz="12" w:space="0"/>
              <w:bottom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制造年份</w:t>
            </w:r>
          </w:p>
        </w:tc>
        <w:tc>
          <w:tcPr>
            <w:tcW w:w="1480" w:type="dxa"/>
            <w:tcBorders>
              <w:top w:val="single" w:color="auto" w:sz="12" w:space="0"/>
              <w:bottom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额定功率(kW)</w:t>
            </w:r>
          </w:p>
        </w:tc>
        <w:tc>
          <w:tcPr>
            <w:tcW w:w="1020" w:type="dxa"/>
            <w:tcBorders>
              <w:top w:val="single" w:color="auto" w:sz="12" w:space="0"/>
              <w:bottom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生产能力</w:t>
            </w:r>
          </w:p>
        </w:tc>
        <w:tc>
          <w:tcPr>
            <w:tcW w:w="932" w:type="dxa"/>
            <w:tcBorders>
              <w:top w:val="single" w:color="auto" w:sz="12" w:space="0"/>
              <w:bottom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tcBorders>
              <w:top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tcBorders>
              <w:top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tcBorders>
              <w:top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tcBorders>
              <w:top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tcBorders>
              <w:top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tcBorders>
              <w:top w:val="double" w:color="auto" w:sz="6" w:space="0"/>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top w:val="nil"/>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tcBorders>
              <w:top w:val="nil"/>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nil"/>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tcBorders>
              <w:top w:val="nil"/>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top w:val="nil"/>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tcBorders>
              <w:top w:val="nil"/>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tcBorders>
              <w:top w:val="nil"/>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tcBorders>
              <w:top w:val="nil"/>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tcBorders>
              <w:top w:val="nil"/>
            </w:tcBorders>
            <w:noWrap w:val="0"/>
            <w:vAlign w:val="center"/>
          </w:tcPr>
          <w:p>
            <w:pPr>
              <w:keepNext/>
              <w:keepLines w:val="0"/>
              <w:suppressLineNumbers w:val="0"/>
              <w:spacing w:before="0" w:beforeAutospacing="0" w:after="0" w:afterAutospacing="0"/>
              <w:ind w:left="0" w:right="0"/>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737" w:type="dxa"/>
            <w:tcBorders>
              <w:bottom w:val="single" w:color="auto" w:sz="12"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bottom w:val="single" w:color="auto" w:sz="12"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709" w:type="dxa"/>
            <w:tcBorders>
              <w:bottom w:val="single" w:color="auto" w:sz="12"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850" w:type="dxa"/>
            <w:tcBorders>
              <w:bottom w:val="single" w:color="auto" w:sz="12"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63" w:type="dxa"/>
            <w:tcBorders>
              <w:bottom w:val="single" w:color="auto" w:sz="12"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480" w:type="dxa"/>
            <w:tcBorders>
              <w:bottom w:val="single" w:color="auto" w:sz="12"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1020" w:type="dxa"/>
            <w:tcBorders>
              <w:bottom w:val="single" w:color="auto" w:sz="12"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c>
          <w:tcPr>
            <w:tcW w:w="932" w:type="dxa"/>
            <w:tcBorders>
              <w:bottom w:val="single" w:color="auto" w:sz="12" w:space="0"/>
            </w:tcBorders>
            <w:noWrap w:val="0"/>
            <w:vAlign w:val="top"/>
          </w:tcPr>
          <w:p>
            <w:pPr>
              <w:keepNext w:val="0"/>
              <w:keepLines w:val="0"/>
              <w:suppressLineNumbers w:val="0"/>
              <w:spacing w:before="0" w:beforeAutospacing="0" w:after="0" w:afterAutospacing="0"/>
              <w:ind w:left="0" w:right="0"/>
              <w:rPr>
                <w:rFonts w:hint="eastAsia" w:ascii="宋体" w:hAnsi="宋体" w:cs="宋体"/>
                <w:color w:val="auto"/>
                <w:szCs w:val="21"/>
                <w:highlight w:val="none"/>
              </w:rPr>
            </w:pPr>
          </w:p>
        </w:tc>
      </w:tr>
    </w:tbl>
    <w:p>
      <w:pPr>
        <w:rPr>
          <w:rFonts w:hint="eastAsia" w:ascii="宋体" w:hAnsi="宋体" w:cs="宋体"/>
          <w:color w:val="auto"/>
          <w:szCs w:val="21"/>
          <w:highlight w:val="none"/>
        </w:rPr>
      </w:pPr>
    </w:p>
    <w:p>
      <w:pPr>
        <w:widowControl/>
        <w:spacing w:line="360" w:lineRule="auto"/>
        <w:jc w:val="center"/>
        <w:rPr>
          <w:rFonts w:hint="eastAsia" w:ascii="宋体" w:hAnsi="宋体" w:cs="宋体"/>
          <w:color w:val="auto"/>
          <w:sz w:val="24"/>
          <w:highlight w:val="none"/>
        </w:rPr>
      </w:pPr>
      <w:r>
        <w:rPr>
          <w:rFonts w:hint="eastAsia" w:ascii="宋体" w:hAnsi="宋体" w:cs="宋体"/>
          <w:color w:val="auto"/>
          <w:szCs w:val="21"/>
          <w:highlight w:val="none"/>
        </w:rPr>
        <w:br w:type="page"/>
      </w:r>
    </w:p>
    <w:p>
      <w:pPr>
        <w:keepNext/>
        <w:keepLines/>
        <w:spacing w:before="120" w:after="120" w:line="360" w:lineRule="auto"/>
        <w:jc w:val="left"/>
        <w:outlineLvl w:val="2"/>
        <w:rPr>
          <w:rFonts w:hint="eastAsia" w:ascii="宋体" w:hAnsi="宋体" w:cs="宋体"/>
          <w:bCs/>
          <w:color w:val="auto"/>
          <w:sz w:val="24"/>
          <w:highlight w:val="none"/>
        </w:rPr>
      </w:pPr>
      <w:bookmarkStart w:id="935" w:name="_Toc95223492"/>
      <w:r>
        <w:rPr>
          <w:rFonts w:hint="eastAsia" w:ascii="宋体" w:hAnsi="宋体" w:cs="宋体"/>
          <w:bCs/>
          <w:color w:val="auto"/>
          <w:sz w:val="24"/>
          <w:highlight w:val="none"/>
        </w:rPr>
        <w:t>附</w:t>
      </w:r>
      <w:bookmarkStart w:id="936" w:name="_Toc267261699"/>
      <w:bookmarkStart w:id="937" w:name="_Toc296891056"/>
      <w:bookmarkStart w:id="938" w:name="_Toc296503228"/>
      <w:bookmarkStart w:id="939" w:name="_Toc296347227"/>
      <w:bookmarkStart w:id="940" w:name="_Toc296346729"/>
      <w:bookmarkStart w:id="941" w:name="_Toc296891268"/>
      <w:bookmarkStart w:id="942" w:name="_Toc296944567"/>
      <w:r>
        <w:rPr>
          <w:rFonts w:hint="eastAsia" w:ascii="宋体" w:hAnsi="宋体" w:cs="宋体"/>
          <w:bCs/>
          <w:color w:val="auto"/>
          <w:sz w:val="24"/>
          <w:highlight w:val="none"/>
        </w:rPr>
        <w:t>件</w:t>
      </w:r>
      <w:bookmarkEnd w:id="936"/>
      <w:bookmarkEnd w:id="937"/>
      <w:bookmarkEnd w:id="938"/>
      <w:bookmarkEnd w:id="939"/>
      <w:bookmarkEnd w:id="940"/>
      <w:bookmarkEnd w:id="941"/>
      <w:bookmarkEnd w:id="942"/>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：承包人主要施工管理人员表</w:t>
      </w:r>
      <w:bookmarkEnd w:id="935"/>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承包人主要施工管理人员表</w:t>
      </w:r>
    </w:p>
    <w:tbl>
      <w:tblPr>
        <w:tblStyle w:val="46"/>
        <w:tblW w:w="511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729"/>
        <w:gridCol w:w="1156"/>
        <w:gridCol w:w="926"/>
        <w:gridCol w:w="926"/>
        <w:gridCol w:w="2358"/>
        <w:gridCol w:w="21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single" w:color="auto" w:sz="12" w:space="0"/>
              <w:bottom w:val="double" w:color="auto" w:sz="6" w:space="0"/>
            </w:tcBorders>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名    称</w:t>
            </w:r>
          </w:p>
        </w:tc>
        <w:tc>
          <w:tcPr>
            <w:tcW w:w="627" w:type="pct"/>
            <w:tcBorders>
              <w:top w:val="single" w:color="auto" w:sz="12" w:space="0"/>
              <w:bottom w:val="double" w:color="auto" w:sz="6" w:space="0"/>
            </w:tcBorders>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502" w:type="pct"/>
            <w:tcBorders>
              <w:top w:val="single" w:color="auto" w:sz="12" w:space="0"/>
              <w:bottom w:val="double" w:color="auto" w:sz="6" w:space="0"/>
            </w:tcBorders>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502" w:type="pct"/>
            <w:tcBorders>
              <w:top w:val="single" w:color="auto" w:sz="12" w:space="0"/>
              <w:bottom w:val="double" w:color="auto" w:sz="6" w:space="0"/>
            </w:tcBorders>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职称</w:t>
            </w:r>
          </w:p>
        </w:tc>
        <w:tc>
          <w:tcPr>
            <w:tcW w:w="1279" w:type="pct"/>
            <w:tcBorders>
              <w:top w:val="single" w:color="auto" w:sz="12" w:space="0"/>
              <w:bottom w:val="double" w:color="auto" w:sz="6" w:space="0"/>
            </w:tcBorders>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主要资历、经验及承担过的项目</w:t>
            </w:r>
          </w:p>
        </w:tc>
        <w:tc>
          <w:tcPr>
            <w:tcW w:w="1153" w:type="pct"/>
            <w:tcBorders>
              <w:top w:val="single" w:color="auto" w:sz="12" w:space="0"/>
              <w:bottom w:val="double" w:color="auto" w:sz="6" w:space="0"/>
            </w:tcBorders>
            <w:noWrap w:val="0"/>
            <w:vAlign w:val="top"/>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tcBorders>
              <w:top w:val="double" w:color="auto" w:sz="6" w:space="0"/>
            </w:tcBorders>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一、总部人员</w:t>
            </w:r>
          </w:p>
        </w:tc>
        <w:tc>
          <w:tcPr>
            <w:tcW w:w="1153" w:type="pct"/>
            <w:tcBorders>
              <w:top w:val="double" w:color="auto" w:sz="6" w:space="0"/>
            </w:tcBorders>
            <w:noWrap w:val="0"/>
            <w:vAlign w:val="top"/>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项目主管</w:t>
            </w:r>
          </w:p>
        </w:tc>
        <w:tc>
          <w:tcPr>
            <w:tcW w:w="627" w:type="pct"/>
            <w:tcBorders>
              <w:top w:val="nil"/>
            </w:tcBorders>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top w:val="nil"/>
            </w:tcBorders>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top w:val="nil"/>
            </w:tcBorders>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tcBorders>
              <w:top w:val="nil"/>
            </w:tcBorders>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tcBorders>
              <w:top w:val="nil"/>
            </w:tcBorders>
            <w:noWrap w:val="0"/>
            <w:vAlign w:val="top"/>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bottom w:val="nil"/>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27"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tcBorders>
              <w:top w:val="nil"/>
              <w:bottom w:val="nil"/>
            </w:tcBorders>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847" w:type="pct"/>
            <w:gridSpan w:val="5"/>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二、现场人员</w:t>
            </w:r>
          </w:p>
        </w:tc>
        <w:tc>
          <w:tcPr>
            <w:tcW w:w="1153" w:type="pct"/>
            <w:noWrap w:val="0"/>
            <w:vAlign w:val="top"/>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627"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项目副经理</w:t>
            </w:r>
          </w:p>
        </w:tc>
        <w:tc>
          <w:tcPr>
            <w:tcW w:w="627"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项目技术负责人</w:t>
            </w:r>
          </w:p>
        </w:tc>
        <w:tc>
          <w:tcPr>
            <w:tcW w:w="627"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施工员</w:t>
            </w:r>
          </w:p>
        </w:tc>
        <w:tc>
          <w:tcPr>
            <w:tcW w:w="627"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质检员（质量员）</w:t>
            </w:r>
          </w:p>
        </w:tc>
        <w:tc>
          <w:tcPr>
            <w:tcW w:w="627"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安全员</w:t>
            </w:r>
          </w:p>
        </w:tc>
        <w:tc>
          <w:tcPr>
            <w:tcW w:w="627"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资料员</w:t>
            </w:r>
          </w:p>
        </w:tc>
        <w:tc>
          <w:tcPr>
            <w:tcW w:w="627"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restart"/>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r>
              <w:rPr>
                <w:rFonts w:hint="eastAsia" w:ascii="宋体" w:hAnsi="宋体" w:cs="宋体"/>
                <w:color w:val="auto"/>
                <w:szCs w:val="21"/>
                <w:highlight w:val="none"/>
              </w:rPr>
              <w:t>其他人员</w:t>
            </w:r>
          </w:p>
        </w:tc>
        <w:tc>
          <w:tcPr>
            <w:tcW w:w="627"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tcBorders>
              <w:bottom w:val="nil"/>
            </w:tcBorders>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nil"/>
            </w:tcBorders>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nil"/>
            </w:tcBorders>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tcBorders>
              <w:bottom w:val="nil"/>
            </w:tcBorders>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tcBorders>
              <w:bottom w:val="nil"/>
            </w:tcBorders>
            <w:noWrap w:val="0"/>
            <w:vAlign w:val="top"/>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noWrap w:val="0"/>
            <w:vAlign w:val="top"/>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38" w:type="pct"/>
            <w:vMerge w:val="continue"/>
            <w:tcBorders>
              <w:bottom w:val="single" w:color="auto" w:sz="12" w:space="0"/>
            </w:tcBorders>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627" w:type="pct"/>
            <w:tcBorders>
              <w:bottom w:val="single" w:color="auto" w:sz="12" w:space="0"/>
            </w:tcBorders>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single" w:color="auto" w:sz="12" w:space="0"/>
            </w:tcBorders>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502" w:type="pct"/>
            <w:tcBorders>
              <w:bottom w:val="single" w:color="auto" w:sz="12" w:space="0"/>
            </w:tcBorders>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279" w:type="pct"/>
            <w:tcBorders>
              <w:bottom w:val="single" w:color="auto" w:sz="12" w:space="0"/>
            </w:tcBorders>
            <w:noWrap w:val="0"/>
            <w:vAlign w:val="center"/>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c>
          <w:tcPr>
            <w:tcW w:w="1153" w:type="pct"/>
            <w:tcBorders>
              <w:bottom w:val="single" w:color="auto" w:sz="12" w:space="0"/>
            </w:tcBorders>
            <w:noWrap w:val="0"/>
            <w:vAlign w:val="top"/>
          </w:tcPr>
          <w:p>
            <w:pPr>
              <w:keepNext/>
              <w:keepLines w:val="0"/>
              <w:suppressLineNumbers w:val="0"/>
              <w:spacing w:before="0" w:beforeAutospacing="0" w:after="0" w:afterAutospacing="0" w:line="360" w:lineRule="auto"/>
              <w:ind w:left="0" w:right="0"/>
              <w:jc w:val="center"/>
              <w:rPr>
                <w:rFonts w:hint="eastAsia" w:ascii="宋体" w:hAnsi="宋体" w:cs="宋体"/>
                <w:color w:val="auto"/>
                <w:szCs w:val="21"/>
                <w:highlight w:val="none"/>
              </w:rPr>
            </w:pPr>
          </w:p>
        </w:tc>
      </w:tr>
    </w:tbl>
    <w:p>
      <w:pPr>
        <w:pStyle w:val="43"/>
        <w:spacing w:beforeLines="50" w:afterLines="50" w:line="440" w:lineRule="exact"/>
        <w:rPr>
          <w:rFonts w:hint="eastAsia"/>
          <w:bCs/>
          <w:color w:val="auto"/>
          <w:szCs w:val="32"/>
          <w:highlight w:val="none"/>
        </w:rPr>
      </w:pPr>
    </w:p>
    <w:p>
      <w:pPr>
        <w:rPr>
          <w:rFonts w:hint="eastAsia" w:ascii="宋体" w:hAnsi="宋体" w:cs="宋体"/>
          <w:bCs/>
          <w:color w:val="auto"/>
          <w:sz w:val="24"/>
          <w:highlight w:val="none"/>
        </w:rPr>
      </w:pPr>
      <w:bookmarkStart w:id="943" w:name="_Toc95223495"/>
      <w:bookmarkStart w:id="944" w:name="_Toc7655"/>
      <w:bookmarkStart w:id="945" w:name="_Toc25726"/>
      <w:r>
        <w:rPr>
          <w:rFonts w:hint="eastAsia" w:ascii="宋体" w:hAnsi="宋体" w:cs="宋体"/>
          <w:bCs/>
          <w:color w:val="auto"/>
          <w:sz w:val="24"/>
          <w:highlight w:val="none"/>
        </w:rPr>
        <w:br w:type="page"/>
      </w:r>
    </w:p>
    <w:p>
      <w:pPr>
        <w:keepNext/>
        <w:keepLines/>
        <w:spacing w:before="120" w:after="120" w:line="360" w:lineRule="auto"/>
        <w:jc w:val="left"/>
        <w:outlineLvl w:val="0"/>
        <w:rPr>
          <w:rFonts w:hint="eastAsia" w:ascii="宋体" w:hAnsi="宋体" w:cs="宋体"/>
          <w:bCs/>
          <w:color w:val="auto"/>
          <w:sz w:val="24"/>
          <w:highlight w:val="none"/>
        </w:rPr>
      </w:pPr>
      <w:bookmarkStart w:id="946" w:name="_Toc3028"/>
      <w:bookmarkStart w:id="947" w:name="_Toc9955"/>
      <w:r>
        <w:rPr>
          <w:rFonts w:hint="eastAsia" w:ascii="宋体" w:hAnsi="宋体" w:cs="宋体"/>
          <w:bCs/>
          <w:color w:val="auto"/>
          <w:sz w:val="24"/>
          <w:highlight w:val="none"/>
        </w:rPr>
        <w:t>附</w:t>
      </w:r>
      <w:bookmarkStart w:id="948" w:name="_Toc296503231"/>
      <w:bookmarkStart w:id="949" w:name="_Toc296944570"/>
      <w:bookmarkStart w:id="950" w:name="_Toc296347230"/>
      <w:bookmarkStart w:id="951" w:name="_Toc296346732"/>
      <w:bookmarkStart w:id="952" w:name="_Toc296891271"/>
      <w:bookmarkStart w:id="953" w:name="_Toc296891059"/>
      <w:r>
        <w:rPr>
          <w:rFonts w:hint="eastAsia" w:ascii="宋体" w:hAnsi="宋体" w:cs="宋体"/>
          <w:bCs/>
          <w:color w:val="auto"/>
          <w:sz w:val="24"/>
          <w:highlight w:val="none"/>
        </w:rPr>
        <w:t>件</w:t>
      </w: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：廉政协议</w:t>
      </w:r>
      <w:bookmarkEnd w:id="943"/>
      <w:bookmarkEnd w:id="944"/>
      <w:bookmarkEnd w:id="945"/>
      <w:bookmarkEnd w:id="946"/>
      <w:bookmarkEnd w:id="947"/>
    </w:p>
    <w:bookmarkEnd w:id="948"/>
    <w:bookmarkEnd w:id="949"/>
    <w:bookmarkEnd w:id="950"/>
    <w:bookmarkEnd w:id="951"/>
    <w:bookmarkEnd w:id="952"/>
    <w:bookmarkEnd w:id="953"/>
    <w:p>
      <w:pPr>
        <w:widowControl/>
        <w:spacing w:line="360" w:lineRule="auto"/>
        <w:ind w:firstLine="643"/>
        <w:jc w:val="center"/>
        <w:outlineLvl w:val="0"/>
        <w:rPr>
          <w:rFonts w:hint="eastAsia" w:ascii="宋体" w:hAnsi="宋体" w:cs="宋体"/>
          <w:b/>
          <w:bCs/>
          <w:color w:val="auto"/>
          <w:kern w:val="0"/>
          <w:sz w:val="32"/>
          <w:szCs w:val="32"/>
          <w:highlight w:val="none"/>
        </w:rPr>
      </w:pPr>
      <w:bookmarkStart w:id="954" w:name="_Toc9808"/>
      <w:bookmarkStart w:id="955" w:name="_Toc95223496"/>
      <w:bookmarkStart w:id="956" w:name="_Toc26094"/>
      <w:bookmarkStart w:id="957" w:name="_Toc7607"/>
      <w:bookmarkStart w:id="958" w:name="_Toc26092"/>
      <w:r>
        <w:rPr>
          <w:rFonts w:hint="eastAsia" w:ascii="宋体" w:hAnsi="宋体" w:cs="宋体"/>
          <w:b/>
          <w:bCs/>
          <w:color w:val="auto"/>
          <w:kern w:val="0"/>
          <w:sz w:val="32"/>
          <w:szCs w:val="32"/>
          <w:highlight w:val="none"/>
        </w:rPr>
        <w:t>廉 政 协 议</w:t>
      </w:r>
      <w:bookmarkEnd w:id="954"/>
      <w:bookmarkEnd w:id="955"/>
      <w:bookmarkEnd w:id="956"/>
      <w:bookmarkEnd w:id="957"/>
      <w:bookmarkEnd w:id="958"/>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为促进双方诚信经营、廉洁从业，防范商业贿赂，保护国家、集体和当事人的合法权益，根据国家有关法律法规和安徽省、项目所在地廉政建设的规定，</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(以下称甲方)与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(以下称乙方)，特此订立本协议共同遵照执行。</w:t>
      </w:r>
    </w:p>
    <w:p>
      <w:pPr>
        <w:widowControl/>
        <w:spacing w:line="360" w:lineRule="auto"/>
        <w:ind w:firstLine="420" w:firstLineChars="200"/>
        <w:jc w:val="left"/>
        <w:outlineLvl w:val="0"/>
        <w:rPr>
          <w:rFonts w:hint="eastAsia" w:ascii="宋体" w:hAnsi="宋体" w:cs="宋体"/>
          <w:color w:val="auto"/>
          <w:kern w:val="0"/>
          <w:szCs w:val="21"/>
          <w:highlight w:val="none"/>
        </w:rPr>
      </w:pPr>
      <w:bookmarkStart w:id="959" w:name="_Toc21306"/>
      <w:bookmarkStart w:id="960" w:name="_Toc10794"/>
      <w:bookmarkStart w:id="961" w:name="_Toc95223497"/>
      <w:bookmarkStart w:id="962" w:name="_Toc23614"/>
      <w:bookmarkStart w:id="963" w:name="_Toc9888"/>
      <w:r>
        <w:rPr>
          <w:rFonts w:hint="eastAsia" w:ascii="宋体" w:hAnsi="宋体" w:cs="宋体"/>
          <w:color w:val="auto"/>
          <w:kern w:val="0"/>
          <w:szCs w:val="21"/>
          <w:highlight w:val="none"/>
        </w:rPr>
        <w:t>第一条 甲乙双方的权利和义务</w:t>
      </w:r>
      <w:bookmarkEnd w:id="959"/>
      <w:bookmarkEnd w:id="960"/>
      <w:bookmarkEnd w:id="961"/>
      <w:bookmarkEnd w:id="962"/>
      <w:bookmarkEnd w:id="963"/>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（二）严格执行</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的合同要求，自觉履行合同约定的相关义务。</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（三）在业务活动中坚持公开、公正、诚信、透明的原则，不得损害国家、集体利益。</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（四）建立健全廉政制度，开展廉政教育，公布举报电话，监督并认真查处违法违纪行为。</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（五）发现对方在业务活动中有违反廉政规定的行为，应及时提醒对方纠正。情节严重的，应向其上级有关部门举报、建议给予处理，并有权要求告知处理结果。</w:t>
      </w:r>
    </w:p>
    <w:p>
      <w:pPr>
        <w:widowControl/>
        <w:spacing w:line="360" w:lineRule="auto"/>
        <w:ind w:firstLine="420" w:firstLineChars="200"/>
        <w:jc w:val="left"/>
        <w:outlineLvl w:val="0"/>
        <w:rPr>
          <w:rFonts w:hint="eastAsia" w:ascii="宋体" w:hAnsi="宋体" w:cs="宋体"/>
          <w:color w:val="auto"/>
          <w:kern w:val="0"/>
          <w:szCs w:val="21"/>
          <w:highlight w:val="none"/>
        </w:rPr>
      </w:pPr>
      <w:bookmarkStart w:id="964" w:name="_Toc3866"/>
      <w:bookmarkStart w:id="965" w:name="_Toc20007"/>
      <w:bookmarkStart w:id="966" w:name="_Toc95223498"/>
      <w:bookmarkStart w:id="967" w:name="_Toc27534"/>
      <w:bookmarkStart w:id="968" w:name="_Toc1917"/>
      <w:r>
        <w:rPr>
          <w:rFonts w:hint="eastAsia" w:ascii="宋体" w:hAnsi="宋体" w:cs="宋体"/>
          <w:color w:val="auto"/>
          <w:kern w:val="0"/>
          <w:szCs w:val="21"/>
          <w:highlight w:val="none"/>
        </w:rPr>
        <w:t>第二条 甲方的义务</w:t>
      </w:r>
      <w:bookmarkEnd w:id="964"/>
      <w:bookmarkEnd w:id="965"/>
      <w:bookmarkEnd w:id="966"/>
      <w:bookmarkEnd w:id="967"/>
      <w:bookmarkEnd w:id="968"/>
    </w:p>
    <w:p>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(一)甲方及其工作人员不得索要或接受乙方的礼金、有价证券和贵重物品，不得在乙方报销任何应由甲方单位或个人支付的费用等。</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 甲方及其工作人员不得要求或者接受乙方为其住房装修、婚丧嫁娶活动、配偶子女工作安排以及出国出境、旅游等提供方便等。</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 甲方工作人员不得在乙方有股权关联的企业兼职，不得向乙方介绍家属或者亲友从事与甲方业务有关的经济活动。</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（五）甲方工作人员不得以明显低于市场的价格向乙方购买房屋、汽车等物品；不得以明显高于市场的价格向乙方出售房屋、汽车等物品；不得以其他交易形式非法收受请托人财物。</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（六）甲方工作人员不得利用职务之便收受乙方以回扣、手续费、加班费、咨询费、劳务费、协调费、辛苦费等各种名义给予或赠送的钱物。</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（七）甲方工作人员不得接受乙方给予或赠送的干股或红利。</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（八）甲方任何人不得以个人的名义向乙方推荐设备、部件等供货商以及其他合作单位。</w:t>
      </w:r>
    </w:p>
    <w:p>
      <w:pPr>
        <w:widowControl/>
        <w:spacing w:line="360" w:lineRule="auto"/>
        <w:ind w:firstLine="420" w:firstLineChars="200"/>
        <w:jc w:val="left"/>
        <w:outlineLvl w:val="0"/>
        <w:rPr>
          <w:rFonts w:hint="eastAsia" w:ascii="宋体" w:hAnsi="宋体" w:cs="宋体"/>
          <w:color w:val="auto"/>
          <w:kern w:val="0"/>
          <w:szCs w:val="21"/>
          <w:highlight w:val="none"/>
        </w:rPr>
      </w:pPr>
      <w:bookmarkStart w:id="969" w:name="_Toc20831"/>
      <w:bookmarkStart w:id="970" w:name="_Toc11255"/>
      <w:bookmarkStart w:id="971" w:name="_Toc95223499"/>
      <w:bookmarkStart w:id="972" w:name="_Toc27727"/>
      <w:bookmarkStart w:id="973" w:name="_Toc10556"/>
      <w:r>
        <w:rPr>
          <w:rFonts w:hint="eastAsia" w:ascii="宋体" w:hAnsi="宋体" w:cs="宋体"/>
          <w:color w:val="auto"/>
          <w:kern w:val="0"/>
          <w:szCs w:val="21"/>
          <w:highlight w:val="none"/>
        </w:rPr>
        <w:t>第三条 乙方的义务</w:t>
      </w:r>
      <w:bookmarkEnd w:id="969"/>
      <w:bookmarkEnd w:id="970"/>
      <w:bookmarkEnd w:id="971"/>
      <w:bookmarkEnd w:id="972"/>
      <w:bookmarkEnd w:id="973"/>
    </w:p>
    <w:p>
      <w:pPr>
        <w:widowControl/>
        <w:spacing w:line="360" w:lineRule="auto"/>
        <w:ind w:firstLine="525" w:firstLineChars="25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(一)乙方不得以任何理由向甲方及其工作人员行贿或馈赠礼金、有价证券、贵重礼品。</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（二)乙方不得以任何名义为甲方及其工作人员报销应由甲方单位或个人支付的任何费用。</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(三)乙方不得以任何理由安排甲方工作人员参加可能影响相关业务公开、公正、公平性的宴请及娱乐活动。</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（四）乙方不得为甲方单位和个人购置或提供通讯工具和高档办公用品等物品，也不得为甲方提供与工作无关的房屋、汽车等。</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（五）乙方不得与甲方工作人员就合同中的质量、数量、价格、工程量、验收等条款进行私下商谈或者达成默契。</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（六）乙方不得以回扣、手续费、加班费、咨询费、劳务费、协调费、辛苦费等各种名义向甲方工作人员给予或赠送钱物。</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（七）乙方不得向甲方工作人员提供干股或红利。</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（八）乙方须按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专项纪检监察工作组(如有)要求开展相关工作。</w:t>
      </w:r>
    </w:p>
    <w:p>
      <w:pPr>
        <w:widowControl/>
        <w:spacing w:line="360" w:lineRule="auto"/>
        <w:ind w:firstLine="420" w:firstLineChars="200"/>
        <w:jc w:val="left"/>
        <w:outlineLvl w:val="0"/>
        <w:rPr>
          <w:rFonts w:hint="eastAsia" w:ascii="宋体" w:hAnsi="宋体" w:cs="宋体"/>
          <w:color w:val="auto"/>
          <w:kern w:val="0"/>
          <w:szCs w:val="21"/>
          <w:highlight w:val="none"/>
        </w:rPr>
      </w:pPr>
      <w:bookmarkStart w:id="974" w:name="_Toc4145"/>
      <w:bookmarkStart w:id="975" w:name="_Toc7904"/>
      <w:bookmarkStart w:id="976" w:name="_Toc14507"/>
      <w:bookmarkStart w:id="977" w:name="_Toc95223500"/>
      <w:bookmarkStart w:id="978" w:name="_Toc2198"/>
      <w:r>
        <w:rPr>
          <w:rFonts w:hint="eastAsia" w:ascii="宋体" w:hAnsi="宋体" w:cs="宋体"/>
          <w:color w:val="auto"/>
          <w:kern w:val="0"/>
          <w:szCs w:val="21"/>
          <w:highlight w:val="none"/>
        </w:rPr>
        <w:t>第四条 违约责任</w:t>
      </w:r>
      <w:bookmarkEnd w:id="974"/>
      <w:bookmarkEnd w:id="975"/>
      <w:bookmarkEnd w:id="976"/>
      <w:bookmarkEnd w:id="977"/>
      <w:bookmarkEnd w:id="978"/>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一）甲方及其工作人员违反本协议第一、二条规定。甲方按管理权限，对相关责任人依据有关规定给予党纪、政纪处分或组织处理；涉嫌犯罪的，移交司法机关追究刑事责任；给乙方单位造成经济损失的，应予以赔偿。</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甲方投诉联系部门：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，联系电话：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（二）乙方及其工作人员违反本协议第一、三条规定。根据具体情节和造成的后果，甲方有权对乙方采取以下一种或多种处理办法：</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 全额收取乙方合同履约保证金不予退还； </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 追究乙方其他违约责任；</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 终止或解除双方已签订的包括本合同在内的所有合同；</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 乙方一定期限内（6个月至3年，具体由甲方根据情况而定）不得参与甲方作为发包人（业主）的工程项目投标。</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甲方作出的处理意见，乙方应无条件接受并承担给甲方造成的损失，全额返还通过不正当手段从甲方获取的非法所得，并承担相应的法律责任。</w:t>
      </w:r>
    </w:p>
    <w:p>
      <w:pPr>
        <w:widowControl/>
        <w:spacing w:line="360" w:lineRule="auto"/>
        <w:ind w:firstLine="420" w:firstLineChars="200"/>
        <w:jc w:val="left"/>
        <w:outlineLvl w:val="0"/>
        <w:rPr>
          <w:rFonts w:hint="eastAsia" w:ascii="宋体" w:hAnsi="宋体" w:cs="宋体"/>
          <w:color w:val="auto"/>
          <w:kern w:val="0"/>
          <w:szCs w:val="21"/>
          <w:highlight w:val="none"/>
        </w:rPr>
      </w:pPr>
      <w:bookmarkStart w:id="979" w:name="_Toc6544"/>
      <w:bookmarkStart w:id="980" w:name="_Toc95223501"/>
      <w:bookmarkStart w:id="981" w:name="_Toc26114"/>
      <w:bookmarkStart w:id="982" w:name="_Toc10228"/>
      <w:bookmarkStart w:id="983" w:name="_Toc2334"/>
      <w:r>
        <w:rPr>
          <w:rFonts w:hint="eastAsia" w:ascii="宋体" w:hAnsi="宋体" w:cs="宋体"/>
          <w:color w:val="auto"/>
          <w:kern w:val="0"/>
          <w:szCs w:val="21"/>
          <w:highlight w:val="none"/>
        </w:rPr>
        <w:t>第五条 双方约定</w:t>
      </w:r>
      <w:bookmarkEnd w:id="979"/>
      <w:bookmarkEnd w:id="980"/>
      <w:bookmarkEnd w:id="981"/>
      <w:bookmarkEnd w:id="982"/>
      <w:bookmarkEnd w:id="983"/>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本协议由双方或双方上级单位负责监督。可由甲方或甲方上级单位的纪检监察部门约请乙方或乙方上级单位的纪检监察部门对本协议履行情况进行检查，提出在本协议规定范围内的裁定意见。</w:t>
      </w:r>
    </w:p>
    <w:p>
      <w:pPr>
        <w:widowControl/>
        <w:spacing w:line="360" w:lineRule="auto"/>
        <w:ind w:firstLine="420" w:firstLineChars="200"/>
        <w:jc w:val="left"/>
        <w:outlineLvl w:val="0"/>
        <w:rPr>
          <w:rFonts w:hint="eastAsia" w:ascii="宋体" w:hAnsi="宋体" w:cs="宋体"/>
          <w:color w:val="auto"/>
          <w:kern w:val="0"/>
          <w:szCs w:val="21"/>
          <w:highlight w:val="none"/>
        </w:rPr>
      </w:pPr>
      <w:bookmarkStart w:id="984" w:name="_Toc32140"/>
      <w:bookmarkStart w:id="985" w:name="_Toc17717"/>
      <w:bookmarkStart w:id="986" w:name="_Toc95223502"/>
      <w:bookmarkStart w:id="987" w:name="_Toc10240"/>
      <w:bookmarkStart w:id="988" w:name="_Toc8779"/>
      <w:r>
        <w:rPr>
          <w:rFonts w:hint="eastAsia" w:ascii="宋体" w:hAnsi="宋体" w:cs="宋体"/>
          <w:color w:val="auto"/>
          <w:kern w:val="0"/>
          <w:szCs w:val="21"/>
          <w:highlight w:val="none"/>
        </w:rPr>
        <w:t>第六条  本协议有效期为甲乙双方签署之日起至合同终止。</w:t>
      </w:r>
      <w:bookmarkEnd w:id="984"/>
      <w:bookmarkEnd w:id="985"/>
      <w:bookmarkEnd w:id="986"/>
      <w:bookmarkEnd w:id="987"/>
      <w:bookmarkEnd w:id="988"/>
      <w:r>
        <w:rPr>
          <w:rFonts w:hint="eastAsia" w:ascii="宋体" w:hAnsi="宋体" w:cs="宋体"/>
          <w:color w:val="auto"/>
          <w:kern w:val="0"/>
          <w:szCs w:val="21"/>
          <w:highlight w:val="none"/>
        </w:rPr>
        <w:t xml:space="preserve">  </w:t>
      </w:r>
    </w:p>
    <w:p>
      <w:pPr>
        <w:widowControl/>
        <w:spacing w:line="360" w:lineRule="auto"/>
        <w:ind w:firstLine="420" w:firstLineChars="200"/>
        <w:jc w:val="left"/>
        <w:outlineLvl w:val="0"/>
        <w:rPr>
          <w:rFonts w:hint="eastAsia" w:ascii="宋体" w:hAnsi="宋体" w:cs="宋体"/>
          <w:color w:val="auto"/>
          <w:kern w:val="0"/>
          <w:szCs w:val="21"/>
          <w:highlight w:val="none"/>
        </w:rPr>
      </w:pPr>
      <w:bookmarkStart w:id="989" w:name="_Toc22264"/>
      <w:bookmarkStart w:id="990" w:name="_Toc28117"/>
      <w:bookmarkStart w:id="991" w:name="_Toc1871"/>
      <w:bookmarkStart w:id="992" w:name="_Toc24032"/>
      <w:bookmarkStart w:id="993" w:name="_Toc95223503"/>
      <w:r>
        <w:rPr>
          <w:rFonts w:hint="eastAsia" w:ascii="宋体" w:hAnsi="宋体" w:cs="宋体"/>
          <w:color w:val="auto"/>
          <w:kern w:val="0"/>
          <w:szCs w:val="21"/>
          <w:highlight w:val="none"/>
        </w:rPr>
        <w:t>第七条  本协议作为合同的附件，与本合同具有同等法律效力。</w:t>
      </w:r>
      <w:bookmarkEnd w:id="989"/>
      <w:bookmarkEnd w:id="990"/>
      <w:bookmarkEnd w:id="991"/>
      <w:bookmarkEnd w:id="992"/>
      <w:bookmarkEnd w:id="993"/>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甲方（盖章）：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乙方（盖章）：</w:t>
      </w:r>
      <w:r>
        <w:rPr>
          <w:rFonts w:hint="eastAsia" w:ascii="宋体" w:hAnsi="宋体" w:cs="宋体"/>
          <w:color w:val="auto"/>
          <w:kern w:val="0"/>
          <w:szCs w:val="21"/>
          <w:highlight w:val="none"/>
          <w:u w:val="single"/>
        </w:rPr>
        <w:t xml:space="preserve">                      </w:t>
      </w:r>
    </w:p>
    <w:p>
      <w:pPr>
        <w:widowControl/>
        <w:spacing w:line="360" w:lineRule="auto"/>
        <w:ind w:firstLine="420" w:firstLineChars="200"/>
        <w:jc w:val="left"/>
        <w:rPr>
          <w:rFonts w:hint="eastAsia" w:ascii="宋体" w:hAnsi="宋体" w:cs="宋体"/>
          <w:color w:val="auto"/>
          <w:kern w:val="0"/>
          <w:szCs w:val="21"/>
          <w:highlight w:val="none"/>
        </w:rPr>
      </w:pP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                                法定代表人或</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              授权代表：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pPr>
        <w:widowControl/>
        <w:spacing w:line="360" w:lineRule="auto"/>
        <w:ind w:firstLine="420" w:firstLineChars="200"/>
        <w:jc w:val="left"/>
        <w:rPr>
          <w:rFonts w:hint="eastAsia" w:ascii="宋体" w:hAnsi="宋体" w:cs="宋体"/>
          <w:color w:val="auto"/>
          <w:kern w:val="0"/>
          <w:szCs w:val="21"/>
          <w:highlight w:val="none"/>
        </w:rPr>
      </w:pP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廉政监督联系人                              廉政监督联系人</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姓名：</w:t>
      </w:r>
      <w:r>
        <w:rPr>
          <w:rFonts w:hint="eastAsia" w:ascii="宋体" w:hAnsi="宋体" w:cs="宋体"/>
          <w:color w:val="auto"/>
          <w:kern w:val="0"/>
          <w:szCs w:val="21"/>
          <w:highlight w:val="none"/>
          <w:u w:val="single"/>
        </w:rPr>
        <w:t xml:space="preserve">                       </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签字：</w:t>
      </w:r>
      <w:r>
        <w:rPr>
          <w:rFonts w:hint="eastAsia" w:ascii="宋体" w:hAnsi="宋体" w:cs="宋体"/>
          <w:color w:val="auto"/>
          <w:kern w:val="0"/>
          <w:szCs w:val="21"/>
          <w:highlight w:val="none"/>
          <w:u w:val="single"/>
        </w:rPr>
        <w:t xml:space="preserve">                       </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电话：</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电话：</w:t>
      </w:r>
      <w:r>
        <w:rPr>
          <w:rFonts w:hint="eastAsia" w:ascii="宋体" w:hAnsi="宋体" w:cs="宋体"/>
          <w:color w:val="auto"/>
          <w:kern w:val="0"/>
          <w:szCs w:val="21"/>
          <w:highlight w:val="none"/>
          <w:u w:val="single"/>
        </w:rPr>
        <w:t xml:space="preserve">                       </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地址：</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地址：</w:t>
      </w:r>
      <w:r>
        <w:rPr>
          <w:rFonts w:hint="eastAsia" w:ascii="宋体" w:hAnsi="宋体" w:cs="宋体"/>
          <w:color w:val="auto"/>
          <w:kern w:val="0"/>
          <w:szCs w:val="21"/>
          <w:highlight w:val="none"/>
          <w:u w:val="single"/>
        </w:rPr>
        <w:t xml:space="preserve">                       </w:t>
      </w:r>
    </w:p>
    <w:p>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日期：</w:t>
      </w:r>
      <w:r>
        <w:rPr>
          <w:rFonts w:hint="eastAsia" w:ascii="宋体" w:hAnsi="宋体" w:cs="宋体"/>
          <w:color w:val="auto"/>
          <w:kern w:val="0"/>
          <w:szCs w:val="21"/>
          <w:highlight w:val="none"/>
          <w:u w:val="single"/>
        </w:rPr>
        <w:t xml:space="preserve">                       </w:t>
      </w:r>
    </w:p>
    <w:p>
      <w:pPr>
        <w:keepNext/>
        <w:keepLines/>
        <w:spacing w:before="120" w:after="120" w:line="360" w:lineRule="auto"/>
        <w:jc w:val="left"/>
        <w:outlineLvl w:val="2"/>
        <w:rPr>
          <w:rFonts w:hint="eastAsia" w:ascii="宋体" w:hAnsi="宋体" w:cs="宋体"/>
          <w:color w:val="auto"/>
          <w:szCs w:val="21"/>
          <w:highlight w:val="none"/>
        </w:rPr>
      </w:pPr>
      <w:r>
        <w:rPr>
          <w:rFonts w:hint="eastAsia" w:ascii="宋体" w:hAnsi="宋体" w:cs="宋体"/>
          <w:bCs/>
          <w:color w:val="auto"/>
          <w:kern w:val="0"/>
          <w:sz w:val="24"/>
          <w:szCs w:val="21"/>
          <w:highlight w:val="none"/>
        </w:rPr>
        <w:br w:type="page"/>
      </w:r>
      <w:bookmarkStart w:id="994" w:name="_Toc95223504"/>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：履约保证金</w:t>
      </w:r>
      <w:bookmarkEnd w:id="994"/>
    </w:p>
    <w:p>
      <w:pPr>
        <w:adjustRightInd w:val="0"/>
        <w:snapToGrid w:val="0"/>
        <w:spacing w:line="360" w:lineRule="auto"/>
        <w:jc w:val="center"/>
        <w:outlineLvl w:val="0"/>
        <w:rPr>
          <w:rFonts w:hint="eastAsia" w:ascii="宋体" w:hAnsi="宋体" w:cs="宋体"/>
          <w:b/>
          <w:bCs/>
          <w:color w:val="auto"/>
          <w:sz w:val="32"/>
          <w:szCs w:val="32"/>
          <w:highlight w:val="none"/>
        </w:rPr>
      </w:pPr>
      <w:bookmarkStart w:id="995" w:name="_Toc25855"/>
      <w:bookmarkStart w:id="996" w:name="_Toc10681"/>
      <w:bookmarkStart w:id="997" w:name="_Toc8655"/>
      <w:bookmarkStart w:id="998" w:name="_Toc28010"/>
      <w:bookmarkStart w:id="999" w:name="_Toc95223505"/>
      <w:r>
        <w:rPr>
          <w:rFonts w:hint="eastAsia" w:ascii="宋体" w:hAnsi="宋体" w:cs="宋体"/>
          <w:b/>
          <w:bCs/>
          <w:color w:val="auto"/>
          <w:sz w:val="32"/>
          <w:szCs w:val="32"/>
          <w:highlight w:val="none"/>
        </w:rPr>
        <w:t>履约保函示范文本</w:t>
      </w:r>
      <w:bookmarkEnd w:id="995"/>
      <w:bookmarkEnd w:id="996"/>
      <w:bookmarkEnd w:id="997"/>
      <w:bookmarkEnd w:id="998"/>
      <w:bookmarkEnd w:id="999"/>
    </w:p>
    <w:p>
      <w:pPr>
        <w:wordWrap w:val="0"/>
        <w:adjustRightInd w:val="0"/>
        <w:snapToGrid w:val="0"/>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 xml:space="preserve">编号：           </w:t>
      </w:r>
    </w:p>
    <w:p>
      <w:pPr>
        <w:adjustRightInd w:val="0"/>
        <w:snapToGrid w:val="0"/>
        <w:spacing w:line="360" w:lineRule="auto"/>
        <w:rPr>
          <w:rFonts w:hint="eastAsia" w:ascii="宋体" w:hAnsi="宋体" w:cs="宋体"/>
          <w:color w:val="auto"/>
          <w:szCs w:val="21"/>
          <w:highlight w:val="none"/>
        </w:rPr>
      </w:pPr>
    </w:p>
    <w:p>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（受益人名称）：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鉴于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（以下简称“受益人”）与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（以下简称“申请人”）于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日就</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（标段编号）的</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（标段名称）</w:t>
      </w:r>
      <w:r>
        <w:rPr>
          <w:rFonts w:hint="eastAsia" w:ascii="宋体" w:hAnsi="宋体" w:cs="宋体"/>
          <w:color w:val="auto"/>
          <w:szCs w:val="21"/>
          <w:highlight w:val="none"/>
        </w:rPr>
        <w:t>有关事项协商一致共同签订</w:t>
      </w:r>
      <w:r>
        <w:rPr>
          <w:rFonts w:hint="eastAsia" w:ascii="宋体" w:hAnsi="宋体" w:cs="宋体"/>
          <w:color w:val="auto"/>
          <w:szCs w:val="21"/>
          <w:highlight w:val="none"/>
          <w:u w:val="single"/>
        </w:rPr>
        <w:t>《        》</w:t>
      </w:r>
      <w:r>
        <w:rPr>
          <w:rFonts w:hint="eastAsia" w:ascii="宋体" w:hAnsi="宋体" w:cs="宋体"/>
          <w:color w:val="auto"/>
          <w:szCs w:val="21"/>
          <w:highlight w:val="none"/>
        </w:rPr>
        <w:t xml:space="preserve">（以下简称“基础合同”），开立人根据基础合同了解到申请人为基础合同项下之承包人，受益人为基础合同项下之发包人，基于申请人的请求，开立人同意就申请人履行与受益人签订的基础合同项下的义务，向受益人提供不可撤销、不可转让的见索即付独立保函（以下简称“本保函”）。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一、本保函担保范围：承包人未按照基础合同的约定履行义务，应当向受益人承担的违约责任和赔偿因此造成的损失、利息、律师费、诉讼费用等实现债权的费用。</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二、本保函担保金额最高不超过人民币（大写）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三、本保函有效期自开立之日起至基础合同约定的缺陷责任期满之日止。 </w:t>
      </w:r>
    </w:p>
    <w:p>
      <w:pPr>
        <w:adjustRightInd w:val="0"/>
        <w:snapToGrid w:val="0"/>
        <w:spacing w:line="360" w:lineRule="auto"/>
        <w:ind w:firstLine="480"/>
        <w:rPr>
          <w:rFonts w:hint="eastAsia" w:ascii="宋体" w:hAnsi="宋体" w:cs="宋体"/>
          <w:color w:val="auto"/>
          <w:szCs w:val="21"/>
          <w:highlight w:val="none"/>
        </w:rPr>
      </w:pPr>
      <w:bookmarkStart w:id="1000" w:name="_Hlk40302764"/>
      <w:r>
        <w:rPr>
          <w:rFonts w:hint="eastAsia" w:ascii="宋体" w:hAnsi="宋体" w:cs="宋体"/>
          <w:color w:val="auto"/>
          <w:szCs w:val="21"/>
          <w:highlight w:val="none"/>
        </w:rPr>
        <w:t>四、开立人承诺，在收到受益人发来的书面付款通知后的七日内无条件支付，前述书面付款通知即为付款要求之单据，且应满足以下要求：</w:t>
      </w:r>
    </w:p>
    <w:bookmarkEnd w:id="1000"/>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（1）付款通知到达的日期在本保函的有效期内；</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（2）载明要求支付的金额；</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（3）载明申请人违反合同义务的条款和内容；</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（4）声明不存在合同文件约定或我国法律规定免除申请人或开立人支付责任的情形；</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（5）付款通知应在本保函有效期内到达的地址是：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bookmarkStart w:id="1001" w:name="_Hlk40303486"/>
      <w:r>
        <w:rPr>
          <w:rFonts w:hint="eastAsia" w:ascii="宋体" w:hAnsi="宋体" w:cs="宋体"/>
          <w:color w:val="auto"/>
          <w:szCs w:val="21"/>
          <w:highlight w:val="none"/>
        </w:rPr>
        <w:t>受益人发出的书面付款通知应由其法定代表人（负责人）或授权代理人签字并加盖公章。</w:t>
      </w:r>
      <w:bookmarkEnd w:id="1001"/>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五、本保函项下的权利不得转让，不得设定担保。受益人未经我方书面同意转 让本保函或其项下任何权利，对我方不发生法律效力。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六、与本保函有关的基础合同不成立、不生效、无效、被撤销、被解除，不影响本保函的独立有效。 </w:t>
      </w:r>
    </w:p>
    <w:p>
      <w:pPr>
        <w:adjustRightInd w:val="0"/>
        <w:snapToGrid w:val="0"/>
        <w:spacing w:line="360" w:lineRule="auto"/>
        <w:ind w:firstLine="420" w:firstLineChars="200"/>
        <w:rPr>
          <w:rFonts w:hint="eastAsia" w:ascii="宋体" w:hAnsi="宋体" w:cs="宋体"/>
          <w:color w:val="auto"/>
          <w:szCs w:val="21"/>
          <w:highlight w:val="none"/>
        </w:rPr>
      </w:pPr>
      <w:bookmarkStart w:id="1002" w:name="_Hlk40303383"/>
      <w:bookmarkStart w:id="1003" w:name="_Hlk40354981"/>
      <w:r>
        <w:rPr>
          <w:rFonts w:hint="eastAsia" w:ascii="宋体" w:hAnsi="宋体" w:cs="宋体"/>
          <w:color w:val="auto"/>
          <w:szCs w:val="21"/>
          <w:highlight w:val="none"/>
        </w:rPr>
        <w:t xml:space="preserve">七、本保函项下的义务和责任均在保函有效期到期后自动消灭。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八、本保函适用的法律为中华人民共和国法律，因本保函产生的纠纷案件，</w:t>
      </w:r>
      <w:bookmarkEnd w:id="1002"/>
      <w:r>
        <w:rPr>
          <w:rFonts w:hint="eastAsia" w:ascii="宋体" w:hAnsi="宋体" w:cs="宋体"/>
          <w:color w:val="auto"/>
          <w:szCs w:val="21"/>
          <w:highlight w:val="none"/>
        </w:rPr>
        <w:t xml:space="preserve">由受益人所在地人民法院管辖。 </w:t>
      </w:r>
    </w:p>
    <w:bookmarkEnd w:id="1003"/>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九、本保函自我方法定代表人或授权代表签字并加盖公章之日起生效。 </w:t>
      </w:r>
    </w:p>
    <w:p>
      <w:pPr>
        <w:adjustRightInd w:val="0"/>
        <w:snapToGrid w:val="0"/>
        <w:spacing w:line="360" w:lineRule="auto"/>
        <w:ind w:firstLine="420" w:firstLineChars="200"/>
        <w:rPr>
          <w:rFonts w:hint="eastAsia" w:ascii="宋体" w:hAnsi="宋体" w:cs="宋体"/>
          <w:color w:val="auto"/>
          <w:szCs w:val="21"/>
          <w:highlight w:val="none"/>
        </w:rPr>
      </w:pPr>
    </w:p>
    <w:p>
      <w:pPr>
        <w:adjustRightInd w:val="0"/>
        <w:snapToGrid w:val="0"/>
        <w:spacing w:line="360" w:lineRule="auto"/>
        <w:ind w:firstLine="420" w:firstLineChars="200"/>
        <w:rPr>
          <w:rFonts w:hint="eastAsia" w:ascii="宋体" w:hAnsi="宋体" w:cs="宋体"/>
          <w:color w:val="auto"/>
          <w:szCs w:val="21"/>
          <w:highlight w:val="none"/>
        </w:rPr>
      </w:pPr>
    </w:p>
    <w:p>
      <w:pPr>
        <w:adjustRightInd w:val="0"/>
        <w:snapToGrid w:val="0"/>
        <w:spacing w:line="360" w:lineRule="auto"/>
        <w:ind w:firstLine="420" w:firstLineChars="200"/>
        <w:rPr>
          <w:rFonts w:hint="eastAsia" w:ascii="宋体" w:hAnsi="宋体" w:cs="宋体"/>
          <w:color w:val="auto"/>
          <w:szCs w:val="21"/>
          <w:highlight w:val="none"/>
        </w:rPr>
      </w:pP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开 立 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（公章）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（签字）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    话：</w:t>
      </w:r>
      <w:r>
        <w:rPr>
          <w:rFonts w:hint="eastAsia" w:ascii="宋体" w:hAnsi="宋体" w:cs="宋体"/>
          <w:color w:val="auto"/>
          <w:szCs w:val="21"/>
          <w:highlight w:val="none"/>
          <w:u w:val="single"/>
        </w:rPr>
        <w:t xml:space="preserve">                 </w:t>
      </w:r>
    </w:p>
    <w:p>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传    真：</w:t>
      </w:r>
      <w:r>
        <w:rPr>
          <w:rFonts w:hint="eastAsia" w:ascii="宋体" w:hAnsi="宋体" w:cs="宋体"/>
          <w:color w:val="auto"/>
          <w:szCs w:val="21"/>
          <w:highlight w:val="none"/>
          <w:u w:val="single"/>
        </w:rPr>
        <w:t xml:space="preserve">                 </w:t>
      </w:r>
    </w:p>
    <w:p>
      <w:pPr>
        <w:adjustRightInd w:val="0"/>
        <w:snapToGrid w:val="0"/>
        <w:spacing w:line="360" w:lineRule="auto"/>
        <w:ind w:left="1323" w:leftChars="200" w:hanging="903" w:hangingChars="430"/>
        <w:rPr>
          <w:rFonts w:hint="eastAsia" w:ascii="宋体" w:hAnsi="宋体" w:cs="宋体"/>
          <w:color w:val="auto"/>
          <w:szCs w:val="21"/>
          <w:highlight w:val="none"/>
        </w:rPr>
      </w:pPr>
      <w:r>
        <w:rPr>
          <w:rFonts w:hint="eastAsia" w:ascii="宋体" w:hAnsi="宋体" w:cs="宋体"/>
          <w:color w:val="auto"/>
          <w:szCs w:val="21"/>
          <w:highlight w:val="none"/>
        </w:rPr>
        <w:t>开立时间：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rPr>
          <w:rFonts w:hint="eastAsia" w:ascii="宋体" w:hAnsi="宋体" w:cs="宋体"/>
          <w:bCs/>
          <w:color w:val="auto"/>
          <w:sz w:val="24"/>
          <w:highlight w:val="none"/>
        </w:rPr>
      </w:pPr>
      <w:bookmarkStart w:id="1004" w:name="_Toc95223510"/>
      <w:r>
        <w:rPr>
          <w:rFonts w:hint="eastAsia" w:ascii="宋体" w:hAnsi="宋体" w:cs="宋体"/>
          <w:bCs/>
          <w:color w:val="auto"/>
          <w:sz w:val="24"/>
          <w:highlight w:val="none"/>
        </w:rPr>
        <w:br w:type="page"/>
      </w:r>
    </w:p>
    <w:p>
      <w:pPr>
        <w:keepNext/>
        <w:keepLines/>
        <w:adjustRightInd w:val="0"/>
        <w:snapToGrid w:val="0"/>
        <w:spacing w:line="360" w:lineRule="auto"/>
        <w:jc w:val="left"/>
        <w:outlineLvl w:val="2"/>
        <w:rPr>
          <w:rFonts w:hint="eastAsia" w:ascii="宋体" w:hAnsi="宋体" w:cs="宋体"/>
          <w:bCs/>
          <w:color w:val="auto"/>
          <w:sz w:val="24"/>
          <w:highlight w:val="none"/>
        </w:rPr>
      </w:pPr>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8</w:t>
      </w:r>
      <w:r>
        <w:rPr>
          <w:rFonts w:hint="eastAsia" w:ascii="宋体" w:hAnsi="宋体" w:cs="宋体"/>
          <w:bCs/>
          <w:color w:val="auto"/>
          <w:sz w:val="24"/>
          <w:highlight w:val="none"/>
        </w:rPr>
        <w:t>：暂估价一览表</w:t>
      </w:r>
      <w:bookmarkEnd w:id="1004"/>
    </w:p>
    <w:p>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12-1：材料暂估价表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nil"/>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nil"/>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nil"/>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nil"/>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nil"/>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nil"/>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bottom w:val="single" w:color="auto" w:sz="12"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bottom w:val="single" w:color="auto" w:sz="12"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bottom w:val="single" w:color="auto" w:sz="12"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bottom w:val="single" w:color="auto" w:sz="12"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bottom w:val="single" w:color="auto" w:sz="12"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bl>
    <w:p>
      <w:pPr>
        <w:spacing w:before="120" w:beforeLines="50" w:after="120" w:afterLines="50" w:line="440" w:lineRule="exact"/>
        <w:rPr>
          <w:rFonts w:hint="eastAsia" w:ascii="宋体" w:hAnsi="宋体" w:cs="宋体"/>
          <w:color w:val="auto"/>
          <w:szCs w:val="21"/>
          <w:highlight w:val="none"/>
        </w:rPr>
      </w:pPr>
    </w:p>
    <w:p>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12-2：工程设备暂估价表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nil"/>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nil"/>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nil"/>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nil"/>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nil"/>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nil"/>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bottom w:val="single" w:color="auto" w:sz="12"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bottom w:val="single" w:color="auto" w:sz="12"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bottom w:val="single" w:color="auto" w:sz="12"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bottom w:val="single" w:color="auto" w:sz="12"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bottom w:val="single" w:color="auto" w:sz="12"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bl>
    <w:p>
      <w:pPr>
        <w:spacing w:line="440" w:lineRule="exact"/>
        <w:rPr>
          <w:rFonts w:hint="eastAsia" w:ascii="宋体" w:hAnsi="宋体" w:cs="宋体"/>
          <w:color w:val="auto"/>
          <w:szCs w:val="21"/>
          <w:highlight w:val="none"/>
        </w:rPr>
      </w:pPr>
    </w:p>
    <w:p>
      <w:pPr>
        <w:spacing w:before="120" w:beforeLines="50" w:after="120" w:after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12-3：专业工程暂估价表</w:t>
      </w:r>
    </w:p>
    <w:tbl>
      <w:tblPr>
        <w:tblStyle w:val="46"/>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984" w:type="dxa"/>
            <w:tcBorders>
              <w:top w:val="single" w:color="auto" w:sz="12" w:space="0"/>
              <w:bottom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851" w:type="dxa"/>
            <w:tcBorders>
              <w:top w:val="single" w:color="auto" w:sz="12" w:space="0"/>
              <w:bottom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774" w:type="dxa"/>
            <w:tcBorders>
              <w:top w:val="single" w:color="auto" w:sz="12" w:space="0"/>
              <w:bottom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352" w:type="dxa"/>
            <w:tcBorders>
              <w:top w:val="single" w:color="auto" w:sz="12" w:space="0"/>
              <w:bottom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418" w:type="dxa"/>
            <w:tcBorders>
              <w:top w:val="single" w:color="auto" w:sz="12" w:space="0"/>
              <w:bottom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合价（元）</w:t>
            </w:r>
          </w:p>
        </w:tc>
        <w:tc>
          <w:tcPr>
            <w:tcW w:w="1701" w:type="dxa"/>
            <w:tcBorders>
              <w:top w:val="single" w:color="auto" w:sz="12" w:space="0"/>
              <w:bottom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double" w:color="auto" w:sz="6"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top w:val="nil"/>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top w:val="nil"/>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top w:val="nil"/>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top w:val="nil"/>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top w:val="nil"/>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top w:val="nil"/>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bottom w:val="single" w:color="auto" w:sz="12"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984" w:type="dxa"/>
            <w:tcBorders>
              <w:bottom w:val="single" w:color="auto" w:sz="12"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851" w:type="dxa"/>
            <w:tcBorders>
              <w:bottom w:val="single" w:color="auto" w:sz="12"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774" w:type="dxa"/>
            <w:tcBorders>
              <w:bottom w:val="single" w:color="auto" w:sz="12"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352" w:type="dxa"/>
            <w:tcBorders>
              <w:bottom w:val="single" w:color="auto" w:sz="12"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418" w:type="dxa"/>
            <w:tcBorders>
              <w:bottom w:val="single" w:color="auto" w:sz="12"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c>
          <w:tcPr>
            <w:tcW w:w="1701" w:type="dxa"/>
            <w:tcBorders>
              <w:bottom w:val="single" w:color="auto" w:sz="12" w:space="0"/>
            </w:tcBorders>
            <w:noWrap w:val="0"/>
            <w:vAlign w:val="top"/>
          </w:tcPr>
          <w:p>
            <w:pPr>
              <w:keepNext/>
              <w:keepLines w:val="0"/>
              <w:suppressLineNumbers w:val="0"/>
              <w:spacing w:before="0" w:beforeAutospacing="0" w:after="0" w:afterAutospacing="0" w:line="440" w:lineRule="exact"/>
              <w:ind w:left="0" w:right="0"/>
              <w:rPr>
                <w:rFonts w:hint="eastAsia" w:ascii="宋体" w:hAnsi="宋体" w:cs="宋体"/>
                <w:color w:val="auto"/>
                <w:szCs w:val="21"/>
                <w:highlight w:val="none"/>
              </w:rPr>
            </w:pPr>
          </w:p>
        </w:tc>
      </w:tr>
    </w:tbl>
    <w:p>
      <w:pPr>
        <w:rPr>
          <w:rFonts w:hint="eastAsia" w:ascii="宋体" w:hAnsi="宋体" w:cs="宋体"/>
          <w:color w:val="auto"/>
          <w:szCs w:val="21"/>
          <w:highlight w:val="none"/>
        </w:rPr>
      </w:pPr>
    </w:p>
    <w:p>
      <w:pPr>
        <w:rPr>
          <w:rFonts w:hint="eastAsia" w:ascii="宋体" w:hAnsi="宋体" w:cs="宋体"/>
          <w:color w:val="auto"/>
          <w:szCs w:val="22"/>
          <w:highlight w:val="none"/>
        </w:rPr>
      </w:pPr>
    </w:p>
    <w:p>
      <w:pPr>
        <w:rPr>
          <w:rFonts w:hint="eastAsia" w:ascii="宋体" w:hAnsi="宋体" w:cs="宋体"/>
          <w:color w:val="auto"/>
          <w:szCs w:val="22"/>
          <w:highlight w:val="none"/>
        </w:rPr>
      </w:pPr>
    </w:p>
    <w:p>
      <w:pPr>
        <w:keepNext/>
        <w:keepLines/>
        <w:spacing w:before="120" w:after="120" w:line="360" w:lineRule="auto"/>
        <w:jc w:val="left"/>
        <w:outlineLvl w:val="2"/>
        <w:rPr>
          <w:rFonts w:hint="eastAsia" w:ascii="宋体" w:hAnsi="宋体" w:cs="宋体"/>
          <w:color w:val="auto"/>
          <w:highlight w:val="none"/>
        </w:rPr>
        <w:sectPr>
          <w:footerReference r:id="rId6" w:type="default"/>
          <w:footnotePr>
            <w:numFmt w:val="decimalEnclosedCircleChinese"/>
            <w:numRestart w:val="eachPage"/>
          </w:footnotePr>
          <w:pgSz w:w="11907" w:h="16840"/>
          <w:pgMar w:top="1474" w:right="1474" w:bottom="1474" w:left="1474" w:header="799" w:footer="907" w:gutter="0"/>
          <w:pgNumType w:fmt="decimal" w:start="1"/>
          <w:cols w:space="720" w:num="1"/>
          <w:docGrid w:linePitch="271" w:charSpace="0"/>
        </w:sectPr>
      </w:pPr>
    </w:p>
    <w:p>
      <w:pPr>
        <w:keepNext/>
        <w:keepLines/>
        <w:spacing w:before="120" w:after="120" w:line="360" w:lineRule="auto"/>
        <w:jc w:val="left"/>
        <w:outlineLvl w:val="2"/>
        <w:rPr>
          <w:rFonts w:hint="eastAsia" w:ascii="宋体" w:hAnsi="宋体" w:cs="宋体"/>
          <w:bCs/>
          <w:color w:val="auto"/>
          <w:sz w:val="24"/>
          <w:highlight w:val="none"/>
        </w:rPr>
      </w:pPr>
      <w:bookmarkStart w:id="1005" w:name="_Toc95223511"/>
      <w:r>
        <w:rPr>
          <w:rFonts w:hint="eastAsia" w:ascii="宋体" w:hAnsi="宋体" w:cs="宋体"/>
          <w:bCs/>
          <w:color w:val="auto"/>
          <w:sz w:val="24"/>
          <w:highlight w:val="none"/>
        </w:rPr>
        <w:t>附件</w:t>
      </w:r>
      <w:r>
        <w:rPr>
          <w:rFonts w:hint="eastAsia" w:ascii="宋体" w:hAnsi="宋体" w:cs="宋体"/>
          <w:bCs/>
          <w:color w:val="auto"/>
          <w:sz w:val="24"/>
          <w:highlight w:val="none"/>
          <w:lang w:val="en-US" w:eastAsia="zh-CN"/>
        </w:rPr>
        <w:t>9</w:t>
      </w:r>
      <w:r>
        <w:rPr>
          <w:rFonts w:hint="eastAsia" w:ascii="宋体" w:hAnsi="宋体" w:cs="宋体"/>
          <w:bCs/>
          <w:color w:val="auto"/>
          <w:sz w:val="24"/>
          <w:highlight w:val="none"/>
        </w:rPr>
        <w:t>：安全生产合同</w:t>
      </w:r>
      <w:bookmarkEnd w:id="1005"/>
    </w:p>
    <w:p>
      <w:pPr>
        <w:adjustRightInd w:val="0"/>
        <w:snapToGrid w:val="0"/>
        <w:spacing w:line="360" w:lineRule="auto"/>
        <w:jc w:val="center"/>
        <w:outlineLvl w:val="0"/>
        <w:rPr>
          <w:rFonts w:hint="eastAsia" w:ascii="宋体" w:hAnsi="宋体" w:cs="宋体"/>
          <w:b/>
          <w:color w:val="auto"/>
          <w:sz w:val="32"/>
          <w:szCs w:val="32"/>
          <w:highlight w:val="none"/>
        </w:rPr>
      </w:pPr>
      <w:bookmarkStart w:id="1006" w:name="_Toc16956"/>
      <w:bookmarkStart w:id="1007" w:name="_Toc95223512"/>
      <w:bookmarkStart w:id="1008" w:name="_Toc32439"/>
      <w:bookmarkStart w:id="1009" w:name="_Toc31602"/>
      <w:bookmarkStart w:id="1010" w:name="_Toc26993"/>
      <w:r>
        <w:rPr>
          <w:rFonts w:hint="eastAsia" w:ascii="宋体" w:hAnsi="宋体" w:cs="宋体"/>
          <w:b/>
          <w:color w:val="auto"/>
          <w:sz w:val="32"/>
          <w:szCs w:val="32"/>
          <w:highlight w:val="none"/>
        </w:rPr>
        <w:t>安全生产合同</w:t>
      </w:r>
      <w:bookmarkEnd w:id="1006"/>
      <w:bookmarkEnd w:id="1007"/>
      <w:bookmarkEnd w:id="1008"/>
      <w:bookmarkEnd w:id="1009"/>
      <w:bookmarkEnd w:id="1010"/>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（标段）施工合同的实施过程中创造安全、高效的施工环境，切实搞好本项目的安全管理工作，本项目发包人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（发包人名称，以下简称“发包人”）与承包人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（承包人名称，以下简称“承包人”）特此签订安全生产合同：</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1.发包人职责</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（1）严格遵守国家有关安全生产的法律法规，认真执行工程承包合同中的有关安全要求。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（2）按照“安全第一、预防为主”和坚持“管生产必须管安全”的原则进行安全生产管理，做到生产与安全工作同时计划、布置、检查、总结和评比。</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（3）重要的安全设施必须坚持与主体工程“三同时”的原则，即：同时设计、审批，同时施工，同时验收，投入使用。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（4）定期召开安全生产调度会，及时传达中央及地方有关安全生产的精神。</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（5）组织对承包人施工现场安全生产检查，监督承包人及时处理发现的各种安全隐患。</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2.承包人职责</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安全生产法》、《建设工程安全生产管理条例》等国家有关安全生产的法律法规、《建设项目安全设施“三同时”监督管理办法》等有关安全生产的规定。认真执行工程承包合同中的有关安全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建设工程安全生产管理条例》及有关规定的配备专职安全生产管理人员，专职负责所有员工的安全和治安保卫工作及预防事故的发生。安全机构人员有权按有关规定发布指令，并采取保护性措施防止事故发生。</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（4）承包人在任何时候都应采取各种合理的预防措施，防止其员工发生任何违法、违禁、暴力或妨碍治安的行为。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（7）操作人员上岗，必须按规定穿戴防护用品。施工负责人和安全检查员应随时检查劳动防护用品的穿戴情况，不按规定穿戴防护用品的人员不得上岗。</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（8）所有施工机具设备和高空作业的设备均应定期检查，并有安全员的签字记录，保证其经常处于完好状态；不合格的机具、设备和劳动保护用品严禁使用：</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（9）施工中采用新技术、新工艺、新设备、新材料时，必须制定相应的安全技术措施，施工现场必须具有相关的安全标志牌。</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（11）安全生产费用按照《建设工程安全生产管理条例》的相关规定使用和管理。</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3.违约责任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如因发包人或承包人违约造成安全事故，将依法追究责任。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4.本合同由双方法定代表人或其授权的代理人签署并加盖单位章后生效，全部工程竣工验收后失效。</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5.本合同正本—式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份，合同双方各执正本—份，副本</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份，当正本与副本的内容不一致时，以正本为准。</w:t>
      </w: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           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pPr>
        <w:spacing w:line="360" w:lineRule="auto"/>
        <w:rPr>
          <w:rFonts w:hint="eastAsia" w:ascii="宋体" w:hAnsi="宋体" w:cs="宋体"/>
          <w:color w:val="auto"/>
          <w:szCs w:val="21"/>
          <w:highlight w:val="none"/>
        </w:rPr>
      </w:pPr>
    </w:p>
    <w:p>
      <w:pPr>
        <w:spacing w:line="360" w:lineRule="auto"/>
        <w:ind w:firstLine="84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keepNext/>
        <w:keepLines/>
        <w:spacing w:before="120" w:after="120" w:line="360" w:lineRule="auto"/>
        <w:jc w:val="left"/>
        <w:outlineLvl w:val="2"/>
        <w:rPr>
          <w:rFonts w:hint="eastAsia" w:ascii="宋体" w:hAnsi="宋体" w:cs="宋体"/>
          <w:bCs/>
          <w:color w:val="auto"/>
          <w:sz w:val="24"/>
          <w:highlight w:val="none"/>
        </w:rPr>
      </w:pPr>
      <w:r>
        <w:rPr>
          <w:rFonts w:hint="eastAsia" w:ascii="宋体" w:hAnsi="宋体" w:cs="宋体"/>
          <w:bCs/>
          <w:color w:val="auto"/>
          <w:kern w:val="44"/>
          <w:sz w:val="32"/>
          <w:szCs w:val="44"/>
          <w:highlight w:val="none"/>
        </w:rPr>
        <w:br w:type="page"/>
      </w:r>
      <w:bookmarkStart w:id="1011" w:name="_Toc95223513"/>
      <w:r>
        <w:rPr>
          <w:rFonts w:hint="eastAsia" w:ascii="宋体" w:hAnsi="宋体" w:cs="宋体"/>
          <w:bCs/>
          <w:color w:val="auto"/>
          <w:sz w:val="24"/>
          <w:highlight w:val="none"/>
        </w:rPr>
        <w:t>附件1</w:t>
      </w:r>
      <w:r>
        <w:rPr>
          <w:rFonts w:hint="eastAsia" w:ascii="宋体" w:hAnsi="宋体" w:cs="宋体"/>
          <w:bCs/>
          <w:color w:val="auto"/>
          <w:sz w:val="24"/>
          <w:highlight w:val="none"/>
          <w:lang w:val="en-US" w:eastAsia="zh-CN"/>
        </w:rPr>
        <w:t>0</w:t>
      </w:r>
      <w:r>
        <w:rPr>
          <w:rFonts w:hint="eastAsia" w:ascii="宋体" w:hAnsi="宋体" w:cs="宋体"/>
          <w:bCs/>
          <w:color w:val="auto"/>
          <w:sz w:val="24"/>
          <w:highlight w:val="none"/>
        </w:rPr>
        <w:t>：项目经理质量终身责任制承诺</w:t>
      </w:r>
      <w:bookmarkEnd w:id="1011"/>
    </w:p>
    <w:p>
      <w:pPr>
        <w:keepNext/>
        <w:keepLines/>
        <w:spacing w:before="120" w:after="120" w:line="360" w:lineRule="auto"/>
        <w:jc w:val="left"/>
        <w:outlineLvl w:val="2"/>
        <w:rPr>
          <w:rFonts w:hint="eastAsia" w:ascii="宋体" w:hAnsi="宋体" w:cs="宋体"/>
          <w:bCs/>
          <w:color w:val="auto"/>
          <w:sz w:val="24"/>
          <w:highlight w:val="none"/>
        </w:rPr>
      </w:pPr>
    </w:p>
    <w:p>
      <w:pPr>
        <w:adjustRightInd w:val="0"/>
        <w:snapToGrid w:val="0"/>
        <w:spacing w:line="360" w:lineRule="auto"/>
        <w:jc w:val="center"/>
        <w:outlineLvl w:val="0"/>
        <w:rPr>
          <w:rFonts w:hint="eastAsia" w:ascii="宋体" w:hAnsi="宋体" w:cs="宋体"/>
          <w:b/>
          <w:color w:val="auto"/>
          <w:sz w:val="32"/>
          <w:szCs w:val="32"/>
          <w:highlight w:val="none"/>
        </w:rPr>
      </w:pPr>
      <w:bookmarkStart w:id="1012" w:name="_Toc95223514"/>
      <w:bookmarkStart w:id="1013" w:name="_Toc31476"/>
      <w:bookmarkStart w:id="1014" w:name="_Toc19059"/>
      <w:bookmarkStart w:id="1015" w:name="_Toc20282"/>
      <w:bookmarkStart w:id="1016" w:name="_Toc4934"/>
      <w:r>
        <w:rPr>
          <w:rFonts w:hint="eastAsia" w:ascii="宋体" w:hAnsi="宋体" w:cs="宋体"/>
          <w:b/>
          <w:color w:val="auto"/>
          <w:sz w:val="32"/>
          <w:szCs w:val="32"/>
          <w:highlight w:val="none"/>
        </w:rPr>
        <w:t>项目经理质量终身责任制承诺</w:t>
      </w:r>
      <w:bookmarkEnd w:id="1012"/>
      <w:bookmarkEnd w:id="1013"/>
      <w:bookmarkEnd w:id="1014"/>
      <w:bookmarkEnd w:id="1015"/>
      <w:bookmarkEnd w:id="1016"/>
    </w:p>
    <w:p>
      <w:pPr>
        <w:adjustRightInd w:val="0"/>
        <w:snapToGrid w:val="0"/>
        <w:spacing w:line="360" w:lineRule="auto"/>
        <w:jc w:val="center"/>
        <w:outlineLvl w:val="0"/>
        <w:rPr>
          <w:rFonts w:hint="eastAsia" w:ascii="宋体" w:hAnsi="宋体" w:cs="宋体"/>
          <w:b/>
          <w:color w:val="auto"/>
          <w:sz w:val="32"/>
          <w:szCs w:val="32"/>
          <w:highlight w:val="none"/>
        </w:rPr>
      </w:pPr>
    </w:p>
    <w:p>
      <w:pPr>
        <w:adjustRightInd w:val="0"/>
        <w:snapToGrid w:val="0"/>
        <w:spacing w:line="360" w:lineRule="auto"/>
        <w:rPr>
          <w:rFonts w:hint="eastAsia" w:ascii="宋体" w:hAnsi="宋体" w:cs="宋体"/>
          <w:bCs/>
          <w:color w:val="auto"/>
          <w:sz w:val="24"/>
          <w:szCs w:val="21"/>
          <w:highlight w:val="none"/>
        </w:rPr>
      </w:pPr>
      <w:r>
        <w:rPr>
          <w:rFonts w:hint="eastAsia" w:ascii="宋体" w:hAnsi="宋体" w:cs="宋体"/>
          <w:bCs/>
          <w:color w:val="auto"/>
          <w:sz w:val="24"/>
          <w:szCs w:val="21"/>
          <w:highlight w:val="none"/>
        </w:rPr>
        <w:t>致：______________(招标人名称)</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本人作为拟委任的施工项目经理，承担相关质量终身责任，现郑重承诺如下：</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一、在取得施工许可证后进行施工。</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二、严格执行施工规范及标准。</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三、严格按规定配备施工项目部关键岗位人员，并确保所有人员到岗履职。</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四、严格按照经施工图审查机构审查合格的工程设计文件及合同约定的质量标准精心组织施工。</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五、施工中采用合格的建筑材料、建筑构配件和设备等，并严格按规定执行见证取样制度。</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六、建立、健全质量检查、验收制度，严格工序管理，做好隐蔽工程质量的检查和记录。</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七、对施工中出现的质量问题，及时进行整改。严格依法依规履行义务。</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八、履行相关工程质量检查、验收及事故处理等职责。</w:t>
      </w:r>
    </w:p>
    <w:p>
      <w:pPr>
        <w:adjustRightInd w:val="0"/>
        <w:snapToGrid w:val="0"/>
        <w:spacing w:line="360" w:lineRule="auto"/>
        <w:ind w:firstLine="480" w:firstLineChars="200"/>
        <w:rPr>
          <w:rFonts w:hint="eastAsia" w:ascii="宋体" w:hAnsi="宋体" w:cs="宋体"/>
          <w:bCs/>
          <w:color w:val="auto"/>
          <w:sz w:val="24"/>
          <w:szCs w:val="21"/>
          <w:highlight w:val="none"/>
        </w:rPr>
      </w:pPr>
      <w:r>
        <w:rPr>
          <w:rFonts w:hint="eastAsia" w:ascii="宋体" w:hAnsi="宋体" w:cs="宋体"/>
          <w:bCs/>
          <w:color w:val="auto"/>
          <w:sz w:val="24"/>
          <w:szCs w:val="21"/>
          <w:highlight w:val="none"/>
        </w:rPr>
        <w:t>九、履行其他法律法规规定的职责。</w:t>
      </w:r>
    </w:p>
    <w:p>
      <w:pPr>
        <w:spacing w:line="360" w:lineRule="auto"/>
        <w:ind w:left="359" w:leftChars="171" w:firstLine="720" w:firstLineChars="300"/>
        <w:rPr>
          <w:rFonts w:hint="eastAsia" w:ascii="宋体" w:hAnsi="宋体" w:cs="宋体"/>
          <w:bCs/>
          <w:color w:val="auto"/>
          <w:sz w:val="24"/>
          <w:szCs w:val="21"/>
          <w:highlight w:val="none"/>
        </w:rPr>
      </w:pPr>
    </w:p>
    <w:p>
      <w:pPr>
        <w:spacing w:line="360" w:lineRule="auto"/>
        <w:ind w:left="359" w:leftChars="171" w:firstLine="720" w:firstLineChars="300"/>
        <w:rPr>
          <w:rFonts w:hint="eastAsia" w:ascii="宋体" w:hAnsi="宋体" w:cs="宋体"/>
          <w:bCs/>
          <w:color w:val="auto"/>
          <w:sz w:val="24"/>
          <w:szCs w:val="21"/>
          <w:highlight w:val="none"/>
        </w:rPr>
      </w:pPr>
    </w:p>
    <w:p>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项目经理：</w:t>
      </w:r>
      <w:r>
        <w:rPr>
          <w:rFonts w:hint="eastAsia" w:ascii="宋体" w:hAnsi="宋体" w:cs="宋体"/>
          <w:bCs/>
          <w:color w:val="auto"/>
          <w:sz w:val="24"/>
          <w:szCs w:val="21"/>
          <w:highlight w:val="none"/>
          <w:u w:val="single"/>
        </w:rPr>
        <w:t xml:space="preserve">                   </w:t>
      </w:r>
      <w:r>
        <w:rPr>
          <w:rFonts w:hint="eastAsia" w:ascii="宋体" w:hAnsi="宋体" w:cs="宋体"/>
          <w:bCs/>
          <w:color w:val="auto"/>
          <w:sz w:val="24"/>
          <w:szCs w:val="21"/>
          <w:highlight w:val="none"/>
        </w:rPr>
        <w:t>（签字）</w:t>
      </w:r>
    </w:p>
    <w:p>
      <w:pPr>
        <w:spacing w:line="360" w:lineRule="auto"/>
        <w:ind w:left="359" w:leftChars="171" w:firstLine="720" w:firstLineChars="300"/>
        <w:rPr>
          <w:rFonts w:hint="eastAsia" w:ascii="宋体" w:hAnsi="宋体" w:cs="宋体"/>
          <w:bCs/>
          <w:color w:val="auto"/>
          <w:sz w:val="24"/>
          <w:szCs w:val="21"/>
          <w:highlight w:val="none"/>
        </w:rPr>
      </w:pPr>
      <w:r>
        <w:rPr>
          <w:rFonts w:hint="eastAsia" w:ascii="宋体" w:hAnsi="宋体" w:cs="宋体"/>
          <w:bCs/>
          <w:color w:val="auto"/>
          <w:sz w:val="24"/>
          <w:szCs w:val="21"/>
          <w:highlight w:val="none"/>
        </w:rPr>
        <w:t>日期：_____年____月____日</w:t>
      </w:r>
    </w:p>
    <w:p>
      <w:pPr>
        <w:pStyle w:val="14"/>
        <w:rPr>
          <w:rFonts w:hint="eastAsia"/>
          <w:color w:val="auto"/>
          <w:highlight w:val="none"/>
        </w:rPr>
      </w:pPr>
    </w:p>
    <w:p>
      <w:pPr>
        <w:rPr>
          <w:rFonts w:hint="eastAsia"/>
          <w:bCs/>
          <w:color w:val="auto"/>
          <w:szCs w:val="32"/>
          <w:highlight w:val="none"/>
        </w:rPr>
      </w:pPr>
    </w:p>
    <w:p>
      <w:pPr>
        <w:rPr>
          <w:rFonts w:hint="eastAsia"/>
          <w:bCs/>
          <w:color w:val="auto"/>
          <w:szCs w:val="32"/>
          <w:highlight w:val="none"/>
        </w:rPr>
      </w:pPr>
    </w:p>
    <w:p>
      <w:pPr>
        <w:rPr>
          <w:rFonts w:hint="eastAsia"/>
          <w:bCs/>
          <w:color w:val="auto"/>
          <w:szCs w:val="32"/>
          <w:highlight w:val="none"/>
        </w:rPr>
      </w:pPr>
    </w:p>
    <w:p>
      <w:pPr>
        <w:rPr>
          <w:rFonts w:hint="eastAsia"/>
          <w:bCs/>
          <w:color w:val="auto"/>
          <w:szCs w:val="32"/>
          <w:highlight w:val="none"/>
        </w:rPr>
      </w:pPr>
    </w:p>
    <w:p>
      <w:pPr>
        <w:rPr>
          <w:rFonts w:hint="eastAsia"/>
          <w:bCs/>
          <w:color w:val="auto"/>
          <w:szCs w:val="32"/>
          <w:highlight w:val="none"/>
        </w:rPr>
      </w:pPr>
    </w:p>
    <w:p>
      <w:pPr>
        <w:rPr>
          <w:rFonts w:hint="eastAsia"/>
          <w:bCs/>
          <w:color w:val="auto"/>
          <w:szCs w:val="32"/>
          <w:highlight w:val="none"/>
        </w:rPr>
      </w:pPr>
    </w:p>
    <w:p>
      <w:pPr>
        <w:rPr>
          <w:rFonts w:hint="eastAsia"/>
          <w:bCs/>
          <w:color w:val="auto"/>
          <w:szCs w:val="32"/>
          <w:highlight w:val="none"/>
        </w:rPr>
      </w:pPr>
    </w:p>
    <w:p>
      <w:pPr>
        <w:rPr>
          <w:rFonts w:hint="eastAsia"/>
          <w:bCs/>
          <w:color w:val="auto"/>
          <w:szCs w:val="32"/>
          <w:highlight w:val="none"/>
        </w:rPr>
      </w:pPr>
    </w:p>
    <w:p>
      <w:pPr>
        <w:rPr>
          <w:rFonts w:hint="eastAsia"/>
          <w:bCs/>
          <w:color w:val="auto"/>
          <w:szCs w:val="32"/>
          <w:highlight w:val="none"/>
        </w:rPr>
      </w:pPr>
    </w:p>
    <w:p>
      <w:pPr>
        <w:pStyle w:val="43"/>
        <w:numPr>
          <w:ilvl w:val="0"/>
          <w:numId w:val="7"/>
        </w:numPr>
        <w:spacing w:beforeLines="50" w:afterLines="50" w:line="440" w:lineRule="exact"/>
        <w:rPr>
          <w:rFonts w:hint="eastAsia" w:eastAsia="宋体" w:cs="Times New Roman"/>
          <w:bCs/>
          <w:color w:val="auto"/>
          <w:szCs w:val="32"/>
          <w:highlight w:val="none"/>
        </w:rPr>
      </w:pPr>
      <w:bookmarkStart w:id="1017" w:name="_Toc4767"/>
      <w:bookmarkStart w:id="1018" w:name="_Toc95223515"/>
      <w:r>
        <w:rPr>
          <w:rFonts w:hint="eastAsia" w:eastAsia="宋体" w:cs="Times New Roman"/>
          <w:bCs/>
          <w:color w:val="auto"/>
          <w:szCs w:val="32"/>
          <w:highlight w:val="none"/>
        </w:rPr>
        <w:t xml:space="preserve"> </w:t>
      </w:r>
      <w:bookmarkStart w:id="1019" w:name="_Toc3388"/>
      <w:bookmarkStart w:id="1020" w:name="_Toc10898"/>
      <w:r>
        <w:rPr>
          <w:rFonts w:hint="eastAsia" w:eastAsia="宋体" w:cs="Times New Roman"/>
          <w:bCs/>
          <w:color w:val="auto"/>
          <w:szCs w:val="32"/>
          <w:highlight w:val="none"/>
        </w:rPr>
        <w:t>工程量清单</w:t>
      </w:r>
      <w:bookmarkEnd w:id="1017"/>
      <w:bookmarkEnd w:id="1018"/>
      <w:bookmarkEnd w:id="1019"/>
      <w:bookmarkEnd w:id="1020"/>
    </w:p>
    <w:p>
      <w:pPr>
        <w:adjustRightInd w:val="0"/>
        <w:snapToGrid w:val="0"/>
        <w:spacing w:line="360" w:lineRule="auto"/>
        <w:ind w:firstLine="422" w:firstLineChars="200"/>
        <w:rPr>
          <w:rFonts w:hint="eastAsia" w:ascii="宋体" w:hAnsi="宋体" w:cs="宋体"/>
          <w:b/>
          <w:bCs/>
          <w:color w:val="auto"/>
          <w:szCs w:val="21"/>
          <w:highlight w:val="none"/>
        </w:rPr>
      </w:pPr>
      <w:bookmarkStart w:id="1021" w:name="_Toc95223516"/>
      <w:bookmarkStart w:id="1022" w:name="_Toc1620"/>
      <w:r>
        <w:rPr>
          <w:rFonts w:hint="eastAsia" w:ascii="宋体" w:hAnsi="宋体" w:cs="宋体"/>
          <w:b/>
          <w:bCs/>
          <w:color w:val="auto"/>
          <w:szCs w:val="21"/>
          <w:highlight w:val="none"/>
        </w:rPr>
        <w:t>1. 计价依据</w:t>
      </w:r>
      <w:bookmarkEnd w:id="1021"/>
      <w:bookmarkEnd w:id="1022"/>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计价依据的确定符合国家法律法规、现行有关标准与规范，工程所在地的省、市工程定额和工程造价的规定以及工程造价信息要求。</w:t>
      </w:r>
    </w:p>
    <w:p>
      <w:pPr>
        <w:adjustRightInd w:val="0"/>
        <w:snapToGrid w:val="0"/>
        <w:spacing w:line="360" w:lineRule="auto"/>
        <w:ind w:firstLine="422" w:firstLineChars="200"/>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 xml:space="preserve">2.编制依据 </w:t>
      </w:r>
    </w:p>
    <w:p>
      <w:pPr>
        <w:adjustRightInd w:val="0"/>
        <w:snapToGrid w:val="0"/>
        <w:spacing w:line="360" w:lineRule="auto"/>
        <w:ind w:firstLine="420" w:firstLineChars="20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2.1详见工程量清单及最高投标报价。</w:t>
      </w:r>
    </w:p>
    <w:p>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投标报价编制注意事项</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除可调整价格的主要材料和甲供材及实行暂估价的材料及设备以外，其他由投标人自行采购的材料确定投标报价时应充分考虑材料价格上涨等市场风险因素，中标后不作调整，综合单价中的材料费应包含材料运杂费、采保费等一切应有费用；</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（2）结算时实行暂估价的材料和设备的价差仅计取税金，不再计取其他费用；</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招标工程的施工地点为本须知前附表所述，投标人应自行到施工现场踏勘以充分了解工地位置、情况、道路、储存空间、装卸限制及任何其他足以影响投标报价的情况，任何因忽视或误解施工场地情况而导致的索赔或工期延长申请将不被批准。对于受施工现场场地限制，如需要另外寻找场地解决临时住宿、材料及设备堆放，由此所产生的费用应包含在投标报价范围内，招标人不再承担该费用；</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开标前，投标人应认真对照施工设计图纸等文件核对招标人提供的工程量清单，发现工程量存在项目划分误差、计量单位误差、数量误差、遗漏项目的，必须在招标文件规定的时间内向招标人提出异议或修正要求，否则招标人可不予答复；</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招标人对异议或修正要求应进行核实，确认工程量单项子目误差在±3%（含±3%）以内的，招标人可不予调整工程量，投标人应将其误差考虑在综合单价内；若有遗漏项目或单项子目工程量误差超过±3%的，招标人应进行修正并重新公布准确的工程量清单；</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 除合同另有约定外，中标人在工程量清单报价书中所报的综合单价在施工图纸和合同约定范围一律不予调整；</w:t>
      </w:r>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（7）本招标工程不接受恶意不平衡报价，不保证最低价中标。</w:t>
      </w:r>
    </w:p>
    <w:p>
      <w:pPr>
        <w:adjustRightInd w:val="0"/>
        <w:snapToGrid w:val="0"/>
        <w:spacing w:line="360" w:lineRule="auto"/>
        <w:ind w:firstLine="422" w:firstLineChars="200"/>
        <w:rPr>
          <w:rFonts w:hint="eastAsia" w:ascii="宋体" w:hAnsi="宋体" w:cs="宋体"/>
          <w:color w:val="auto"/>
          <w:szCs w:val="21"/>
          <w:highlight w:val="none"/>
        </w:rPr>
      </w:pPr>
      <w:bookmarkStart w:id="1023" w:name="_Toc4881"/>
      <w:bookmarkStart w:id="1024" w:name="_Toc95223521"/>
      <w:r>
        <w:rPr>
          <w:rFonts w:hint="eastAsia" w:ascii="宋体" w:hAnsi="宋体" w:cs="宋体"/>
          <w:b/>
          <w:bCs/>
          <w:color w:val="auto"/>
          <w:szCs w:val="21"/>
          <w:highlight w:val="none"/>
          <w:lang w:val="en-US" w:eastAsia="zh-CN"/>
        </w:rPr>
        <w:t>4</w:t>
      </w:r>
      <w:r>
        <w:rPr>
          <w:rFonts w:hint="eastAsia" w:ascii="宋体" w:hAnsi="宋体" w:cs="宋体"/>
          <w:b/>
          <w:bCs/>
          <w:color w:val="auto"/>
          <w:szCs w:val="21"/>
          <w:highlight w:val="none"/>
        </w:rPr>
        <w:t>. 工程量清单</w:t>
      </w:r>
      <w:bookmarkEnd w:id="1023"/>
      <w:bookmarkEnd w:id="1024"/>
    </w:p>
    <w:p>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另</w:t>
      </w:r>
      <w:r>
        <w:rPr>
          <w:rFonts w:hint="eastAsia" w:ascii="宋体" w:hAnsi="宋体" w:cs="宋体"/>
          <w:color w:val="auto"/>
          <w:szCs w:val="21"/>
          <w:highlight w:val="none"/>
          <w:lang w:val="en-US" w:eastAsia="zh-CN"/>
        </w:rPr>
        <w:t>附</w:t>
      </w:r>
      <w:r>
        <w:rPr>
          <w:rFonts w:hint="eastAsia" w:ascii="宋体" w:hAnsi="宋体" w:cs="宋体"/>
          <w:color w:val="auto"/>
          <w:szCs w:val="21"/>
          <w:highlight w:val="none"/>
        </w:rPr>
        <w:t>。</w:t>
      </w:r>
    </w:p>
    <w:p>
      <w:pPr>
        <w:pStyle w:val="43"/>
        <w:numPr>
          <w:ilvl w:val="0"/>
          <w:numId w:val="0"/>
        </w:numPr>
        <w:spacing w:beforeLines="50" w:afterLines="50" w:line="440" w:lineRule="exact"/>
        <w:jc w:val="center"/>
        <w:rPr>
          <w:rFonts w:hint="eastAsia" w:eastAsia="宋体" w:cs="Times New Roman"/>
          <w:bCs/>
          <w:color w:val="auto"/>
          <w:szCs w:val="32"/>
          <w:highlight w:val="none"/>
          <w:lang w:val="en-US" w:eastAsia="zh-CN"/>
        </w:rPr>
      </w:pPr>
    </w:p>
    <w:p>
      <w:pPr>
        <w:pStyle w:val="43"/>
        <w:numPr>
          <w:ilvl w:val="0"/>
          <w:numId w:val="7"/>
        </w:numPr>
        <w:spacing w:beforeLines="50" w:afterLines="50" w:line="440" w:lineRule="exact"/>
        <w:jc w:val="center"/>
        <w:rPr>
          <w:rFonts w:hint="eastAsia" w:eastAsia="宋体" w:cs="Times New Roman"/>
          <w:bCs/>
          <w:color w:val="auto"/>
          <w:szCs w:val="32"/>
          <w:highlight w:val="none"/>
        </w:rPr>
      </w:pPr>
      <w:bookmarkStart w:id="1025" w:name="_Toc25013"/>
      <w:bookmarkStart w:id="1026" w:name="_Toc20597"/>
      <w:r>
        <w:rPr>
          <w:rFonts w:hint="eastAsia" w:eastAsia="宋体" w:cs="Times New Roman"/>
          <w:bCs/>
          <w:color w:val="auto"/>
          <w:szCs w:val="32"/>
          <w:highlight w:val="none"/>
          <w:lang w:val="en-US" w:eastAsia="zh-CN"/>
        </w:rPr>
        <w:t>图纸</w:t>
      </w:r>
      <w:bookmarkEnd w:id="1025"/>
      <w:bookmarkEnd w:id="1026"/>
    </w:p>
    <w:p>
      <w:pPr>
        <w:pStyle w:val="43"/>
        <w:numPr>
          <w:ilvl w:val="0"/>
          <w:numId w:val="0"/>
        </w:numPr>
        <w:spacing w:beforeLines="50" w:afterLines="50" w:line="440" w:lineRule="exact"/>
        <w:jc w:val="center"/>
        <w:rPr>
          <w:rFonts w:hint="eastAsia" w:eastAsia="宋体" w:cs="Times New Roman"/>
          <w:bCs/>
          <w:color w:val="auto"/>
          <w:szCs w:val="32"/>
          <w:highlight w:val="none"/>
        </w:rPr>
      </w:pPr>
      <w:bookmarkStart w:id="1027" w:name="_Toc23816"/>
      <w:bookmarkStart w:id="1028" w:name="_Toc18733"/>
      <w:r>
        <w:rPr>
          <w:rFonts w:hint="eastAsia" w:eastAsia="宋体" w:cs="Times New Roman"/>
          <w:bCs/>
          <w:color w:val="auto"/>
          <w:szCs w:val="32"/>
          <w:highlight w:val="none"/>
          <w:lang w:val="en-US" w:eastAsia="zh-CN"/>
        </w:rPr>
        <w:t>另附</w:t>
      </w:r>
      <w:bookmarkEnd w:id="1027"/>
      <w:bookmarkEnd w:id="1028"/>
    </w:p>
    <w:p>
      <w:pPr>
        <w:rPr>
          <w:rFonts w:hint="eastAsia"/>
          <w:bCs/>
          <w:color w:val="auto"/>
          <w:szCs w:val="32"/>
          <w:highlight w:val="none"/>
        </w:rPr>
      </w:pPr>
      <w:r>
        <w:rPr>
          <w:rFonts w:hint="eastAsia"/>
          <w:bCs/>
          <w:color w:val="auto"/>
          <w:szCs w:val="32"/>
          <w:highlight w:val="none"/>
        </w:rPr>
        <w:br w:type="page"/>
      </w:r>
    </w:p>
    <w:p>
      <w:pPr>
        <w:pStyle w:val="43"/>
        <w:spacing w:beforeLines="50" w:afterLines="50" w:line="440" w:lineRule="exact"/>
        <w:rPr>
          <w:bCs/>
          <w:color w:val="auto"/>
          <w:szCs w:val="32"/>
          <w:highlight w:val="none"/>
        </w:rPr>
      </w:pPr>
      <w:bookmarkStart w:id="1029" w:name="_Toc10062"/>
      <w:bookmarkStart w:id="1030" w:name="_Toc8272"/>
      <w:r>
        <w:rPr>
          <w:rFonts w:hint="eastAsia"/>
          <w:bCs/>
          <w:color w:val="auto"/>
          <w:szCs w:val="32"/>
          <w:highlight w:val="none"/>
        </w:rPr>
        <w:t>第</w:t>
      </w:r>
      <w:r>
        <w:rPr>
          <w:rFonts w:hint="eastAsia"/>
          <w:bCs/>
          <w:color w:val="auto"/>
          <w:szCs w:val="32"/>
          <w:highlight w:val="none"/>
          <w:lang w:val="en-US" w:eastAsia="zh-CN"/>
        </w:rPr>
        <w:t>七</w:t>
      </w:r>
      <w:r>
        <w:rPr>
          <w:rFonts w:hint="eastAsia"/>
          <w:bCs/>
          <w:color w:val="auto"/>
          <w:szCs w:val="32"/>
          <w:highlight w:val="none"/>
        </w:rPr>
        <w:t>章  投标文件格式</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1029"/>
      <w:bookmarkEnd w:id="1030"/>
    </w:p>
    <w:p>
      <w:pPr>
        <w:rPr>
          <w:color w:val="auto"/>
          <w:highlight w:val="none"/>
        </w:rPr>
      </w:pPr>
    </w:p>
    <w:p>
      <w:pPr>
        <w:rPr>
          <w:color w:val="auto"/>
          <w:highlight w:val="none"/>
        </w:rPr>
      </w:pPr>
    </w:p>
    <w:p>
      <w:pPr>
        <w:rPr>
          <w:color w:val="auto"/>
          <w:highlight w:val="none"/>
        </w:rPr>
      </w:pPr>
    </w:p>
    <w:p>
      <w:pPr>
        <w:jc w:val="center"/>
        <w:rPr>
          <w:rFonts w:eastAsia="黑体"/>
          <w:color w:val="auto"/>
          <w:sz w:val="20"/>
          <w:szCs w:val="20"/>
          <w:highlight w:val="none"/>
        </w:rPr>
      </w:pPr>
      <w:r>
        <w:rPr>
          <w:rFonts w:eastAsia="黑体"/>
          <w:color w:val="auto"/>
          <w:sz w:val="28"/>
          <w:szCs w:val="28"/>
          <w:highlight w:val="none"/>
        </w:rPr>
        <w:t>（项目名称）</w:t>
      </w:r>
    </w:p>
    <w:p>
      <w:pPr>
        <w:jc w:val="center"/>
        <w:rPr>
          <w:rFonts w:eastAsia="黑体"/>
          <w:color w:val="auto"/>
          <w:sz w:val="20"/>
          <w:szCs w:val="20"/>
          <w:highlight w:val="none"/>
        </w:rPr>
      </w:pPr>
    </w:p>
    <w:p>
      <w:pPr>
        <w:jc w:val="center"/>
        <w:rPr>
          <w:rFonts w:eastAsia="黑体"/>
          <w:color w:val="auto"/>
          <w:sz w:val="20"/>
          <w:szCs w:val="20"/>
          <w:highlight w:val="none"/>
        </w:rPr>
      </w:pPr>
    </w:p>
    <w:p>
      <w:pPr>
        <w:jc w:val="center"/>
        <w:rPr>
          <w:rFonts w:eastAsia="黑体"/>
          <w:color w:val="auto"/>
          <w:sz w:val="20"/>
          <w:szCs w:val="20"/>
          <w:highlight w:val="none"/>
        </w:rPr>
      </w:pPr>
    </w:p>
    <w:p>
      <w:pPr>
        <w:rPr>
          <w:rFonts w:eastAsia="黑体"/>
          <w:color w:val="auto"/>
          <w:sz w:val="20"/>
          <w:szCs w:val="20"/>
          <w:highlight w:val="none"/>
        </w:rPr>
      </w:pPr>
    </w:p>
    <w:p>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一</w:t>
      </w:r>
    </w:p>
    <w:p>
      <w:pPr>
        <w:jc w:val="center"/>
        <w:rPr>
          <w:rFonts w:eastAsia="黑体"/>
          <w:color w:val="auto"/>
          <w:sz w:val="44"/>
          <w:szCs w:val="44"/>
          <w:highlight w:val="none"/>
        </w:rPr>
      </w:pPr>
      <w:r>
        <w:rPr>
          <w:rFonts w:hint="eastAsia" w:eastAsia="黑体"/>
          <w:color w:val="auto"/>
          <w:sz w:val="44"/>
          <w:szCs w:val="44"/>
          <w:highlight w:val="none"/>
        </w:rPr>
        <w:t>（资信证明文件）</w:t>
      </w: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pStyle w:val="14"/>
        <w:ind w:firstLine="420"/>
        <w:rPr>
          <w:rFonts w:ascii="Times New Roman"/>
          <w:color w:val="auto"/>
          <w:szCs w:val="24"/>
          <w:highlight w:val="none"/>
        </w:rPr>
      </w:pPr>
    </w:p>
    <w:p>
      <w:pPr>
        <w:rPr>
          <w:rFonts w:ascii="Times New Roman"/>
          <w:color w:val="auto"/>
          <w:szCs w:val="24"/>
          <w:highlight w:val="none"/>
        </w:rPr>
      </w:pPr>
    </w:p>
    <w:p>
      <w:pPr>
        <w:pStyle w:val="14"/>
        <w:rPr>
          <w:rFonts w:ascii="Times New Roman"/>
          <w:color w:val="auto"/>
          <w:szCs w:val="24"/>
          <w:highlight w:val="none"/>
        </w:rPr>
      </w:pPr>
    </w:p>
    <w:p>
      <w:pPr>
        <w:rPr>
          <w:rFonts w:ascii="Times New Roman"/>
          <w:color w:val="auto"/>
          <w:szCs w:val="24"/>
          <w:highlight w:val="none"/>
        </w:rPr>
      </w:pPr>
    </w:p>
    <w:p>
      <w:pPr>
        <w:pStyle w:val="14"/>
        <w:rPr>
          <w:color w:val="auto"/>
          <w:highlight w:val="none"/>
        </w:rPr>
      </w:pPr>
    </w:p>
    <w:p>
      <w:pPr>
        <w:pStyle w:val="14"/>
        <w:ind w:firstLine="420"/>
        <w:rPr>
          <w:color w:val="auto"/>
          <w:highlight w:val="none"/>
        </w:rPr>
      </w:pPr>
    </w:p>
    <w:p>
      <w:pPr>
        <w:rPr>
          <w:rFonts w:eastAsia="黑体"/>
          <w:color w:val="auto"/>
          <w:sz w:val="28"/>
          <w:szCs w:val="28"/>
          <w:highlight w:val="none"/>
        </w:rPr>
      </w:pPr>
    </w:p>
    <w:p>
      <w:pPr>
        <w:rPr>
          <w:rFonts w:eastAsia="黑体"/>
          <w:color w:val="auto"/>
          <w:sz w:val="28"/>
          <w:szCs w:val="28"/>
          <w:highlight w:val="none"/>
        </w:rPr>
      </w:pPr>
    </w:p>
    <w:p>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pPr>
        <w:rPr>
          <w:color w:val="auto"/>
          <w:highlight w:val="none"/>
        </w:rPr>
      </w:pPr>
      <w:bookmarkStart w:id="1031" w:name="_Toc35424971"/>
      <w:bookmarkStart w:id="1032" w:name="_Toc35425137"/>
      <w:bookmarkStart w:id="1033" w:name="_Toc12683"/>
    </w:p>
    <w:p>
      <w:pPr>
        <w:spacing w:beforeLines="50" w:afterLines="50" w:line="440" w:lineRule="exact"/>
        <w:ind w:firstLine="643" w:firstLineChars="200"/>
        <w:jc w:val="left"/>
        <w:rPr>
          <w:rFonts w:ascii="宋体" w:hAnsi="宋体" w:cs="宋体"/>
          <w:b/>
          <w:color w:val="auto"/>
          <w:sz w:val="28"/>
          <w:szCs w:val="28"/>
          <w:highlight w:val="none"/>
        </w:rPr>
      </w:pPr>
      <w:bookmarkStart w:id="1034" w:name="_Toc78803399"/>
      <w:r>
        <w:rPr>
          <w:rStyle w:val="65"/>
          <w:rFonts w:hint="eastAsia" w:ascii="宋体" w:hAnsi="宋体" w:cs="宋体"/>
          <w:color w:val="auto"/>
          <w:sz w:val="32"/>
          <w:highlight w:val="none"/>
        </w:rPr>
        <w:br w:type="page"/>
      </w:r>
      <w:bookmarkStart w:id="1035" w:name="_Toc30830"/>
      <w:bookmarkStart w:id="1036" w:name="_Toc32179"/>
      <w:r>
        <w:rPr>
          <w:rStyle w:val="65"/>
          <w:rFonts w:hint="eastAsia" w:ascii="宋体" w:hAnsi="宋体" w:cs="宋体"/>
          <w:color w:val="auto"/>
          <w:sz w:val="32"/>
          <w:highlight w:val="none"/>
        </w:rPr>
        <w:t>投标文件一</w:t>
      </w:r>
      <w:bookmarkEnd w:id="1031"/>
      <w:bookmarkEnd w:id="1032"/>
      <w:bookmarkEnd w:id="1033"/>
      <w:bookmarkEnd w:id="1034"/>
      <w:bookmarkEnd w:id="1035"/>
      <w:bookmarkEnd w:id="1036"/>
      <w:r>
        <w:rPr>
          <w:rFonts w:hint="eastAsia" w:ascii="宋体" w:hAnsi="宋体" w:cs="宋体"/>
          <w:b/>
          <w:color w:val="auto"/>
          <w:sz w:val="28"/>
          <w:szCs w:val="28"/>
          <w:highlight w:val="none"/>
        </w:rPr>
        <w:t>：资信证明文件目录</w:t>
      </w:r>
    </w:p>
    <w:p>
      <w:pPr>
        <w:spacing w:line="440" w:lineRule="exact"/>
        <w:ind w:right="-168" w:rightChars="-8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（1）法定代表人身份证明和本人有效身份证(或法定代表人授权委托书和委托代理人有效身份证)；</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（2）诚信投标承诺书；</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（3）企业法人营业执照；</w:t>
      </w:r>
    </w:p>
    <w:p>
      <w:pPr>
        <w:spacing w:line="44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企业资质证书；</w:t>
      </w:r>
    </w:p>
    <w:p>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企业安全生产许可证</w:t>
      </w:r>
      <w:r>
        <w:rPr>
          <w:rFonts w:hint="eastAsia" w:ascii="宋体" w:hAnsi="宋体" w:cs="宋体"/>
          <w:color w:val="auto"/>
          <w:szCs w:val="21"/>
          <w:highlight w:val="none"/>
          <w:lang w:eastAsia="zh-CN"/>
        </w:rPr>
        <w:t>；</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）项目经理（建造师）有效身份证、注册证书以及安全生产考核合格证书（B证）</w:t>
      </w:r>
      <w:r>
        <w:rPr>
          <w:rFonts w:hint="eastAsia" w:ascii="宋体" w:hAnsi="宋体" w:cs="宋体"/>
          <w:color w:val="auto"/>
          <w:szCs w:val="21"/>
          <w:highlight w:val="none"/>
        </w:rPr>
        <w:t>；</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投标人的法定代表人(或委托代理人)和拟任项目经理（建造师）须持有社保部门出具的本单位为其缴纳的投标前近三个月连续的养老保险证明（含官网在线打印件，证明文件两个月内有效）（同一人担任不同公司法定代表人的，该法定代表人参加本项目投标时须提供本人在其他公司任法定代表人的营业执照及为其缴纳养老保险证明材料），投标人是事业单位的，暂未缴纳养老保险的，须由其主管部门出具证明；</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资信评分评审所需材料及</w:t>
      </w:r>
      <w:r>
        <w:rPr>
          <w:rFonts w:hint="eastAsia" w:ascii="宋体" w:hAnsi="宋体" w:cs="宋体"/>
          <w:color w:val="auto"/>
          <w:szCs w:val="21"/>
          <w:highlight w:val="none"/>
        </w:rPr>
        <w:t>投标人认为需要的其它证明材料。</w:t>
      </w:r>
    </w:p>
    <w:p>
      <w:pPr>
        <w:spacing w:line="360" w:lineRule="auto"/>
        <w:jc w:val="center"/>
        <w:rPr>
          <w:rFonts w:ascii="宋体"/>
          <w:b/>
          <w:color w:val="auto"/>
          <w:sz w:val="28"/>
          <w:szCs w:val="28"/>
          <w:highlight w:val="none"/>
        </w:rPr>
      </w:pPr>
      <w:r>
        <w:rPr>
          <w:rFonts w:hint="eastAsia"/>
          <w:b/>
          <w:color w:val="auto"/>
          <w:sz w:val="28"/>
          <w:szCs w:val="28"/>
          <w:highlight w:val="none"/>
        </w:rPr>
        <w:br w:type="page"/>
      </w:r>
      <w:r>
        <w:rPr>
          <w:rFonts w:hint="eastAsia"/>
          <w:b/>
          <w:color w:val="auto"/>
          <w:sz w:val="28"/>
          <w:szCs w:val="28"/>
          <w:highlight w:val="none"/>
        </w:rPr>
        <w:t>（1）法定代表人身份证明或授权委托书</w:t>
      </w:r>
    </w:p>
    <w:p>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b/>
          <w:color w:val="auto"/>
          <w:sz w:val="24"/>
          <w:szCs w:val="24"/>
          <w:highlight w:val="none"/>
        </w:rPr>
      </w:pPr>
      <w:bookmarkStart w:id="1037" w:name="_Toc503196197"/>
      <w:bookmarkStart w:id="1038" w:name="_Toc506107356"/>
      <w:bookmarkStart w:id="1039" w:name="_Toc26598"/>
      <w:r>
        <w:rPr>
          <w:rFonts w:hint="eastAsia" w:ascii="宋体"/>
          <w:color w:val="auto"/>
          <w:sz w:val="24"/>
          <w:szCs w:val="24"/>
          <w:highlight w:val="none"/>
        </w:rPr>
        <w:t>1、法定代表人身份证明</w:t>
      </w:r>
    </w:p>
    <w:p>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投标人名称：</w:t>
      </w:r>
      <w:r>
        <w:rPr>
          <w:rFonts w:hint="eastAsia" w:ascii="宋体"/>
          <w:color w:val="auto"/>
          <w:sz w:val="24"/>
          <w:highlight w:val="none"/>
          <w:u w:val="single"/>
        </w:rPr>
        <w:t xml:space="preserve">                            </w:t>
      </w:r>
    </w:p>
    <w:p>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单位性质：</w:t>
      </w:r>
      <w:r>
        <w:rPr>
          <w:rFonts w:hint="eastAsia" w:ascii="宋体"/>
          <w:color w:val="auto"/>
          <w:sz w:val="24"/>
          <w:highlight w:val="none"/>
          <w:u w:val="single"/>
        </w:rPr>
        <w:t xml:space="preserve">                              </w:t>
      </w:r>
    </w:p>
    <w:p>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地    址：</w:t>
      </w:r>
      <w:r>
        <w:rPr>
          <w:rFonts w:hint="eastAsia" w:ascii="宋体"/>
          <w:color w:val="auto"/>
          <w:sz w:val="24"/>
          <w:highlight w:val="none"/>
          <w:u w:val="single"/>
        </w:rPr>
        <w:t xml:space="preserve">                              </w:t>
      </w:r>
    </w:p>
    <w:p>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成立时间：</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经营期限：</w:t>
      </w:r>
      <w:r>
        <w:rPr>
          <w:rFonts w:hint="eastAsia" w:ascii="宋体"/>
          <w:color w:val="auto"/>
          <w:sz w:val="24"/>
          <w:highlight w:val="none"/>
          <w:u w:val="single"/>
        </w:rPr>
        <w:t xml:space="preserve">                              </w:t>
      </w:r>
    </w:p>
    <w:p>
      <w:pPr>
        <w:keepNext w:val="0"/>
        <w:keepLines w:val="0"/>
        <w:pageBreakBefore w:val="0"/>
        <w:kinsoku/>
        <w:wordWrap/>
        <w:overflowPunct/>
        <w:topLinePunct w:val="0"/>
        <w:autoSpaceDE/>
        <w:autoSpaceDN/>
        <w:bidi w:val="0"/>
        <w:adjustRightInd/>
        <w:snapToGrid/>
        <w:spacing w:line="440" w:lineRule="exact"/>
        <w:jc w:val="left"/>
        <w:rPr>
          <w:rFonts w:ascii="宋体"/>
          <w:color w:val="auto"/>
          <w:sz w:val="24"/>
          <w:highlight w:val="none"/>
          <w:u w:val="single"/>
        </w:rPr>
      </w:pPr>
      <w:r>
        <w:rPr>
          <w:rFonts w:hint="eastAsia" w:ascii="宋体"/>
          <w:color w:val="auto"/>
          <w:spacing w:val="240"/>
          <w:sz w:val="24"/>
          <w:highlight w:val="none"/>
        </w:rPr>
        <w:t>姓</w:t>
      </w:r>
      <w:r>
        <w:rPr>
          <w:rFonts w:hint="eastAsia" w:ascii="宋体"/>
          <w:color w:val="auto"/>
          <w:sz w:val="24"/>
          <w:highlight w:val="none"/>
        </w:rPr>
        <w:t>名：</w:t>
      </w:r>
      <w:r>
        <w:rPr>
          <w:rFonts w:hint="eastAsia" w:ascii="宋体"/>
          <w:color w:val="auto"/>
          <w:sz w:val="24"/>
          <w:highlight w:val="none"/>
          <w:u w:val="single"/>
        </w:rPr>
        <w:t xml:space="preserve">     </w:t>
      </w:r>
      <w:r>
        <w:rPr>
          <w:rFonts w:hint="eastAsia" w:ascii="宋体"/>
          <w:color w:val="auto"/>
          <w:sz w:val="24"/>
          <w:highlight w:val="none"/>
        </w:rPr>
        <w:t>身份证号码：</w:t>
      </w:r>
      <w:r>
        <w:rPr>
          <w:rFonts w:hint="eastAsia" w:ascii="宋体"/>
          <w:color w:val="auto"/>
          <w:sz w:val="24"/>
          <w:highlight w:val="none"/>
          <w:u w:val="single"/>
        </w:rPr>
        <w:t xml:space="preserve">     </w:t>
      </w:r>
      <w:r>
        <w:rPr>
          <w:rFonts w:hint="eastAsia" w:ascii="宋体"/>
          <w:color w:val="auto"/>
          <w:sz w:val="24"/>
          <w:highlight w:val="none"/>
        </w:rPr>
        <w:t>性别</w:t>
      </w:r>
      <w:r>
        <w:rPr>
          <w:rFonts w:hint="eastAsia" w:ascii="宋体"/>
          <w:color w:val="auto"/>
          <w:sz w:val="24"/>
          <w:highlight w:val="none"/>
          <w:u w:val="single"/>
        </w:rPr>
        <w:t xml:space="preserve">：    </w:t>
      </w:r>
      <w:r>
        <w:rPr>
          <w:rFonts w:hint="eastAsia" w:ascii="宋体"/>
          <w:color w:val="auto"/>
          <w:sz w:val="24"/>
          <w:highlight w:val="none"/>
        </w:rPr>
        <w:t>年龄：</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职务：</w:t>
      </w:r>
      <w:r>
        <w:rPr>
          <w:rFonts w:hint="eastAsia" w:ascii="宋体"/>
          <w:color w:val="auto"/>
          <w:sz w:val="24"/>
          <w:highlight w:val="none"/>
          <w:u w:val="single"/>
        </w:rPr>
        <w:t xml:space="preserve">     </w:t>
      </w:r>
      <w:r>
        <w:rPr>
          <w:rFonts w:hint="eastAsia" w:ascii="宋体"/>
          <w:color w:val="auto"/>
          <w:sz w:val="24"/>
          <w:highlight w:val="none"/>
        </w:rPr>
        <w:t>，系</w:t>
      </w:r>
      <w:r>
        <w:rPr>
          <w:rFonts w:hint="eastAsia" w:ascii="宋体"/>
          <w:color w:val="auto"/>
          <w:sz w:val="24"/>
          <w:highlight w:val="none"/>
          <w:u w:val="single"/>
        </w:rPr>
        <w:t xml:space="preserve">     （投标人名称）</w:t>
      </w:r>
      <w:r>
        <w:rPr>
          <w:rFonts w:hint="eastAsia" w:ascii="宋体"/>
          <w:color w:val="auto"/>
          <w:sz w:val="24"/>
          <w:highlight w:val="none"/>
        </w:rPr>
        <w:t>的法定代表人。</w:t>
      </w:r>
    </w:p>
    <w:p>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特此证明。</w:t>
      </w:r>
    </w:p>
    <w:p>
      <w:pPr>
        <w:keepNext w:val="0"/>
        <w:keepLines w:val="0"/>
        <w:pageBreakBefore w:val="0"/>
        <w:kinsoku/>
        <w:wordWrap/>
        <w:overflowPunct/>
        <w:topLinePunct w:val="0"/>
        <w:autoSpaceDE/>
        <w:autoSpaceDN/>
        <w:bidi w:val="0"/>
        <w:adjustRightInd/>
        <w:snapToGrid/>
        <w:spacing w:line="440" w:lineRule="exact"/>
        <w:ind w:firstLine="3720" w:firstLineChars="1550"/>
        <w:rPr>
          <w:rFonts w:ascii="宋体"/>
          <w:color w:val="auto"/>
          <w:sz w:val="24"/>
          <w:highlight w:val="none"/>
        </w:rPr>
      </w:pPr>
      <w:r>
        <w:rPr>
          <w:rFonts w:hint="eastAsia" w:ascii="宋体"/>
          <w:color w:val="auto"/>
          <w:sz w:val="24"/>
          <w:highlight w:val="none"/>
        </w:rPr>
        <w:t>投标人：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盖</w:t>
      </w:r>
      <w:r>
        <w:rPr>
          <w:rFonts w:hint="eastAsia" w:ascii="宋体"/>
          <w:color w:val="auto"/>
          <w:sz w:val="24"/>
          <w:highlight w:val="none"/>
          <w:u w:val="single"/>
        </w:rPr>
        <w:t>章）</w:t>
      </w:r>
    </w:p>
    <w:p>
      <w:pPr>
        <w:keepNext w:val="0"/>
        <w:keepLines w:val="0"/>
        <w:pageBreakBefore w:val="0"/>
        <w:kinsoku/>
        <w:wordWrap/>
        <w:overflowPunct/>
        <w:topLinePunct w:val="0"/>
        <w:autoSpaceDE/>
        <w:autoSpaceDN/>
        <w:bidi w:val="0"/>
        <w:adjustRightInd/>
        <w:snapToGrid/>
        <w:spacing w:line="440" w:lineRule="exact"/>
        <w:rPr>
          <w:rFonts w:ascii="宋体"/>
          <w:color w:val="auto"/>
          <w:sz w:val="24"/>
          <w:highlight w:val="none"/>
        </w:rPr>
      </w:pPr>
      <w:r>
        <w:rPr>
          <w:rFonts w:hint="eastAsia" w:ascii="宋体"/>
          <w:color w:val="auto"/>
          <w:sz w:val="24"/>
          <w:highlight w:val="none"/>
        </w:rPr>
        <w:t xml:space="preserve">                                        年    月     日</w:t>
      </w:r>
    </w:p>
    <w:p>
      <w:pPr>
        <w:keepNext w:val="0"/>
        <w:keepLines w:val="0"/>
        <w:pageBreakBefore w:val="0"/>
        <w:widowControl w:val="0"/>
        <w:kinsoku/>
        <w:wordWrap/>
        <w:overflowPunct/>
        <w:topLinePunct w:val="0"/>
        <w:autoSpaceDE/>
        <w:autoSpaceDN/>
        <w:bidi w:val="0"/>
        <w:adjustRightInd/>
        <w:snapToGrid/>
        <w:spacing w:line="240" w:lineRule="atLeast"/>
        <w:textAlignment w:val="auto"/>
        <w:rPr>
          <w:color w:val="auto"/>
          <w:highlight w:val="none"/>
        </w:rPr>
      </w:pPr>
    </w:p>
    <w:p>
      <w:pPr>
        <w:pStyle w:val="77"/>
        <w:keepNext w:val="0"/>
        <w:keepLines w:val="0"/>
        <w:pageBreakBefore w:val="0"/>
        <w:widowControl/>
        <w:kinsoku/>
        <w:wordWrap/>
        <w:overflowPunct/>
        <w:topLinePunct w:val="0"/>
        <w:autoSpaceDE/>
        <w:autoSpaceDN/>
        <w:bidi w:val="0"/>
        <w:adjustRightInd/>
        <w:snapToGrid/>
        <w:spacing w:before="157" w:beforeLines="50" w:after="157" w:afterLines="50" w:line="440" w:lineRule="exact"/>
        <w:textAlignment w:val="baseline"/>
        <w:rPr>
          <w:rFonts w:ascii="宋体"/>
          <w:color w:val="auto"/>
          <w:sz w:val="24"/>
          <w:szCs w:val="24"/>
          <w:highlight w:val="none"/>
        </w:rPr>
      </w:pPr>
      <w:r>
        <w:rPr>
          <w:rFonts w:hint="eastAsia" w:ascii="宋体"/>
          <w:color w:val="auto"/>
          <w:sz w:val="24"/>
          <w:szCs w:val="24"/>
          <w:highlight w:val="none"/>
        </w:rPr>
        <w:t>或1、授权委托书</w:t>
      </w:r>
    </w:p>
    <w:p>
      <w:pPr>
        <w:keepNext w:val="0"/>
        <w:keepLines w:val="0"/>
        <w:pageBreakBefore w:val="0"/>
        <w:kinsoku/>
        <w:wordWrap/>
        <w:overflowPunct/>
        <w:topLinePunct w:val="0"/>
        <w:autoSpaceDE/>
        <w:autoSpaceDN/>
        <w:bidi w:val="0"/>
        <w:adjustRightInd/>
        <w:snapToGrid/>
        <w:spacing w:line="440" w:lineRule="exact"/>
        <w:ind w:firstLine="480" w:firstLineChars="200"/>
        <w:jc w:val="left"/>
        <w:rPr>
          <w:rFonts w:ascii="宋体"/>
          <w:color w:val="auto"/>
          <w:sz w:val="24"/>
          <w:highlight w:val="none"/>
        </w:rPr>
      </w:pPr>
      <w:r>
        <w:rPr>
          <w:rFonts w:hint="eastAsia" w:ascii="宋体"/>
          <w:color w:val="auto"/>
          <w:sz w:val="24"/>
          <w:highlight w:val="none"/>
        </w:rPr>
        <w:t>本人</w:t>
      </w:r>
      <w:r>
        <w:rPr>
          <w:rFonts w:hint="eastAsia" w:ascii="宋体"/>
          <w:color w:val="auto"/>
          <w:sz w:val="24"/>
          <w:highlight w:val="none"/>
          <w:u w:val="single"/>
        </w:rPr>
        <w:t xml:space="preserve"> （姓名）</w:t>
      </w:r>
      <w:r>
        <w:rPr>
          <w:rFonts w:hint="eastAsia" w:ascii="宋体"/>
          <w:color w:val="auto"/>
          <w:sz w:val="24"/>
          <w:highlight w:val="none"/>
        </w:rPr>
        <w:t>系</w:t>
      </w:r>
      <w:r>
        <w:rPr>
          <w:rFonts w:hint="eastAsia" w:ascii="宋体"/>
          <w:color w:val="auto"/>
          <w:sz w:val="24"/>
          <w:highlight w:val="none"/>
          <w:u w:val="single"/>
        </w:rPr>
        <w:t>（投标人）</w:t>
      </w:r>
      <w:r>
        <w:rPr>
          <w:rFonts w:hint="eastAsia" w:ascii="宋体"/>
          <w:color w:val="auto"/>
          <w:sz w:val="24"/>
          <w:highlight w:val="none"/>
        </w:rPr>
        <w:t>的法定代表人，现委托</w:t>
      </w:r>
      <w:r>
        <w:rPr>
          <w:rFonts w:hint="eastAsia" w:ascii="宋体"/>
          <w:color w:val="auto"/>
          <w:sz w:val="24"/>
          <w:highlight w:val="none"/>
          <w:u w:val="single"/>
        </w:rPr>
        <w:t>（姓名）</w:t>
      </w:r>
      <w:r>
        <w:rPr>
          <w:rFonts w:hint="eastAsia" w:ascii="宋体"/>
          <w:color w:val="auto"/>
          <w:sz w:val="24"/>
          <w:highlight w:val="none"/>
        </w:rPr>
        <w:t>为我方代理人。代理人根据授权，以我方名义签署、澄清、说明、补正、递交、撤回、修改</w:t>
      </w:r>
      <w:r>
        <w:rPr>
          <w:rFonts w:hint="eastAsia" w:ascii="宋体"/>
          <w:color w:val="auto"/>
          <w:sz w:val="24"/>
          <w:highlight w:val="none"/>
          <w:u w:val="single"/>
        </w:rPr>
        <w:t xml:space="preserve"> “   ”(项目名称）</w:t>
      </w:r>
      <w:r>
        <w:rPr>
          <w:rFonts w:hint="eastAsia" w:ascii="宋体"/>
          <w:color w:val="auto"/>
          <w:sz w:val="24"/>
          <w:highlight w:val="none"/>
        </w:rPr>
        <w:t>投标文件，全权处理与该项目投标、评审答疑、签订合同以及与合同执行有关的一切事务，其法律后果由我方承担。</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委托期限：</w:t>
      </w:r>
      <w:r>
        <w:rPr>
          <w:rFonts w:hint="eastAsia" w:ascii="宋体"/>
          <w:color w:val="auto"/>
          <w:sz w:val="24"/>
          <w:highlight w:val="none"/>
          <w:u w:val="single"/>
          <w:lang w:val="en-US" w:eastAsia="zh-CN"/>
        </w:rPr>
        <w:t xml:space="preserve">              </w:t>
      </w:r>
      <w:r>
        <w:rPr>
          <w:rFonts w:hint="eastAsia" w:ascii="宋体" w:cs="宋体"/>
          <w:color w:val="auto"/>
          <w:sz w:val="24"/>
          <w:highlight w:val="none"/>
        </w:rPr>
        <w:t>。</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color w:val="auto"/>
          <w:sz w:val="24"/>
          <w:highlight w:val="none"/>
        </w:rPr>
      </w:pPr>
      <w:r>
        <w:rPr>
          <w:rFonts w:hint="eastAsia" w:ascii="宋体"/>
          <w:color w:val="auto"/>
          <w:sz w:val="24"/>
          <w:highlight w:val="none"/>
        </w:rPr>
        <w:t>代理人无转委托权。</w:t>
      </w:r>
    </w:p>
    <w:p>
      <w:pPr>
        <w:keepNext w:val="0"/>
        <w:keepLines w:val="0"/>
        <w:pageBreakBefore w:val="0"/>
        <w:kinsoku/>
        <w:wordWrap/>
        <w:overflowPunct/>
        <w:topLinePunct w:val="0"/>
        <w:autoSpaceDE/>
        <w:autoSpaceDN/>
        <w:bidi w:val="0"/>
        <w:adjustRightInd/>
        <w:snapToGrid/>
        <w:spacing w:line="440" w:lineRule="exact"/>
        <w:ind w:firstLine="480" w:firstLineChars="200"/>
        <w:rPr>
          <w:rFonts w:ascii="宋体"/>
          <w:b/>
          <w:color w:val="auto"/>
          <w:sz w:val="24"/>
          <w:highlight w:val="none"/>
        </w:rPr>
      </w:pPr>
      <w:r>
        <w:rPr>
          <w:rFonts w:hint="eastAsia" w:ascii="宋体"/>
          <w:color w:val="auto"/>
          <w:sz w:val="24"/>
          <w:highlight w:val="none"/>
        </w:rPr>
        <w:t>附：</w:t>
      </w:r>
      <w:r>
        <w:rPr>
          <w:rFonts w:hint="eastAsia" w:ascii="宋体"/>
          <w:b/>
          <w:color w:val="auto"/>
          <w:sz w:val="24"/>
          <w:highlight w:val="none"/>
        </w:rPr>
        <w:t>委托代理人有效身份证扫描件</w:t>
      </w:r>
    </w:p>
    <w:p>
      <w:pPr>
        <w:keepNext w:val="0"/>
        <w:keepLines w:val="0"/>
        <w:pageBreakBefore w:val="0"/>
        <w:kinsoku/>
        <w:wordWrap/>
        <w:overflowPunct/>
        <w:topLinePunct w:val="0"/>
        <w:autoSpaceDE/>
        <w:autoSpaceDN/>
        <w:bidi w:val="0"/>
        <w:adjustRightInd/>
        <w:snapToGrid/>
        <w:spacing w:line="440" w:lineRule="exact"/>
        <w:ind w:firstLine="964" w:firstLineChars="400"/>
        <w:rPr>
          <w:rFonts w:ascii="宋体"/>
          <w:b/>
          <w:color w:val="auto"/>
          <w:sz w:val="24"/>
          <w:highlight w:val="none"/>
        </w:rPr>
      </w:pPr>
      <w:r>
        <w:rPr>
          <w:rFonts w:hint="eastAsia" w:ascii="宋体"/>
          <w:b/>
          <w:color w:val="auto"/>
          <w:sz w:val="24"/>
          <w:highlight w:val="none"/>
        </w:rPr>
        <w:t>法定代表人有效身份证扫描件</w:t>
      </w:r>
    </w:p>
    <w:p>
      <w:pPr>
        <w:keepNext w:val="0"/>
        <w:keepLines w:val="0"/>
        <w:pageBreakBefore w:val="0"/>
        <w:kinsoku/>
        <w:wordWrap/>
        <w:overflowPunct/>
        <w:topLinePunct w:val="0"/>
        <w:autoSpaceDE/>
        <w:autoSpaceDN/>
        <w:bidi w:val="0"/>
        <w:adjustRightInd/>
        <w:snapToGrid/>
        <w:spacing w:line="440" w:lineRule="exact"/>
        <w:ind w:firstLine="833" w:firstLineChars="397"/>
        <w:rPr>
          <w:color w:val="auto"/>
          <w:highlight w:val="none"/>
        </w:rPr>
      </w:pPr>
    </w:p>
    <w:p>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 xml:space="preserve"> 投标人（盖章）：</w:t>
      </w:r>
    </w:p>
    <w:p>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法定代表人（身份证号码）：    （签字或盖章）</w:t>
      </w:r>
    </w:p>
    <w:p>
      <w:pPr>
        <w:keepNext w:val="0"/>
        <w:keepLines w:val="0"/>
        <w:pageBreakBefore w:val="0"/>
        <w:kinsoku/>
        <w:wordWrap/>
        <w:overflowPunct/>
        <w:topLinePunct w:val="0"/>
        <w:autoSpaceDE/>
        <w:autoSpaceDN/>
        <w:bidi w:val="0"/>
        <w:adjustRightInd/>
        <w:snapToGrid/>
        <w:spacing w:line="440" w:lineRule="exact"/>
        <w:ind w:firstLine="5640" w:firstLineChars="23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联系电话：</w:t>
      </w:r>
    </w:p>
    <w:p>
      <w:pPr>
        <w:keepNext w:val="0"/>
        <w:keepLines w:val="0"/>
        <w:pageBreakBefore w:val="0"/>
        <w:kinsoku/>
        <w:wordWrap/>
        <w:overflowPunct/>
        <w:topLinePunct w:val="0"/>
        <w:autoSpaceDE/>
        <w:autoSpaceDN/>
        <w:bidi w:val="0"/>
        <w:adjustRightInd/>
        <w:snapToGrid/>
        <w:spacing w:line="440" w:lineRule="exact"/>
        <w:ind w:firstLine="3720" w:firstLineChars="1550"/>
        <w:rPr>
          <w:rFonts w:hint="eastAsia" w:ascii="宋体" w:hAnsi="Times New Roman" w:eastAsia="宋体" w:cs="Times New Roman"/>
          <w:color w:val="auto"/>
          <w:sz w:val="24"/>
          <w:highlight w:val="none"/>
        </w:rPr>
      </w:pPr>
      <w:r>
        <w:rPr>
          <w:rFonts w:hint="eastAsia" w:ascii="宋体" w:hAnsi="Times New Roman" w:eastAsia="宋体" w:cs="Times New Roman"/>
          <w:color w:val="auto"/>
          <w:sz w:val="24"/>
          <w:highlight w:val="none"/>
        </w:rPr>
        <w:t>委托代理人（身份证号码）：    （签字或盖章）</w:t>
      </w:r>
    </w:p>
    <w:p>
      <w:pPr>
        <w:keepNext w:val="0"/>
        <w:keepLines w:val="0"/>
        <w:pageBreakBefore w:val="0"/>
        <w:kinsoku/>
        <w:wordWrap/>
        <w:overflowPunct/>
        <w:topLinePunct w:val="0"/>
        <w:autoSpaceDE/>
        <w:autoSpaceDN/>
        <w:bidi w:val="0"/>
        <w:adjustRightInd/>
        <w:snapToGrid/>
        <w:spacing w:line="440" w:lineRule="exact"/>
        <w:ind w:firstLine="5040" w:firstLineChars="2100"/>
        <w:rPr>
          <w:rFonts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 xml:space="preserve"> 联系电话：</w:t>
      </w:r>
    </w:p>
    <w:p>
      <w:pPr>
        <w:keepNext w:val="0"/>
        <w:keepLines w:val="0"/>
        <w:pageBreakBefore w:val="0"/>
        <w:kinsoku/>
        <w:wordWrap/>
        <w:overflowPunct/>
        <w:topLinePunct w:val="0"/>
        <w:autoSpaceDE/>
        <w:autoSpaceDN/>
        <w:bidi w:val="0"/>
        <w:adjustRightInd/>
        <w:snapToGrid/>
        <w:spacing w:line="440" w:lineRule="exact"/>
        <w:ind w:firstLine="5700" w:firstLineChars="2375"/>
        <w:rPr>
          <w:rFonts w:ascii="宋体"/>
          <w:color w:val="auto"/>
          <w:sz w:val="24"/>
          <w:highlight w:val="none"/>
        </w:rPr>
      </w:pPr>
      <w:r>
        <w:rPr>
          <w:rFonts w:hint="eastAsia" w:ascii="宋体"/>
          <w:color w:val="auto"/>
          <w:sz w:val="24"/>
          <w:highlight w:val="none"/>
        </w:rPr>
        <w:t>年    月    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color w:val="auto"/>
          <w:sz w:val="28"/>
          <w:szCs w:val="28"/>
          <w:highlight w:val="none"/>
        </w:rPr>
      </w:pPr>
    </w:p>
    <w:p>
      <w:pPr>
        <w:rPr>
          <w:rFonts w:hint="eastAsia"/>
          <w:b/>
          <w:color w:val="auto"/>
          <w:sz w:val="28"/>
          <w:szCs w:val="28"/>
          <w:highlight w:val="none"/>
        </w:rPr>
      </w:pPr>
      <w:r>
        <w:rPr>
          <w:rFonts w:hint="eastAsia"/>
          <w:b/>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color w:val="auto"/>
          <w:sz w:val="28"/>
          <w:szCs w:val="28"/>
          <w:highlight w:val="none"/>
        </w:rPr>
      </w:pPr>
      <w:r>
        <w:rPr>
          <w:rFonts w:hint="eastAsia"/>
          <w:b/>
          <w:color w:val="auto"/>
          <w:sz w:val="28"/>
          <w:szCs w:val="28"/>
          <w:highlight w:val="none"/>
        </w:rPr>
        <w:t>（2）诚信投标承诺书</w:t>
      </w:r>
      <w:bookmarkEnd w:id="1037"/>
      <w:bookmarkEnd w:id="1038"/>
      <w:bookmarkEnd w:id="1039"/>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color w:val="auto"/>
          <w:szCs w:val="21"/>
          <w:highlight w:val="none"/>
        </w:rPr>
      </w:pPr>
      <w:r>
        <w:rPr>
          <w:rFonts w:hint="eastAsia" w:ascii="宋体" w:hAnsi="宋体"/>
          <w:color w:val="auto"/>
          <w:szCs w:val="21"/>
          <w:highlight w:val="none"/>
        </w:rPr>
        <w:t>本人以企业法定代表人的身份郑重承诺：</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一、将遵循公开、公正和诚实信用的原则自愿参加</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项目的投标；</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二、所提供的一切材料都是真实、有效、合法的；</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三、不出借、转让资质证书，不让他人挂靠投标，不以他人名义投标或者以其他方式弄虚作假，骗取中标；</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四、不与其他投标人相互串通投标报价，不排挤其他投标人的公平竞争、损害招标人的合法权益；</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五、不与招标人、招标代理机构或其他投标人串通投标，损害国家利益、社会公共利益或者他人的合法权益；</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szCs w:val="21"/>
          <w:highlight w:val="none"/>
        </w:rPr>
      </w:pPr>
      <w:r>
        <w:rPr>
          <w:rFonts w:hint="eastAsia" w:ascii="宋体" w:hAnsi="宋体"/>
          <w:color w:val="auto"/>
          <w:szCs w:val="21"/>
          <w:highlight w:val="none"/>
        </w:rPr>
        <w:t>六、</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rPr>
        <w:t>没有下列情形： 1、被人民法院列入失信被执行人的；2、我公司及其法定代表人、拟任项目经理（</w:t>
      </w:r>
      <w:r>
        <w:rPr>
          <w:rFonts w:hint="eastAsia" w:ascii="宋体" w:hAnsi="宋体"/>
          <w:color w:val="auto"/>
          <w:szCs w:val="21"/>
          <w:highlight w:val="none"/>
          <w:lang w:val="en-US" w:eastAsia="zh-CN"/>
        </w:rPr>
        <w:t>总监理工程师</w:t>
      </w:r>
      <w:r>
        <w:rPr>
          <w:rFonts w:hint="eastAsia" w:ascii="宋体" w:hAnsi="宋体"/>
          <w:color w:val="auto"/>
          <w:szCs w:val="21"/>
          <w:highlight w:val="none"/>
        </w:rPr>
        <w:t>）前三年有行贿犯罪行为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滁州市县两级公管部门记入不良行为记录或者信用信息记录，且在披露期内的；8、被人力资源社会保障主管部门列入拖欠农民工工资‘黑名单’或因拖欠农民工工资被县级及以上有关行政主管部门限制投标资格且在限制期限内的；9、</w:t>
      </w:r>
      <w:r>
        <w:rPr>
          <w:rFonts w:hint="eastAsia"/>
          <w:color w:val="auto"/>
          <w:szCs w:val="21"/>
          <w:highlight w:val="none"/>
        </w:rPr>
        <w:t>被列入省级、市级农民工工资支付异常名录的施工企业，限制其参加全市范围内房建和市政工程建设项目投标；列入县级异常名录的施工企业，限制其参加本行政区域内房建和市政建设项目投标。</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七、严格遵守开标现场纪律，服从监管人员管理；</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八、保证中标后不转包及使用挂靠施工队伍，若有分包征得建设单位同意；</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九、保证中标之后，按照投标文件承诺派驻管理人员及投入机械设备，如有违反，同意接受建设单位违约处罚；</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十、保证企业及所属相关人员在本次投标中无行贿等犯罪行为；</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一</w:t>
      </w:r>
      <w:r>
        <w:rPr>
          <w:rFonts w:hint="eastAsia" w:ascii="宋体" w:hAnsi="宋体"/>
          <w:color w:val="auto"/>
          <w:szCs w:val="21"/>
          <w:highlight w:val="none"/>
        </w:rPr>
        <w:t>、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十</w:t>
      </w:r>
      <w:r>
        <w:rPr>
          <w:rFonts w:hint="eastAsia" w:ascii="宋体" w:hAnsi="宋体"/>
          <w:color w:val="auto"/>
          <w:szCs w:val="21"/>
          <w:highlight w:val="none"/>
          <w:lang w:val="en-US" w:eastAsia="zh-CN"/>
        </w:rPr>
        <w:t>二</w:t>
      </w:r>
      <w:r>
        <w:rPr>
          <w:rFonts w:hint="eastAsia" w:ascii="宋体" w:hAnsi="宋体"/>
          <w:color w:val="auto"/>
          <w:szCs w:val="21"/>
          <w:highlight w:val="none"/>
        </w:rPr>
        <w:t>、如我公司中标，按照国务院《关于全面治理拖欠农民工工资问题的意见》（国办发[2016]1号）及国家住建部和人社部关于《建筑工人实名制管理办法》（建市[2019]18号）的规定，总承包单位对所承建的工程项目的建筑工人实名制管理负总责，对建筑工人实行实名制管理；实行人工费用与其他工程款分账管理制度；建筑工程承包单位必须开设农民工工资专户；建设单位在支付工程款时，应将人工费部分按规定汇入建筑工程承包单位的农民工工资专户，由建筑工程承包单位按劳动合同约定，通过农民工工资专户按月足额将工资发放给建筑工人；</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以上内容我已仔细阅读，本公司若有违反承诺内容的行为，自愿接受取消投标或者中标资格、记入不良行为记录、投标保证金不予退还等有关处理，愿意承担法律责任，给招标人造成损失的，依法承担赔偿责任。</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开户银行：                          基本账户：</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投标人（盖章）：              法定代表人（签字或</w:t>
      </w:r>
      <w:r>
        <w:rPr>
          <w:rFonts w:hint="eastAsia" w:ascii="宋体" w:hAnsi="宋体"/>
          <w:color w:val="auto"/>
          <w:szCs w:val="21"/>
          <w:highlight w:val="none"/>
          <w:lang w:val="en-US" w:eastAsia="zh-CN"/>
        </w:rPr>
        <w:t>盖</w:t>
      </w:r>
      <w:r>
        <w:rPr>
          <w:rFonts w:hint="eastAsia" w:ascii="宋体" w:hAnsi="宋体"/>
          <w:color w:val="auto"/>
          <w:szCs w:val="21"/>
          <w:highlight w:val="none"/>
        </w:rPr>
        <w:t>章）：</w:t>
      </w:r>
    </w:p>
    <w:p>
      <w:pPr>
        <w:keepNext w:val="0"/>
        <w:keepLines w:val="0"/>
        <w:pageBreakBefore w:val="0"/>
        <w:widowControl w:val="0"/>
        <w:kinsoku/>
        <w:wordWrap/>
        <w:overflowPunct/>
        <w:topLinePunct w:val="0"/>
        <w:autoSpaceDE/>
        <w:autoSpaceDN/>
        <w:bidi w:val="0"/>
        <w:adjustRightInd/>
        <w:snapToGrid/>
        <w:spacing w:line="360" w:lineRule="exact"/>
        <w:ind w:firstLine="5250" w:firstLineChars="2500"/>
        <w:textAlignment w:val="auto"/>
        <w:rPr>
          <w:color w:val="auto"/>
          <w:highlight w:val="none"/>
        </w:rPr>
      </w:pPr>
      <w:r>
        <w:rPr>
          <w:rFonts w:hint="eastAsia" w:ascii="宋体" w:hAnsi="宋体"/>
          <w:color w:val="auto"/>
          <w:szCs w:val="21"/>
          <w:highlight w:val="none"/>
        </w:rPr>
        <w:t>日期：    年   月   日</w:t>
      </w:r>
    </w:p>
    <w:p>
      <w:pPr>
        <w:rPr>
          <w:rFonts w:eastAsia="黑体"/>
          <w:color w:val="auto"/>
          <w:sz w:val="28"/>
          <w:szCs w:val="28"/>
          <w:highlight w:val="none"/>
          <w:u w:val="single"/>
        </w:rPr>
      </w:pPr>
      <w:r>
        <w:rPr>
          <w:rFonts w:hint="eastAsia" w:ascii="宋体" w:hAnsi="宋体"/>
          <w:b/>
          <w:color w:val="auto"/>
          <w:sz w:val="32"/>
          <w:szCs w:val="32"/>
          <w:highlight w:val="none"/>
        </w:rPr>
        <w:br w:type="page"/>
      </w:r>
    </w:p>
    <w:p>
      <w:pPr>
        <w:jc w:val="center"/>
        <w:rPr>
          <w:rFonts w:eastAsia="黑体"/>
          <w:color w:val="auto"/>
          <w:sz w:val="28"/>
          <w:szCs w:val="28"/>
          <w:highlight w:val="none"/>
        </w:rPr>
      </w:pPr>
    </w:p>
    <w:p>
      <w:pPr>
        <w:jc w:val="center"/>
        <w:rPr>
          <w:rFonts w:eastAsia="黑体"/>
          <w:color w:val="auto"/>
          <w:sz w:val="20"/>
          <w:szCs w:val="20"/>
          <w:highlight w:val="none"/>
        </w:rPr>
      </w:pPr>
      <w:r>
        <w:rPr>
          <w:rFonts w:eastAsia="黑体"/>
          <w:color w:val="auto"/>
          <w:sz w:val="28"/>
          <w:szCs w:val="28"/>
          <w:highlight w:val="none"/>
        </w:rPr>
        <w:t>（项目名称）</w:t>
      </w:r>
    </w:p>
    <w:p>
      <w:pPr>
        <w:jc w:val="center"/>
        <w:rPr>
          <w:rFonts w:eastAsia="黑体"/>
          <w:color w:val="auto"/>
          <w:sz w:val="20"/>
          <w:szCs w:val="20"/>
          <w:highlight w:val="none"/>
        </w:rPr>
      </w:pPr>
    </w:p>
    <w:p>
      <w:pPr>
        <w:rPr>
          <w:rFonts w:eastAsia="黑体"/>
          <w:color w:val="auto"/>
          <w:sz w:val="20"/>
          <w:szCs w:val="20"/>
          <w:highlight w:val="none"/>
        </w:rPr>
      </w:pPr>
    </w:p>
    <w:p>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二</w:t>
      </w:r>
    </w:p>
    <w:p>
      <w:pPr>
        <w:jc w:val="center"/>
        <w:rPr>
          <w:rFonts w:eastAsia="黑体"/>
          <w:color w:val="auto"/>
          <w:sz w:val="44"/>
          <w:szCs w:val="44"/>
          <w:highlight w:val="none"/>
        </w:rPr>
      </w:pPr>
      <w:r>
        <w:rPr>
          <w:rFonts w:hint="eastAsia" w:eastAsia="黑体"/>
          <w:color w:val="auto"/>
          <w:sz w:val="44"/>
          <w:szCs w:val="44"/>
          <w:highlight w:val="none"/>
        </w:rPr>
        <w:t>（技术标文件）</w:t>
      </w: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pStyle w:val="14"/>
        <w:ind w:firstLine="560"/>
        <w:rPr>
          <w:rFonts w:eastAsia="黑体"/>
          <w:color w:val="auto"/>
          <w:sz w:val="28"/>
          <w:szCs w:val="28"/>
          <w:highlight w:val="none"/>
        </w:rPr>
      </w:pPr>
    </w:p>
    <w:p>
      <w:pPr>
        <w:rPr>
          <w:rFonts w:eastAsia="黑体"/>
          <w:color w:val="auto"/>
          <w:sz w:val="28"/>
          <w:szCs w:val="28"/>
          <w:highlight w:val="none"/>
        </w:rPr>
      </w:pPr>
    </w:p>
    <w:p>
      <w:pPr>
        <w:pStyle w:val="14"/>
        <w:ind w:firstLine="560"/>
        <w:rPr>
          <w:rFonts w:eastAsia="黑体"/>
          <w:color w:val="auto"/>
          <w:sz w:val="28"/>
          <w:szCs w:val="28"/>
          <w:highlight w:val="none"/>
        </w:rPr>
      </w:pPr>
    </w:p>
    <w:p>
      <w:pPr>
        <w:rPr>
          <w:color w:val="auto"/>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jc w:val="center"/>
        <w:rPr>
          <w:rFonts w:eastAsia="黑体"/>
          <w:color w:val="auto"/>
          <w:sz w:val="28"/>
          <w:szCs w:val="28"/>
          <w:highlight w:val="none"/>
          <w:u w:val="single"/>
        </w:rPr>
      </w:pPr>
      <w:bookmarkStart w:id="1040" w:name="_Toc35424972"/>
      <w:bookmarkStart w:id="1041" w:name="_Toc35425138"/>
      <w:bookmarkStart w:id="1042" w:name="_Toc3395"/>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pPr>
        <w:spacing w:line="540" w:lineRule="exact"/>
        <w:rPr>
          <w:rStyle w:val="65"/>
          <w:rFonts w:ascii="宋体" w:hAnsi="宋体" w:cs="宋体"/>
          <w:color w:val="auto"/>
          <w:sz w:val="32"/>
          <w:highlight w:val="none"/>
        </w:rPr>
      </w:pPr>
    </w:p>
    <w:p>
      <w:pPr>
        <w:spacing w:beforeLines="50" w:afterLines="50" w:line="440" w:lineRule="exact"/>
        <w:ind w:firstLine="643" w:firstLineChars="200"/>
        <w:jc w:val="left"/>
        <w:rPr>
          <w:rStyle w:val="65"/>
          <w:rFonts w:ascii="宋体" w:hAnsi="宋体" w:cs="宋体"/>
          <w:color w:val="auto"/>
          <w:sz w:val="32"/>
          <w:highlight w:val="none"/>
        </w:rPr>
      </w:pPr>
      <w:bookmarkStart w:id="1043" w:name="_Toc78803400"/>
      <w:r>
        <w:rPr>
          <w:rStyle w:val="65"/>
          <w:rFonts w:hint="eastAsia" w:ascii="宋体" w:hAnsi="宋体" w:cs="宋体"/>
          <w:color w:val="auto"/>
          <w:sz w:val="32"/>
          <w:highlight w:val="none"/>
        </w:rPr>
        <w:br w:type="page"/>
      </w:r>
      <w:bookmarkStart w:id="1044" w:name="_Toc23256"/>
      <w:bookmarkStart w:id="1045" w:name="_Toc13669"/>
      <w:r>
        <w:rPr>
          <w:rStyle w:val="65"/>
          <w:rFonts w:hint="eastAsia" w:ascii="宋体" w:hAnsi="宋体" w:cs="宋体"/>
          <w:color w:val="auto"/>
          <w:sz w:val="32"/>
          <w:highlight w:val="none"/>
        </w:rPr>
        <w:t>投标文件二</w:t>
      </w:r>
      <w:bookmarkEnd w:id="1040"/>
      <w:bookmarkEnd w:id="1041"/>
      <w:bookmarkEnd w:id="1042"/>
      <w:r>
        <w:rPr>
          <w:rStyle w:val="65"/>
          <w:rFonts w:hint="eastAsia" w:ascii="宋体" w:hAnsi="宋体" w:cs="宋体"/>
          <w:color w:val="auto"/>
          <w:sz w:val="32"/>
          <w:highlight w:val="none"/>
        </w:rPr>
        <w:t>：技术标目录</w:t>
      </w:r>
      <w:bookmarkEnd w:id="1043"/>
    </w:p>
    <w:bookmarkEnd w:id="1044"/>
    <w:bookmarkEnd w:id="1045"/>
    <w:p>
      <w:pPr>
        <w:spacing w:line="44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bCs/>
          <w:color w:val="auto"/>
          <w:szCs w:val="21"/>
          <w:highlight w:val="none"/>
          <w:lang w:val="en-US" w:eastAsia="zh-CN"/>
        </w:rPr>
        <w:t>技术标评审所需资料及</w:t>
      </w:r>
      <w:r>
        <w:rPr>
          <w:rFonts w:hint="eastAsia" w:ascii="宋体" w:hAnsi="宋体" w:cs="宋体"/>
          <w:color w:val="auto"/>
          <w:szCs w:val="21"/>
          <w:highlight w:val="none"/>
        </w:rPr>
        <w:t>投标人认为需要的材料</w:t>
      </w:r>
      <w:r>
        <w:rPr>
          <w:rFonts w:hint="eastAsia" w:ascii="宋体" w:hAnsi="宋体" w:cs="宋体"/>
          <w:bCs/>
          <w:color w:val="auto"/>
          <w:szCs w:val="21"/>
          <w:highlight w:val="none"/>
        </w:rPr>
        <w:t>。</w:t>
      </w:r>
    </w:p>
    <w:p>
      <w:pPr>
        <w:spacing w:line="360" w:lineRule="auto"/>
        <w:ind w:firstLine="420" w:firstLineChars="200"/>
        <w:rPr>
          <w:rFonts w:ascii="宋体" w:hAnsi="宋体"/>
          <w:color w:val="auto"/>
          <w:szCs w:val="21"/>
          <w:highlight w:val="none"/>
        </w:rPr>
      </w:pPr>
    </w:p>
    <w:p>
      <w:pPr>
        <w:rPr>
          <w:color w:val="auto"/>
          <w:highlight w:val="none"/>
        </w:rPr>
      </w:pPr>
    </w:p>
    <w:p>
      <w:pPr>
        <w:rPr>
          <w:color w:val="auto"/>
          <w:highlight w:val="none"/>
        </w:rPr>
      </w:pPr>
    </w:p>
    <w:p>
      <w:pPr>
        <w:pStyle w:val="16"/>
        <w:rPr>
          <w:color w:val="auto"/>
          <w:highlight w:val="none"/>
        </w:rPr>
      </w:pPr>
      <w:r>
        <w:rPr>
          <w:color w:val="auto"/>
          <w:highlight w:val="none"/>
        </w:rPr>
        <w:br w:type="page"/>
      </w:r>
    </w:p>
    <w:p>
      <w:pPr>
        <w:rPr>
          <w:color w:val="auto"/>
          <w:highlight w:val="none"/>
        </w:rPr>
      </w:pPr>
    </w:p>
    <w:p>
      <w:pPr>
        <w:jc w:val="center"/>
        <w:rPr>
          <w:rFonts w:eastAsia="黑体"/>
          <w:color w:val="auto"/>
          <w:sz w:val="20"/>
          <w:szCs w:val="20"/>
          <w:highlight w:val="none"/>
        </w:rPr>
      </w:pPr>
      <w:r>
        <w:rPr>
          <w:rFonts w:eastAsia="黑体"/>
          <w:color w:val="auto"/>
          <w:sz w:val="28"/>
          <w:szCs w:val="28"/>
          <w:highlight w:val="none"/>
        </w:rPr>
        <w:t>（项目名称）</w:t>
      </w:r>
    </w:p>
    <w:p>
      <w:pPr>
        <w:jc w:val="center"/>
        <w:rPr>
          <w:rFonts w:eastAsia="黑体"/>
          <w:color w:val="auto"/>
          <w:sz w:val="20"/>
          <w:szCs w:val="20"/>
          <w:highlight w:val="none"/>
        </w:rPr>
      </w:pPr>
    </w:p>
    <w:p>
      <w:pPr>
        <w:rPr>
          <w:rFonts w:eastAsia="黑体"/>
          <w:color w:val="auto"/>
          <w:sz w:val="20"/>
          <w:szCs w:val="20"/>
          <w:highlight w:val="none"/>
        </w:rPr>
      </w:pPr>
    </w:p>
    <w:p>
      <w:pPr>
        <w:jc w:val="center"/>
        <w:rPr>
          <w:rFonts w:eastAsia="黑体"/>
          <w:color w:val="auto"/>
          <w:sz w:val="44"/>
          <w:szCs w:val="44"/>
          <w:highlight w:val="none"/>
        </w:rPr>
      </w:pPr>
      <w:r>
        <w:rPr>
          <w:rFonts w:eastAsia="黑体"/>
          <w:color w:val="auto"/>
          <w:sz w:val="44"/>
          <w:szCs w:val="44"/>
          <w:highlight w:val="none"/>
        </w:rPr>
        <w:t>投  标  文  件</w:t>
      </w:r>
      <w:r>
        <w:rPr>
          <w:rFonts w:hint="eastAsia" w:eastAsia="黑体"/>
          <w:color w:val="auto"/>
          <w:sz w:val="44"/>
          <w:szCs w:val="44"/>
          <w:highlight w:val="none"/>
        </w:rPr>
        <w:t xml:space="preserve">  三</w:t>
      </w:r>
    </w:p>
    <w:p>
      <w:pPr>
        <w:jc w:val="center"/>
        <w:rPr>
          <w:rFonts w:eastAsia="黑体"/>
          <w:color w:val="auto"/>
          <w:sz w:val="44"/>
          <w:szCs w:val="44"/>
          <w:highlight w:val="none"/>
        </w:rPr>
      </w:pPr>
      <w:r>
        <w:rPr>
          <w:rFonts w:hint="eastAsia" w:eastAsia="黑体"/>
          <w:color w:val="auto"/>
          <w:sz w:val="44"/>
          <w:szCs w:val="44"/>
          <w:highlight w:val="none"/>
        </w:rPr>
        <w:t>（商务标文件）</w:t>
      </w: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jc w:val="center"/>
        <w:rPr>
          <w:rFonts w:eastAsia="黑体"/>
          <w:color w:val="auto"/>
          <w:sz w:val="28"/>
          <w:szCs w:val="28"/>
          <w:highlight w:val="none"/>
          <w:u w:val="single"/>
        </w:rPr>
      </w:pPr>
      <w:r>
        <w:rPr>
          <w:rFonts w:hint="eastAsia" w:eastAsia="黑体"/>
          <w:color w:val="auto"/>
          <w:sz w:val="28"/>
          <w:szCs w:val="28"/>
          <w:highlight w:val="none"/>
        </w:rPr>
        <w:t xml:space="preserve"> 投标人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盖</w:t>
      </w:r>
      <w:r>
        <w:rPr>
          <w:rFonts w:eastAsia="黑体"/>
          <w:color w:val="auto"/>
          <w:sz w:val="28"/>
          <w:szCs w:val="28"/>
          <w:highlight w:val="none"/>
        </w:rPr>
        <w:t>章）</w:t>
      </w:r>
    </w:p>
    <w:p>
      <w:pPr>
        <w:jc w:val="center"/>
        <w:rPr>
          <w:rFonts w:eastAsia="黑体"/>
          <w:color w:val="auto"/>
          <w:sz w:val="28"/>
          <w:szCs w:val="28"/>
          <w:highlight w:val="none"/>
        </w:rPr>
      </w:pPr>
      <w:r>
        <w:rPr>
          <w:rFonts w:hint="eastAsia" w:eastAsia="黑体"/>
          <w:color w:val="auto"/>
          <w:sz w:val="28"/>
          <w:szCs w:val="28"/>
          <w:highlight w:val="none"/>
        </w:rPr>
        <w:t xml:space="preserve">   </w:t>
      </w:r>
      <w:r>
        <w:rPr>
          <w:rFonts w:eastAsia="黑体"/>
          <w:color w:val="auto"/>
          <w:sz w:val="28"/>
          <w:szCs w:val="28"/>
          <w:highlight w:val="none"/>
        </w:rPr>
        <w:t>法定代表人</w:t>
      </w:r>
      <w:r>
        <w:rPr>
          <w:rFonts w:hint="eastAsia" w:eastAsia="黑体"/>
          <w:color w:val="auto"/>
          <w:sz w:val="28"/>
          <w:szCs w:val="28"/>
          <w:highlight w:val="none"/>
          <w:lang w:val="en-US" w:eastAsia="zh-CN"/>
        </w:rPr>
        <w:t>或授权委托人</w:t>
      </w:r>
      <w:r>
        <w:rPr>
          <w:rFonts w:eastAsia="黑体"/>
          <w:color w:val="auto"/>
          <w:sz w:val="28"/>
          <w:szCs w:val="28"/>
          <w:highlight w:val="none"/>
        </w:rPr>
        <w:t>：</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w:t>
      </w:r>
      <w:r>
        <w:rPr>
          <w:rFonts w:hint="eastAsia" w:eastAsia="黑体"/>
          <w:color w:val="auto"/>
          <w:sz w:val="28"/>
          <w:szCs w:val="28"/>
          <w:highlight w:val="none"/>
        </w:rPr>
        <w:t>签字或盖章</w:t>
      </w:r>
      <w:r>
        <w:rPr>
          <w:rFonts w:eastAsia="黑体"/>
          <w:color w:val="auto"/>
          <w:sz w:val="28"/>
          <w:szCs w:val="28"/>
          <w:highlight w:val="none"/>
        </w:rPr>
        <w:t>）</w:t>
      </w:r>
    </w:p>
    <w:p>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年</w:t>
      </w:r>
      <w:r>
        <w:rPr>
          <w:rFonts w:hint="eastAsia" w:eastAsia="黑体"/>
          <w:color w:val="auto"/>
          <w:sz w:val="28"/>
          <w:szCs w:val="28"/>
          <w:highlight w:val="none"/>
          <w:u w:val="single"/>
        </w:rPr>
        <w:t xml:space="preserve">     </w:t>
      </w:r>
      <w:r>
        <w:rPr>
          <w:rFonts w:eastAsia="黑体"/>
          <w:color w:val="auto"/>
          <w:sz w:val="28"/>
          <w:szCs w:val="28"/>
          <w:highlight w:val="none"/>
        </w:rPr>
        <w:t>月</w:t>
      </w:r>
      <w:r>
        <w:rPr>
          <w:rFonts w:hint="eastAsia" w:eastAsia="黑体"/>
          <w:color w:val="auto"/>
          <w:sz w:val="28"/>
          <w:szCs w:val="28"/>
          <w:highlight w:val="none"/>
          <w:u w:val="single"/>
        </w:rPr>
        <w:t xml:space="preserve">     </w:t>
      </w:r>
      <w:r>
        <w:rPr>
          <w:rFonts w:eastAsia="黑体"/>
          <w:color w:val="auto"/>
          <w:sz w:val="28"/>
          <w:szCs w:val="28"/>
          <w:highlight w:val="none"/>
        </w:rPr>
        <w:t>日</w:t>
      </w:r>
    </w:p>
    <w:p>
      <w:pPr>
        <w:rPr>
          <w:color w:val="auto"/>
          <w:highlight w:val="none"/>
        </w:rPr>
      </w:pPr>
    </w:p>
    <w:p>
      <w:pPr>
        <w:pStyle w:val="14"/>
        <w:ind w:firstLine="420"/>
        <w:rPr>
          <w:color w:val="auto"/>
          <w:highlight w:val="none"/>
        </w:rPr>
      </w:pPr>
    </w:p>
    <w:p>
      <w:pPr>
        <w:rPr>
          <w:color w:val="auto"/>
          <w:highlight w:val="none"/>
        </w:rPr>
      </w:pPr>
    </w:p>
    <w:p>
      <w:pPr>
        <w:spacing w:beforeLines="50" w:afterLines="50" w:line="440" w:lineRule="exact"/>
        <w:ind w:firstLine="643" w:firstLineChars="200"/>
        <w:jc w:val="left"/>
        <w:rPr>
          <w:rStyle w:val="65"/>
          <w:rFonts w:ascii="宋体" w:hAnsi="宋体" w:cs="宋体"/>
          <w:color w:val="auto"/>
          <w:sz w:val="32"/>
          <w:highlight w:val="none"/>
        </w:rPr>
      </w:pPr>
      <w:bookmarkStart w:id="1046" w:name="_Toc35424973"/>
      <w:bookmarkStart w:id="1047" w:name="_Toc19174"/>
      <w:bookmarkStart w:id="1048" w:name="_Toc35425139"/>
      <w:bookmarkStart w:id="1049" w:name="_Toc78803401"/>
      <w:r>
        <w:rPr>
          <w:rStyle w:val="65"/>
          <w:rFonts w:hint="eastAsia" w:ascii="宋体" w:hAnsi="宋体" w:cs="宋体"/>
          <w:color w:val="auto"/>
          <w:sz w:val="32"/>
          <w:highlight w:val="none"/>
        </w:rPr>
        <w:br w:type="page"/>
      </w:r>
      <w:bookmarkStart w:id="1050" w:name="_Toc19057"/>
      <w:bookmarkStart w:id="1051" w:name="_Toc27877"/>
      <w:r>
        <w:rPr>
          <w:rStyle w:val="65"/>
          <w:rFonts w:hint="eastAsia" w:ascii="宋体" w:hAnsi="宋体" w:cs="宋体"/>
          <w:color w:val="auto"/>
          <w:sz w:val="32"/>
          <w:highlight w:val="none"/>
        </w:rPr>
        <w:t>投标文件三</w:t>
      </w:r>
      <w:bookmarkEnd w:id="1046"/>
      <w:bookmarkEnd w:id="1047"/>
      <w:bookmarkEnd w:id="1048"/>
      <w:r>
        <w:rPr>
          <w:rStyle w:val="65"/>
          <w:rFonts w:hint="eastAsia" w:ascii="宋体" w:hAnsi="宋体" w:cs="宋体"/>
          <w:color w:val="auto"/>
          <w:sz w:val="32"/>
          <w:highlight w:val="none"/>
        </w:rPr>
        <w:t>：商务标目录</w:t>
      </w:r>
      <w:bookmarkEnd w:id="1049"/>
    </w:p>
    <w:bookmarkEnd w:id="1050"/>
    <w:bookmarkEnd w:id="1051"/>
    <w:p>
      <w:pPr>
        <w:spacing w:line="440" w:lineRule="exact"/>
        <w:ind w:firstLine="420" w:firstLineChars="200"/>
        <w:jc w:val="left"/>
        <w:rPr>
          <w:rFonts w:hint="eastAsia" w:ascii="宋体" w:hAnsi="宋体" w:cs="宋体"/>
          <w:i/>
          <w:iCs/>
          <w:color w:val="auto"/>
          <w:szCs w:val="21"/>
          <w:highlight w:val="none"/>
        </w:rPr>
      </w:pPr>
      <w:r>
        <w:rPr>
          <w:rFonts w:hint="eastAsia" w:ascii="宋体" w:hAnsi="宋体" w:cs="宋体"/>
          <w:color w:val="auto"/>
          <w:szCs w:val="21"/>
          <w:highlight w:val="none"/>
        </w:rPr>
        <w:t>（1）投标函；</w:t>
      </w:r>
    </w:p>
    <w:p>
      <w:pPr>
        <w:spacing w:line="44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）工程量清单报价书；</w:t>
      </w:r>
    </w:p>
    <w:p>
      <w:pPr>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商务评审需要及</w:t>
      </w:r>
      <w:r>
        <w:rPr>
          <w:rFonts w:hint="eastAsia" w:ascii="宋体" w:hAnsi="宋体" w:cs="宋体"/>
          <w:color w:val="auto"/>
          <w:szCs w:val="21"/>
          <w:highlight w:val="none"/>
        </w:rPr>
        <w:t>投标人认为需要提供的其他材料。</w:t>
      </w:r>
    </w:p>
    <w:p>
      <w:pPr>
        <w:spacing w:line="540" w:lineRule="exact"/>
        <w:rPr>
          <w:rFonts w:eastAsia="黑体"/>
          <w:color w:val="auto"/>
          <w:sz w:val="20"/>
          <w:szCs w:val="20"/>
          <w:highlight w:val="none"/>
        </w:rPr>
      </w:pPr>
    </w:p>
    <w:p>
      <w:pPr>
        <w:spacing w:line="540" w:lineRule="exact"/>
        <w:rPr>
          <w:rFonts w:eastAsia="黑体"/>
          <w:color w:val="auto"/>
          <w:sz w:val="20"/>
          <w:szCs w:val="20"/>
          <w:highlight w:val="none"/>
        </w:rPr>
      </w:pPr>
    </w:p>
    <w:p>
      <w:pPr>
        <w:spacing w:line="540" w:lineRule="exact"/>
        <w:rPr>
          <w:rFonts w:eastAsia="黑体"/>
          <w:color w:val="auto"/>
          <w:sz w:val="20"/>
          <w:szCs w:val="20"/>
          <w:highlight w:val="none"/>
        </w:rPr>
      </w:pPr>
    </w:p>
    <w:p>
      <w:pPr>
        <w:spacing w:line="360" w:lineRule="auto"/>
        <w:ind w:firstLine="420" w:firstLineChars="200"/>
        <w:jc w:val="right"/>
        <w:rPr>
          <w:color w:val="auto"/>
          <w:szCs w:val="21"/>
          <w:highlight w:val="none"/>
          <w:u w:val="single"/>
        </w:rPr>
      </w:pPr>
    </w:p>
    <w:p>
      <w:pPr>
        <w:spacing w:line="360" w:lineRule="auto"/>
        <w:ind w:firstLine="420" w:firstLineChars="200"/>
        <w:jc w:val="right"/>
        <w:rPr>
          <w:color w:val="auto"/>
          <w:szCs w:val="21"/>
          <w:highlight w:val="none"/>
          <w:u w:val="single"/>
        </w:rPr>
      </w:pPr>
    </w:p>
    <w:p>
      <w:pPr>
        <w:spacing w:line="360" w:lineRule="auto"/>
        <w:ind w:firstLine="420" w:firstLineChars="200"/>
        <w:jc w:val="right"/>
        <w:rPr>
          <w:color w:val="auto"/>
          <w:szCs w:val="21"/>
          <w:highlight w:val="none"/>
          <w:u w:val="single"/>
        </w:rPr>
      </w:pPr>
    </w:p>
    <w:p>
      <w:pPr>
        <w:spacing w:line="360" w:lineRule="auto"/>
        <w:ind w:firstLine="420" w:firstLineChars="200"/>
        <w:jc w:val="right"/>
        <w:rPr>
          <w:color w:val="auto"/>
          <w:szCs w:val="21"/>
          <w:highlight w:val="none"/>
          <w:u w:val="single"/>
        </w:rPr>
      </w:pPr>
    </w:p>
    <w:p>
      <w:pPr>
        <w:spacing w:line="360" w:lineRule="auto"/>
        <w:ind w:firstLine="420" w:firstLineChars="200"/>
        <w:jc w:val="right"/>
        <w:rPr>
          <w:color w:val="auto"/>
          <w:szCs w:val="21"/>
          <w:highlight w:val="none"/>
          <w:u w:val="single"/>
        </w:rPr>
      </w:pPr>
    </w:p>
    <w:p>
      <w:pPr>
        <w:spacing w:line="360" w:lineRule="auto"/>
        <w:ind w:firstLine="420" w:firstLineChars="200"/>
        <w:jc w:val="right"/>
        <w:rPr>
          <w:color w:val="auto"/>
          <w:szCs w:val="21"/>
          <w:highlight w:val="none"/>
          <w:u w:val="single"/>
        </w:rPr>
      </w:pPr>
    </w:p>
    <w:p>
      <w:pPr>
        <w:spacing w:line="360" w:lineRule="auto"/>
        <w:ind w:firstLine="420" w:firstLineChars="200"/>
        <w:jc w:val="right"/>
        <w:rPr>
          <w:color w:val="auto"/>
          <w:szCs w:val="21"/>
          <w:highlight w:val="none"/>
          <w:u w:val="single"/>
        </w:rPr>
      </w:pPr>
    </w:p>
    <w:p>
      <w:pPr>
        <w:spacing w:line="360" w:lineRule="auto"/>
        <w:ind w:firstLine="420" w:firstLineChars="200"/>
        <w:jc w:val="right"/>
        <w:rPr>
          <w:color w:val="auto"/>
          <w:szCs w:val="21"/>
          <w:highlight w:val="none"/>
          <w:u w:val="singl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jc w:val="center"/>
        <w:rPr>
          <w:b/>
          <w:color w:val="auto"/>
          <w:sz w:val="32"/>
          <w:szCs w:val="32"/>
          <w:highlight w:val="none"/>
        </w:rPr>
      </w:pPr>
    </w:p>
    <w:p>
      <w:pPr>
        <w:spacing w:line="360" w:lineRule="auto"/>
        <w:rPr>
          <w:b/>
          <w:bCs/>
          <w:color w:val="auto"/>
          <w:sz w:val="32"/>
          <w:szCs w:val="32"/>
          <w:highlight w:val="none"/>
        </w:rPr>
      </w:pPr>
    </w:p>
    <w:p>
      <w:pPr>
        <w:jc w:val="center"/>
        <w:rPr>
          <w:rFonts w:ascii="宋体" w:hAnsi="宋体"/>
          <w:b/>
          <w:color w:val="auto"/>
          <w:sz w:val="32"/>
          <w:szCs w:val="32"/>
          <w:highlight w:val="none"/>
        </w:rPr>
      </w:pPr>
      <w:r>
        <w:rPr>
          <w:rFonts w:hint="eastAsia" w:ascii="宋体" w:hAnsi="宋体"/>
          <w:b/>
          <w:color w:val="auto"/>
          <w:sz w:val="32"/>
          <w:szCs w:val="32"/>
          <w:highlight w:val="none"/>
        </w:rPr>
        <w:br w:type="page"/>
      </w:r>
      <w:r>
        <w:rPr>
          <w:rFonts w:hint="eastAsia" w:ascii="宋体" w:hAnsi="宋体"/>
          <w:b/>
          <w:color w:val="auto"/>
          <w:sz w:val="32"/>
          <w:szCs w:val="32"/>
          <w:highlight w:val="none"/>
        </w:rPr>
        <w:t>（1）投 标 函</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highlight w:val="none"/>
        </w:rPr>
      </w:pPr>
      <w:bookmarkStart w:id="1052" w:name="_Toc15058950"/>
      <w:bookmarkStart w:id="1053" w:name="_Toc506107366"/>
      <w:bookmarkStart w:id="1054" w:name="_Toc35424974"/>
      <w:bookmarkStart w:id="1055" w:name="_Toc35425140"/>
      <w:r>
        <w:rPr>
          <w:rFonts w:hint="eastAsia" w:ascii="宋体" w:hAnsi="宋体" w:eastAsia="宋体" w:cs="宋体"/>
          <w:b/>
          <w:bCs/>
          <w:color w:val="auto"/>
          <w:highlight w:val="none"/>
        </w:rPr>
        <w:t>致 ：</w:t>
      </w:r>
      <w:r>
        <w:rPr>
          <w:rFonts w:hint="eastAsia" w:ascii="宋体" w:hAnsi="宋体" w:eastAsia="宋体" w:cs="宋体"/>
          <w:b/>
          <w:bCs/>
          <w:color w:val="auto"/>
          <w:highlight w:val="none"/>
          <w:u w:val="single"/>
          <w:lang w:val="en-US" w:eastAsia="zh-CN"/>
        </w:rPr>
        <w:t xml:space="preserve">     </w:t>
      </w:r>
      <w:r>
        <w:rPr>
          <w:rFonts w:hint="eastAsia" w:ascii="宋体" w:hAnsi="宋体" w:cs="宋体"/>
          <w:b/>
          <w:bCs/>
          <w:color w:val="auto"/>
          <w:highlight w:val="none"/>
          <w:u w:val="single"/>
          <w:lang w:val="en-US" w:eastAsia="zh-CN"/>
        </w:rPr>
        <w:t xml:space="preserve">       </w:t>
      </w:r>
      <w:r>
        <w:rPr>
          <w:rFonts w:hint="eastAsia" w:ascii="宋体" w:hAnsi="宋体" w:eastAsia="宋体" w:cs="宋体"/>
          <w:b/>
          <w:bCs/>
          <w:color w:val="auto"/>
          <w:highlight w:val="none"/>
          <w:u w:val="single"/>
          <w:lang w:val="en-US" w:eastAsia="zh-CN"/>
        </w:rPr>
        <w:t xml:space="preserve">  （招标人） </w:t>
      </w:r>
      <w:r>
        <w:rPr>
          <w:rFonts w:hint="eastAsia" w:ascii="宋体" w:hAnsi="宋体" w:eastAsia="宋体" w:cs="宋体"/>
          <w:color w:val="auto"/>
          <w:highlight w:val="none"/>
        </w:rPr>
        <w:t xml:space="preserve">  </w:t>
      </w:r>
    </w:p>
    <w:p>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1、根据你方招标项目编号为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的</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招标文件，遵照《中华人民共和国招标投标法》等有关规定，经踏勘项目现场和研究上述招标文件的投标须知、合同条件、技术规范、图纸、工程量清单和其他有关文件后，我方愿以</w:t>
      </w:r>
      <w:r>
        <w:rPr>
          <w:rFonts w:hint="eastAsia" w:ascii="宋体" w:hAnsi="宋体"/>
          <w:color w:val="auto"/>
          <w:szCs w:val="21"/>
          <w:highlight w:val="none"/>
          <w:u w:val="single"/>
          <w:lang w:val="en-US" w:eastAsia="zh-CN"/>
        </w:rPr>
        <w:t xml:space="preserve"> （币种、金额、单位）人民币（大写）        （小写）      </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元</w:t>
      </w:r>
      <w:r>
        <w:rPr>
          <w:rFonts w:hint="eastAsia" w:ascii="宋体" w:hAnsi="宋体"/>
          <w:color w:val="auto"/>
          <w:szCs w:val="21"/>
          <w:highlight w:val="none"/>
        </w:rPr>
        <w:t>的投标报价承包上述项目，并承担任何质量缺陷保修责任。</w:t>
      </w:r>
    </w:p>
    <w:p>
      <w:pPr>
        <w:numPr>
          <w:ilvl w:val="0"/>
          <w:numId w:val="8"/>
        </w:numPr>
        <w:spacing w:line="440" w:lineRule="exact"/>
        <w:ind w:left="0" w:firstLine="404" w:firstLineChars="200"/>
        <w:jc w:val="left"/>
        <w:rPr>
          <w:rFonts w:ascii="宋体" w:hAnsi="宋体"/>
          <w:color w:val="auto"/>
          <w:spacing w:val="-4"/>
          <w:szCs w:val="21"/>
          <w:highlight w:val="none"/>
        </w:rPr>
      </w:pPr>
      <w:r>
        <w:rPr>
          <w:rFonts w:hint="eastAsia" w:ascii="宋体" w:hAnsi="宋体"/>
          <w:color w:val="auto"/>
          <w:spacing w:val="-4"/>
          <w:szCs w:val="21"/>
          <w:highlight w:val="none"/>
        </w:rPr>
        <w:t>我方已详细审核全部招标文件及有关附件，承诺招标文件及有关附件中所有条款。</w:t>
      </w:r>
    </w:p>
    <w:p>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3、一旦我方中标，我方将派出</w:t>
      </w:r>
      <w:r>
        <w:rPr>
          <w:rFonts w:hint="eastAsia" w:ascii="宋体" w:hAnsi="宋体"/>
          <w:color w:val="auto"/>
          <w:szCs w:val="21"/>
          <w:highlight w:val="none"/>
          <w:u w:val="single"/>
        </w:rPr>
        <w:t xml:space="preserve">      </w:t>
      </w:r>
      <w:r>
        <w:rPr>
          <w:rFonts w:hint="eastAsia" w:ascii="宋体" w:hAnsi="宋体"/>
          <w:color w:val="auto"/>
          <w:szCs w:val="21"/>
          <w:highlight w:val="none"/>
        </w:rPr>
        <w:t>为本项目的项目</w:t>
      </w:r>
      <w:r>
        <w:rPr>
          <w:rFonts w:hint="eastAsia" w:ascii="宋体" w:hAnsi="宋体"/>
          <w:color w:val="auto"/>
          <w:szCs w:val="21"/>
          <w:highlight w:val="none"/>
          <w:lang w:val="en-US" w:eastAsia="zh-CN"/>
        </w:rPr>
        <w:t>经理</w:t>
      </w:r>
      <w:r>
        <w:rPr>
          <w:rFonts w:hint="eastAsia" w:ascii="宋体" w:hAnsi="宋体"/>
          <w:color w:val="auto"/>
          <w:szCs w:val="21"/>
          <w:highlight w:val="none"/>
        </w:rPr>
        <w:t>，保证按照招标人要求开始实施本项目，并在</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个日历天（工期）内完成本合同的施工，并移交整个项目，项目质量达到</w:t>
      </w:r>
      <w:r>
        <w:rPr>
          <w:rFonts w:ascii="宋体" w:hAnsi="宋体"/>
          <w:color w:val="auto"/>
          <w:szCs w:val="21"/>
          <w:highlight w:val="none"/>
          <w:u w:val="single"/>
        </w:rPr>
        <w:t xml:space="preserve">   </w:t>
      </w:r>
      <w:r>
        <w:rPr>
          <w:rFonts w:hint="eastAsia" w:ascii="宋体" w:hAnsi="宋体"/>
          <w:color w:val="auto"/>
          <w:szCs w:val="21"/>
          <w:highlight w:val="none"/>
          <w:u w:val="single"/>
        </w:rPr>
        <w:t>合格</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标准。</w:t>
      </w:r>
    </w:p>
    <w:p>
      <w:pPr>
        <w:spacing w:line="440" w:lineRule="exact"/>
        <w:ind w:firstLine="420" w:firstLineChars="200"/>
        <w:jc w:val="left"/>
        <w:rPr>
          <w:rFonts w:ascii="宋体" w:hAnsi="宋体"/>
          <w:color w:val="auto"/>
          <w:szCs w:val="21"/>
          <w:highlight w:val="none"/>
        </w:rPr>
      </w:pPr>
      <w:r>
        <w:rPr>
          <w:rFonts w:hint="eastAsia" w:ascii="宋体" w:hAnsi="宋体"/>
          <w:color w:val="auto"/>
          <w:szCs w:val="21"/>
          <w:highlight w:val="none"/>
        </w:rPr>
        <w:t>4、随本投标书，我方同时按照招标文件的要求提交投标保证金。如果我方在本投标书有效期内撤回投标书，或在中标通知书下达后</w:t>
      </w:r>
      <w:r>
        <w:rPr>
          <w:rFonts w:ascii="宋体" w:hAnsi="宋体"/>
          <w:color w:val="auto"/>
          <w:szCs w:val="21"/>
          <w:highlight w:val="none"/>
          <w:u w:val="single"/>
        </w:rPr>
        <w:t xml:space="preserve">  </w:t>
      </w:r>
      <w:r>
        <w:rPr>
          <w:rFonts w:hint="eastAsia" w:ascii="宋体" w:hAnsi="宋体"/>
          <w:color w:val="auto"/>
          <w:szCs w:val="21"/>
          <w:highlight w:val="none"/>
          <w:u w:val="single"/>
        </w:rPr>
        <w:t>30</w:t>
      </w:r>
      <w:r>
        <w:rPr>
          <w:rFonts w:ascii="宋体" w:hAnsi="宋体"/>
          <w:color w:val="auto"/>
          <w:szCs w:val="21"/>
          <w:highlight w:val="none"/>
          <w:u w:val="single"/>
        </w:rPr>
        <w:t xml:space="preserve"> </w:t>
      </w:r>
      <w:r>
        <w:rPr>
          <w:rFonts w:hint="eastAsia" w:ascii="宋体" w:hAnsi="宋体"/>
          <w:color w:val="auto"/>
          <w:szCs w:val="21"/>
          <w:highlight w:val="none"/>
        </w:rPr>
        <w:t>天内未能或拒绝签订合同书，或自行转标，贵单位有权没收投标保证金，并另选中标单位。</w:t>
      </w:r>
    </w:p>
    <w:p>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5、如果我方中标我方将按照招标文件的规定提交履约担保。项目验收合格后，方可退还。</w:t>
      </w:r>
    </w:p>
    <w:p>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6、投标有效期为</w:t>
      </w:r>
      <w:r>
        <w:rPr>
          <w:rFonts w:hint="eastAsia" w:ascii="宋体" w:hAnsi="宋体"/>
          <w:color w:val="auto"/>
          <w:szCs w:val="21"/>
          <w:highlight w:val="none"/>
          <w:u w:val="single"/>
        </w:rPr>
        <w:t xml:space="preserve"> 90</w:t>
      </w:r>
      <w:r>
        <w:rPr>
          <w:rFonts w:hint="eastAsia" w:ascii="宋体" w:hAnsi="宋体"/>
          <w:color w:val="auto"/>
          <w:szCs w:val="21"/>
          <w:highlight w:val="none"/>
        </w:rPr>
        <w:t>日历天（从投标截止之日算起）。</w:t>
      </w:r>
    </w:p>
    <w:p>
      <w:pPr>
        <w:spacing w:line="44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7、我单位提供如下通讯地址：</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电子邮箱（地址），确认本项目相关法律文书均通过提供的以上地址送达，相关文书只要发送至以上电子邮箱（地址）即视为送达，投标人愿意承担一切法律后果。</w:t>
      </w:r>
    </w:p>
    <w:p>
      <w:pPr>
        <w:spacing w:line="600" w:lineRule="exact"/>
        <w:ind w:firstLine="420" w:firstLineChars="200"/>
        <w:jc w:val="left"/>
        <w:rPr>
          <w:rFonts w:hint="eastAsia"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盖</w:t>
      </w:r>
      <w:r>
        <w:rPr>
          <w:rFonts w:hint="eastAsia" w:ascii="宋体" w:hAnsi="宋体" w:eastAsia="宋体" w:cs="宋体"/>
          <w:color w:val="auto"/>
          <w:szCs w:val="21"/>
          <w:highlight w:val="none"/>
          <w:u w:val="single"/>
        </w:rPr>
        <w:t xml:space="preserve">章）   </w:t>
      </w:r>
    </w:p>
    <w:p>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（签</w:t>
      </w:r>
      <w:r>
        <w:rPr>
          <w:rFonts w:hint="eastAsia" w:ascii="宋体" w:hAnsi="宋体" w:cs="宋体"/>
          <w:color w:val="auto"/>
          <w:szCs w:val="21"/>
          <w:highlight w:val="none"/>
          <w:u w:val="single"/>
          <w:lang w:val="en-US" w:eastAsia="zh-CN"/>
        </w:rPr>
        <w:t>字或盖</w:t>
      </w:r>
      <w:r>
        <w:rPr>
          <w:rFonts w:hint="eastAsia" w:ascii="宋体" w:hAnsi="宋体" w:eastAsia="宋体" w:cs="宋体"/>
          <w:color w:val="auto"/>
          <w:szCs w:val="21"/>
          <w:highlight w:val="none"/>
          <w:u w:val="single"/>
        </w:rPr>
        <w:t>章）</w:t>
      </w:r>
    </w:p>
    <w:p>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hint="eastAsia" w:ascii="宋体" w:hAnsi="宋体" w:eastAsia="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邮政编码：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月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pPr>
        <w:rPr>
          <w:rFonts w:hint="eastAsia" w:ascii="宋体" w:hAnsi="宋体" w:eastAsia="宋体" w:cs="宋体"/>
          <w:b/>
          <w:bCs/>
          <w:kern w:val="0"/>
          <w:sz w:val="32"/>
          <w:szCs w:val="32"/>
        </w:rPr>
      </w:pPr>
      <w:r>
        <w:rPr>
          <w:rFonts w:hint="eastAsia" w:ascii="宋体" w:hAnsi="宋体" w:eastAsia="宋体" w:cs="宋体"/>
          <w:b/>
          <w:bCs/>
          <w:kern w:val="0"/>
          <w:sz w:val="32"/>
          <w:szCs w:val="32"/>
        </w:rPr>
        <w:br w:type="page"/>
      </w:r>
    </w:p>
    <w:p>
      <w:pPr>
        <w:pStyle w:val="2"/>
        <w:widowControl/>
        <w:adjustRightInd w:val="0"/>
        <w:snapToGrid w:val="0"/>
        <w:spacing w:before="0" w:beforeAutospacing="0" w:after="0" w:afterAutospacing="0" w:line="560" w:lineRule="exact"/>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w:t>
      </w:r>
      <w:r>
        <w:rPr>
          <w:rFonts w:hint="default" w:ascii="Times New Roman" w:hAnsi="Times New Roman" w:eastAsia="宋体" w:cs="Times New Roman"/>
          <w:b/>
          <w:bCs/>
          <w:kern w:val="0"/>
          <w:sz w:val="32"/>
          <w:szCs w:val="32"/>
        </w:rPr>
        <w:t>2</w:t>
      </w:r>
      <w:r>
        <w:rPr>
          <w:rFonts w:hint="eastAsia" w:ascii="宋体" w:hAnsi="宋体" w:eastAsia="宋体" w:cs="宋体"/>
          <w:b/>
          <w:bCs/>
          <w:kern w:val="0"/>
          <w:sz w:val="32"/>
          <w:szCs w:val="32"/>
        </w:rPr>
        <w:t>）工程量清单报价书</w:t>
      </w:r>
    </w:p>
    <w:p>
      <w:pPr>
        <w:keepNext w:val="0"/>
        <w:keepLines w:val="0"/>
        <w:widowControl w:val="0"/>
        <w:suppressLineNumbers w:val="0"/>
        <w:adjustRightInd w:val="0"/>
        <w:snapToGrid w:val="0"/>
        <w:spacing w:before="0" w:beforeAutospacing="0" w:after="0" w:afterAutospacing="0" w:line="560" w:lineRule="exact"/>
        <w:ind w:left="0" w:right="0"/>
        <w:jc w:val="center"/>
        <w:rPr>
          <w:rFonts w:hint="eastAsia" w:ascii="宋体" w:hAnsi="宋体" w:eastAsia="宋体" w:cs="宋体"/>
          <w:b/>
          <w:bCs/>
          <w:kern w:val="2"/>
          <w:sz w:val="32"/>
          <w:szCs w:val="32"/>
          <w:u w:val="single"/>
        </w:rPr>
      </w:pPr>
    </w:p>
    <w:p>
      <w:pPr>
        <w:keepNext w:val="0"/>
        <w:keepLines w:val="0"/>
        <w:widowControl w:val="0"/>
        <w:suppressLineNumbers w:val="0"/>
        <w:adjustRightInd w:val="0"/>
        <w:snapToGrid w:val="0"/>
        <w:spacing w:before="0" w:beforeAutospacing="0" w:after="0" w:afterAutospacing="0" w:line="560" w:lineRule="exact"/>
        <w:ind w:left="0" w:right="0" w:firstLine="480" w:firstLineChars="200"/>
        <w:jc w:val="both"/>
        <w:rPr>
          <w:rFonts w:hint="eastAsia" w:ascii="宋体" w:hAnsi="宋体" w:eastAsia="宋体" w:cs="宋体"/>
          <w:bCs/>
          <w:kern w:val="2"/>
          <w:sz w:val="24"/>
          <w:szCs w:val="24"/>
          <w:u w:val="single"/>
        </w:rPr>
      </w:pPr>
      <w:r>
        <w:rPr>
          <w:rFonts w:hint="eastAsia" w:ascii="宋体" w:hAnsi="宋体" w:eastAsia="宋体" w:cs="宋体"/>
          <w:bCs/>
          <w:kern w:val="2"/>
          <w:sz w:val="24"/>
          <w:szCs w:val="24"/>
          <w:u w:val="single"/>
          <w:lang w:val="en-US" w:eastAsia="zh-CN" w:bidi="ar"/>
        </w:rPr>
        <w:t>因工程量清单报价书采用非一点智慧软件制作，故制作电子版投标文件时，可将工程量清单报价书签字盖章后扫描上传。（包括但不限于以下内容：工程量清单汇总表、清单计价表、建设安装工程费计算表、其他工程费及间接费综合费率计算表、人工、材料、机械台班单价汇总表</w:t>
      </w:r>
      <w:r>
        <w:rPr>
          <w:rFonts w:hint="eastAsia" w:ascii="宋体" w:hAnsi="宋体" w:cs="宋体"/>
          <w:bCs/>
          <w:kern w:val="2"/>
          <w:sz w:val="24"/>
          <w:szCs w:val="24"/>
          <w:u w:val="single"/>
          <w:lang w:val="en-US" w:eastAsia="zh-CN" w:bidi="ar"/>
        </w:rPr>
        <w:t>等</w:t>
      </w:r>
      <w:r>
        <w:rPr>
          <w:rFonts w:hint="eastAsia" w:ascii="宋体" w:hAnsi="宋体" w:eastAsia="宋体" w:cs="宋体"/>
          <w:bCs/>
          <w:kern w:val="2"/>
          <w:sz w:val="24"/>
          <w:szCs w:val="24"/>
          <w:u w:val="single"/>
          <w:lang w:val="en-US" w:eastAsia="zh-CN" w:bidi="ar"/>
        </w:rPr>
        <w:t>）。</w:t>
      </w:r>
    </w:p>
    <w:p>
      <w:pPr>
        <w:pStyle w:val="42"/>
        <w:keepNext w:val="0"/>
        <w:keepLines w:val="0"/>
        <w:widowControl w:val="0"/>
        <w:suppressLineNumbers w:val="0"/>
        <w:spacing w:before="0" w:beforeAutospacing="1" w:after="120" w:afterLines="0" w:afterAutospacing="0"/>
        <w:ind w:left="420" w:leftChars="200" w:right="0" w:firstLine="420" w:firstLineChars="200"/>
        <w:jc w:val="both"/>
        <w:rPr>
          <w:rFonts w:hint="eastAsia"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 xml:space="preserve"> </w:t>
      </w:r>
      <w:r>
        <w:rPr>
          <w:rFonts w:hint="eastAsia"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 xml:space="preserve"> </w:t>
      </w:r>
      <w:r>
        <w:rPr>
          <w:rFonts w:hint="eastAsia"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pPr>
        <w:pStyle w:val="42"/>
        <w:keepNext w:val="0"/>
        <w:keepLines w:val="0"/>
        <w:widowControl w:val="0"/>
        <w:suppressLineNumbers w:val="0"/>
        <w:spacing w:before="0" w:beforeAutospacing="1" w:after="120" w:afterLines="0" w:afterAutospacing="0"/>
        <w:ind w:left="420" w:leftChars="200" w:right="0" w:firstLine="420" w:firstLineChars="200"/>
        <w:jc w:val="both"/>
        <w:rPr>
          <w:rFonts w:hint="eastAsia"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rPr>
      </w:pPr>
      <w:r>
        <w:rPr>
          <w:rFonts w:hint="eastAsia" w:ascii="宋体" w:hAnsi="宋体" w:eastAsia="宋体" w:cs="宋体"/>
          <w:kern w:val="2"/>
          <w:sz w:val="21"/>
          <w:szCs w:val="21"/>
          <w:lang w:val="en-US" w:eastAsia="zh-CN" w:bidi="ar"/>
        </w:rPr>
        <w:t xml:space="preserve"> </w:t>
      </w:r>
    </w:p>
    <w:p>
      <w:pPr>
        <w:pStyle w:val="2"/>
        <w:widowControl/>
        <w:adjustRightInd w:val="0"/>
        <w:snapToGrid w:val="0"/>
        <w:spacing w:before="0" w:beforeAutospacing="0" w:after="0" w:afterAutospacing="0" w:line="560" w:lineRule="exact"/>
        <w:jc w:val="center"/>
        <w:rPr>
          <w:rFonts w:hint="eastAsia" w:ascii="宋体" w:hAnsi="宋体" w:eastAsia="宋体" w:cs="宋体"/>
          <w:b w:val="0"/>
          <w:bCs/>
          <w:kern w:val="0"/>
          <w:sz w:val="32"/>
          <w:szCs w:val="32"/>
        </w:rPr>
      </w:pPr>
      <w:r>
        <w:rPr>
          <w:rFonts w:hint="eastAsia" w:ascii="宋体" w:hAnsi="宋体" w:eastAsia="宋体" w:cs="宋体"/>
          <w:b/>
          <w:bCs/>
          <w:kern w:val="0"/>
          <w:sz w:val="32"/>
          <w:szCs w:val="32"/>
        </w:rPr>
        <w:t>（</w:t>
      </w:r>
      <w:r>
        <w:rPr>
          <w:rFonts w:hint="default" w:ascii="Times New Roman" w:hAnsi="Times New Roman" w:eastAsia="宋体" w:cs="Times New Roman"/>
          <w:b/>
          <w:bCs/>
          <w:kern w:val="0"/>
          <w:sz w:val="32"/>
          <w:szCs w:val="32"/>
        </w:rPr>
        <w:t>3</w:t>
      </w:r>
      <w:r>
        <w:rPr>
          <w:rFonts w:hint="eastAsia" w:ascii="宋体" w:hAnsi="宋体" w:eastAsia="宋体" w:cs="宋体"/>
          <w:b/>
          <w:bCs/>
          <w:kern w:val="0"/>
          <w:sz w:val="32"/>
          <w:szCs w:val="32"/>
        </w:rPr>
        <w:t>）详细评审所需其他材料（如有）</w:t>
      </w:r>
    </w:p>
    <w:p>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460" w:lineRule="exact"/>
        <w:ind w:firstLine="2310" w:firstLineChars="1100"/>
        <w:jc w:val="left"/>
        <w:textAlignment w:val="auto"/>
        <w:rPr>
          <w:rFonts w:hint="eastAsia" w:ascii="宋体" w:hAnsi="宋体" w:eastAsia="宋体" w:cs="宋体"/>
          <w:color w:val="auto"/>
          <w:szCs w:val="21"/>
          <w:highlight w:val="none"/>
          <w:lang w:eastAsia="zh-CN"/>
        </w:rPr>
      </w:pPr>
    </w:p>
    <w:p>
      <w:pPr>
        <w:pStyle w:val="43"/>
        <w:spacing w:beforeLines="50" w:afterLines="50" w:line="440" w:lineRule="exact"/>
        <w:rPr>
          <w:rFonts w:hint="eastAsia" w:ascii="仿宋_GB2312" w:hAnsi="宋体" w:eastAsia="仿宋_GB2312"/>
          <w:b/>
          <w:color w:val="auto"/>
          <w:sz w:val="32"/>
          <w:szCs w:val="32"/>
          <w:highlight w:val="none"/>
        </w:rPr>
      </w:pPr>
      <w:r>
        <w:rPr>
          <w:rFonts w:hint="eastAsia"/>
          <w:color w:val="auto"/>
          <w:sz w:val="32"/>
          <w:szCs w:val="32"/>
          <w:highlight w:val="none"/>
        </w:rPr>
        <w:br w:type="page"/>
      </w:r>
      <w:bookmarkEnd w:id="7"/>
      <w:bookmarkEnd w:id="8"/>
      <w:bookmarkEnd w:id="9"/>
      <w:bookmarkEnd w:id="10"/>
      <w:bookmarkEnd w:id="11"/>
      <w:bookmarkEnd w:id="1052"/>
      <w:bookmarkEnd w:id="1053"/>
      <w:bookmarkEnd w:id="1054"/>
      <w:bookmarkEnd w:id="1055"/>
      <w:bookmarkStart w:id="1056" w:name="_Toc78803402"/>
    </w:p>
    <w:p>
      <w:pPr>
        <w:pStyle w:val="43"/>
        <w:spacing w:beforeLines="50" w:afterLines="50" w:line="440" w:lineRule="exact"/>
        <w:rPr>
          <w:bCs/>
          <w:color w:val="auto"/>
          <w:szCs w:val="32"/>
          <w:highlight w:val="none"/>
        </w:rPr>
      </w:pPr>
      <w:bookmarkStart w:id="1057" w:name="_Toc15593"/>
      <w:bookmarkStart w:id="1058" w:name="_Toc29114"/>
      <w:r>
        <w:rPr>
          <w:rFonts w:hint="eastAsia"/>
          <w:bCs/>
          <w:color w:val="auto"/>
          <w:szCs w:val="32"/>
          <w:highlight w:val="none"/>
        </w:rPr>
        <w:t>第</w:t>
      </w:r>
      <w:r>
        <w:rPr>
          <w:rFonts w:hint="eastAsia"/>
          <w:bCs/>
          <w:color w:val="auto"/>
          <w:szCs w:val="32"/>
          <w:highlight w:val="none"/>
          <w:lang w:val="en-US" w:eastAsia="zh-CN"/>
        </w:rPr>
        <w:t>八</w:t>
      </w:r>
      <w:r>
        <w:rPr>
          <w:rFonts w:hint="eastAsia"/>
          <w:bCs/>
          <w:color w:val="auto"/>
          <w:szCs w:val="32"/>
          <w:highlight w:val="none"/>
        </w:rPr>
        <w:t>章  招标单位、招标代理机构对本招标文件的确认</w:t>
      </w:r>
      <w:bookmarkEnd w:id="1056"/>
      <w:bookmarkEnd w:id="1057"/>
      <w:bookmarkEnd w:id="1058"/>
    </w:p>
    <w:p>
      <w:pPr>
        <w:pStyle w:val="20"/>
        <w:rPr>
          <w:color w:val="auto"/>
          <w:highlight w:val="none"/>
        </w:rPr>
      </w:pPr>
    </w:p>
    <w:tbl>
      <w:tblPr>
        <w:tblStyle w:val="46"/>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9" w:hRule="atLeast"/>
          <w:jc w:val="center"/>
        </w:trPr>
        <w:tc>
          <w:tcPr>
            <w:tcW w:w="9580" w:type="dxa"/>
            <w:noWrap/>
          </w:tcPr>
          <w:p>
            <w:pPr>
              <w:keepNext w:val="0"/>
              <w:keepLines w:val="0"/>
              <w:suppressLineNumbers w:val="0"/>
              <w:wordWrap w:val="0"/>
              <w:adjustRightInd w:val="0"/>
              <w:snapToGrid w:val="0"/>
              <w:spacing w:before="0" w:beforeAutospacing="0" w:after="0" w:afterAutospacing="0" w:line="560" w:lineRule="exact"/>
              <w:ind w:left="0" w:right="0"/>
              <w:rPr>
                <w:rFonts w:hint="default"/>
                <w:color w:val="auto"/>
                <w:sz w:val="30"/>
                <w:highlight w:val="none"/>
              </w:rPr>
            </w:pPr>
          </w:p>
          <w:p>
            <w:pPr>
              <w:keepNext w:val="0"/>
              <w:keepLines w:val="0"/>
              <w:suppressLineNumbers w:val="0"/>
              <w:spacing w:before="0" w:beforeAutospacing="0" w:after="0" w:afterAutospacing="0" w:line="560" w:lineRule="exact"/>
              <w:ind w:left="0" w:right="0" w:firstLine="560" w:firstLineChars="200"/>
              <w:rPr>
                <w:rFonts w:hint="default"/>
                <w:color w:val="auto"/>
                <w:sz w:val="28"/>
                <w:szCs w:val="28"/>
                <w:highlight w:val="none"/>
              </w:rPr>
            </w:pPr>
            <w:r>
              <w:rPr>
                <w:rFonts w:hint="eastAsia"/>
                <w:color w:val="auto"/>
                <w:sz w:val="28"/>
                <w:szCs w:val="28"/>
                <w:highlight w:val="none"/>
              </w:rPr>
              <w:t>我单位对</w:t>
            </w:r>
            <w:r>
              <w:rPr>
                <w:rFonts w:hint="eastAsia"/>
                <w:color w:val="auto"/>
                <w:sz w:val="28"/>
                <w:szCs w:val="28"/>
                <w:highlight w:val="none"/>
                <w:u w:val="single"/>
              </w:rPr>
              <w:t xml:space="preserve"> </w:t>
            </w:r>
            <w:r>
              <w:rPr>
                <w:rFonts w:hint="eastAsia"/>
                <w:color w:val="auto"/>
                <w:sz w:val="28"/>
                <w:szCs w:val="28"/>
                <w:highlight w:val="none"/>
                <w:u w:val="single"/>
                <w:lang w:eastAsia="zh-CN"/>
              </w:rPr>
              <w:t>马塘湖矿矿区内道路硬化工程</w:t>
            </w:r>
            <w:r>
              <w:rPr>
                <w:rFonts w:hint="eastAsia"/>
                <w:color w:val="auto"/>
                <w:sz w:val="28"/>
                <w:szCs w:val="28"/>
                <w:highlight w:val="none"/>
                <w:u w:val="single"/>
              </w:rPr>
              <w:t xml:space="preserve"> </w:t>
            </w:r>
            <w:r>
              <w:rPr>
                <w:rFonts w:hint="eastAsia"/>
                <w:color w:val="auto"/>
                <w:sz w:val="28"/>
                <w:szCs w:val="28"/>
                <w:highlight w:val="none"/>
              </w:rPr>
              <w:t>的招标文件进行确认。</w:t>
            </w:r>
          </w:p>
          <w:p>
            <w:pPr>
              <w:keepNext w:val="0"/>
              <w:keepLines w:val="0"/>
              <w:suppressLineNumbers w:val="0"/>
              <w:spacing w:before="0" w:beforeAutospacing="0" w:after="0" w:afterAutospacing="0" w:line="560" w:lineRule="exact"/>
              <w:ind w:left="0" w:right="0" w:firstLine="560" w:firstLineChars="200"/>
              <w:rPr>
                <w:rFonts w:hint="eastAsia" w:ascii="宋体" w:hAnsi="宋体"/>
                <w:color w:val="auto"/>
                <w:sz w:val="28"/>
                <w:szCs w:val="28"/>
                <w:highlight w:val="none"/>
              </w:rPr>
            </w:pPr>
            <w:r>
              <w:rPr>
                <w:rFonts w:hint="eastAsia" w:ascii="宋体" w:hAnsi="宋体"/>
                <w:color w:val="auto"/>
                <w:sz w:val="28"/>
                <w:szCs w:val="28"/>
                <w:highlight w:val="none"/>
                <w:lang w:val="en-US" w:eastAsia="zh-CN"/>
              </w:rPr>
              <w:t>招标人</w:t>
            </w:r>
            <w:r>
              <w:rPr>
                <w:rFonts w:hint="eastAsia" w:ascii="宋体" w:hAnsi="宋体"/>
                <w:color w:val="auto"/>
                <w:sz w:val="28"/>
                <w:szCs w:val="28"/>
                <w:highlight w:val="none"/>
              </w:rPr>
              <w:t>：</w:t>
            </w:r>
            <w:r>
              <w:rPr>
                <w:rFonts w:hint="eastAsia" w:ascii="宋体" w:hAnsi="宋体"/>
                <w:color w:val="auto"/>
                <w:sz w:val="28"/>
                <w:szCs w:val="28"/>
                <w:highlight w:val="none"/>
                <w:lang w:eastAsia="zh-CN"/>
              </w:rPr>
              <w:t>滁州市兴全矿业投资有限公司</w:t>
            </w:r>
            <w:r>
              <w:rPr>
                <w:rFonts w:hint="eastAsia" w:ascii="宋体" w:hAnsi="宋体"/>
                <w:color w:val="auto"/>
                <w:sz w:val="28"/>
                <w:szCs w:val="28"/>
                <w:highlight w:val="none"/>
              </w:rPr>
              <w:t xml:space="preserve">  </w:t>
            </w:r>
          </w:p>
          <w:p>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rPr>
              <w:t>联 系 人：</w:t>
            </w:r>
            <w:r>
              <w:rPr>
                <w:rFonts w:hint="eastAsia" w:ascii="宋体" w:hAnsi="宋体" w:cs="Times New Roman"/>
                <w:color w:val="auto"/>
                <w:sz w:val="28"/>
                <w:szCs w:val="28"/>
                <w:highlight w:val="none"/>
                <w:lang w:val="en-US" w:eastAsia="zh-CN"/>
              </w:rPr>
              <w:t>李云鹏</w:t>
            </w:r>
            <w:r>
              <w:rPr>
                <w:rFonts w:hint="eastAsia" w:ascii="宋体" w:hAnsi="宋体" w:eastAsia="宋体" w:cs="Times New Roman"/>
                <w:color w:val="auto"/>
                <w:sz w:val="28"/>
                <w:szCs w:val="28"/>
                <w:highlight w:val="none"/>
              </w:rPr>
              <w:t xml:space="preserve"> </w:t>
            </w:r>
            <w:r>
              <w:rPr>
                <w:rFonts w:hint="eastAsia" w:ascii="宋体" w:hAnsi="宋体" w:eastAsia="宋体" w:cs="Times New Roman"/>
                <w:color w:val="auto"/>
                <w:sz w:val="28"/>
                <w:szCs w:val="28"/>
                <w:highlight w:val="none"/>
                <w:lang w:val="en-US" w:eastAsia="zh-CN"/>
              </w:rPr>
              <w:t xml:space="preserve"> </w:t>
            </w:r>
          </w:p>
          <w:p>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Times New Roman"/>
                <w:color w:val="auto"/>
                <w:sz w:val="28"/>
                <w:szCs w:val="28"/>
                <w:highlight w:val="none"/>
                <w:lang w:val="en-US" w:eastAsia="zh-CN"/>
              </w:rPr>
            </w:pPr>
            <w:r>
              <w:rPr>
                <w:rFonts w:hint="eastAsia" w:ascii="宋体" w:hAnsi="宋体" w:eastAsia="宋体" w:cs="Times New Roman"/>
                <w:color w:val="auto"/>
                <w:sz w:val="28"/>
                <w:szCs w:val="28"/>
                <w:highlight w:val="none"/>
              </w:rPr>
              <w:t>联系电话：</w:t>
            </w:r>
            <w:r>
              <w:rPr>
                <w:rFonts w:hint="eastAsia" w:ascii="宋体" w:hAnsi="宋体" w:cs="Times New Roman"/>
                <w:color w:val="auto"/>
                <w:sz w:val="28"/>
                <w:szCs w:val="28"/>
                <w:highlight w:val="none"/>
                <w:lang w:val="en-US" w:eastAsia="zh-CN"/>
              </w:rPr>
              <w:t>18855069406</w:t>
            </w:r>
          </w:p>
          <w:p>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r>
              <w:rPr>
                <w:rFonts w:hint="eastAsia" w:ascii="宋体" w:hAnsi="宋体"/>
                <w:color w:val="auto"/>
                <w:sz w:val="28"/>
                <w:szCs w:val="28"/>
                <w:highlight w:val="none"/>
              </w:rPr>
              <w:t xml:space="preserve">    </w:t>
            </w:r>
            <w:r>
              <w:rPr>
                <w:rFonts w:hint="eastAsia" w:ascii="宋体" w:hAnsi="宋体"/>
                <w:color w:val="auto"/>
                <w:sz w:val="28"/>
                <w:szCs w:val="28"/>
                <w:highlight w:val="none"/>
                <w:lang w:val="en-US" w:eastAsia="zh-CN"/>
              </w:rPr>
              <w:t xml:space="preserve">    </w:t>
            </w:r>
          </w:p>
          <w:p>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pPr>
              <w:keepNext w:val="0"/>
              <w:keepLines w:val="0"/>
              <w:suppressLineNumbers w:val="0"/>
              <w:wordWrap w:val="0"/>
              <w:spacing w:before="0" w:beforeAutospacing="0" w:after="0" w:afterAutospacing="0" w:line="560" w:lineRule="exact"/>
              <w:ind w:left="0" w:right="0" w:firstLine="560" w:firstLineChars="200"/>
              <w:rPr>
                <w:rFonts w:hint="default" w:ascii="宋体" w:hAnsi="宋体"/>
                <w:color w:val="auto"/>
                <w:sz w:val="28"/>
                <w:szCs w:val="28"/>
                <w:highlight w:val="none"/>
              </w:rPr>
            </w:pPr>
          </w:p>
          <w:p>
            <w:pPr>
              <w:keepNext w:val="0"/>
              <w:keepLines w:val="0"/>
              <w:suppressLineNumbers w:val="0"/>
              <w:wordWrap w:val="0"/>
              <w:spacing w:before="0" w:beforeAutospacing="0" w:after="0" w:afterAutospacing="0" w:line="560" w:lineRule="exact"/>
              <w:ind w:left="0" w:right="0" w:firstLine="5740" w:firstLineChars="2050"/>
              <w:rPr>
                <w:rFonts w:hint="default" w:ascii="宋体" w:hAnsi="宋体"/>
                <w:color w:val="auto"/>
                <w:sz w:val="28"/>
                <w:szCs w:val="28"/>
                <w:highlight w:val="none"/>
              </w:rPr>
            </w:pPr>
            <w:r>
              <w:rPr>
                <w:rFonts w:hint="eastAsia" w:ascii="宋体" w:hAnsi="宋体"/>
                <w:color w:val="auto"/>
                <w:sz w:val="28"/>
                <w:szCs w:val="28"/>
                <w:highlight w:val="none"/>
              </w:rPr>
              <w:t>（单位盖章）</w:t>
            </w:r>
          </w:p>
          <w:p>
            <w:pPr>
              <w:keepNext w:val="0"/>
              <w:keepLines w:val="0"/>
              <w:suppressLineNumbers w:val="0"/>
              <w:spacing w:before="0" w:beforeAutospacing="0" w:after="0" w:afterAutospacing="0" w:line="560" w:lineRule="exact"/>
              <w:ind w:left="0" w:right="0" w:firstLine="5880" w:firstLineChars="210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月</w:t>
            </w:r>
          </w:p>
          <w:p>
            <w:pPr>
              <w:pStyle w:val="14"/>
              <w:keepNext w:val="0"/>
              <w:keepLines w:val="0"/>
              <w:suppressLineNumbers w:val="0"/>
              <w:spacing w:before="0" w:beforeAutospacing="0" w:after="0" w:afterAutospacing="0"/>
              <w:ind w:right="0" w:firstLine="420"/>
              <w:rPr>
                <w:rFonts w:hint="default"/>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6" w:hRule="atLeast"/>
          <w:jc w:val="center"/>
        </w:trPr>
        <w:tc>
          <w:tcPr>
            <w:tcW w:w="9580" w:type="dxa"/>
            <w:noWrap/>
          </w:tcPr>
          <w:p>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rPr>
            </w:pPr>
          </w:p>
          <w:p>
            <w:pPr>
              <w:keepNext w:val="0"/>
              <w:keepLines w:val="0"/>
              <w:suppressLineNumbers w:val="0"/>
              <w:spacing w:before="0" w:beforeAutospacing="0" w:after="0" w:afterAutospacing="0" w:line="560" w:lineRule="exact"/>
              <w:ind w:left="0" w:right="0" w:firstLine="560" w:firstLineChars="200"/>
              <w:rPr>
                <w:rFonts w:hint="default" w:ascii="宋体" w:hAnsi="宋体" w:cs="宋体"/>
                <w:color w:val="auto"/>
                <w:sz w:val="28"/>
                <w:szCs w:val="28"/>
                <w:highlight w:val="none"/>
                <w:u w:val="single"/>
              </w:rPr>
            </w:pPr>
            <w:r>
              <w:rPr>
                <w:rFonts w:hint="eastAsia" w:ascii="宋体" w:hAnsi="宋体" w:cs="宋体"/>
                <w:color w:val="auto"/>
                <w:sz w:val="28"/>
                <w:szCs w:val="28"/>
                <w:highlight w:val="none"/>
              </w:rPr>
              <w:t>招标代理机构：</w:t>
            </w:r>
            <w:r>
              <w:rPr>
                <w:rFonts w:hint="eastAsia"/>
                <w:color w:val="auto"/>
                <w:sz w:val="28"/>
                <w:szCs w:val="28"/>
                <w:highlight w:val="none"/>
              </w:rPr>
              <w:t>滁州市城投工程咨询管理有限公司</w:t>
            </w:r>
          </w:p>
          <w:p>
            <w:pPr>
              <w:keepNext w:val="0"/>
              <w:keepLines w:val="0"/>
              <w:suppressLineNumbers w:val="0"/>
              <w:spacing w:before="0" w:beforeAutospacing="0" w:after="0" w:afterAutospacing="0" w:line="560" w:lineRule="exact"/>
              <w:ind w:left="0" w:right="0"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联 系 人：胡国庆</w:t>
            </w:r>
          </w:p>
          <w:p>
            <w:pPr>
              <w:keepNext w:val="0"/>
              <w:keepLines w:val="0"/>
              <w:suppressLineNumbers w:val="0"/>
              <w:spacing w:before="0" w:beforeAutospacing="0" w:after="0" w:afterAutospacing="0" w:line="560" w:lineRule="exact"/>
              <w:ind w:left="0" w:right="0" w:firstLine="560" w:firstLineChars="200"/>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rPr>
              <w:t>联系方式：0550-3519517、18005500950</w:t>
            </w:r>
          </w:p>
          <w:p>
            <w:pPr>
              <w:keepNext w:val="0"/>
              <w:keepLines w:val="0"/>
              <w:suppressLineNumbers w:val="0"/>
              <w:spacing w:before="0" w:beforeAutospacing="0" w:after="0" w:afterAutospacing="0" w:line="560" w:lineRule="exact"/>
              <w:ind w:left="0" w:right="0" w:firstLine="5040" w:firstLineChars="1800"/>
              <w:rPr>
                <w:rFonts w:hint="default" w:ascii="宋体" w:hAnsi="宋体" w:cs="宋体"/>
                <w:color w:val="auto"/>
                <w:sz w:val="28"/>
                <w:szCs w:val="28"/>
                <w:highlight w:val="none"/>
              </w:rPr>
            </w:pPr>
          </w:p>
          <w:p>
            <w:pPr>
              <w:keepNext w:val="0"/>
              <w:keepLines w:val="0"/>
              <w:suppressLineNumbers w:val="0"/>
              <w:spacing w:before="0" w:beforeAutospacing="0" w:after="0" w:afterAutospacing="0" w:line="560" w:lineRule="exact"/>
              <w:ind w:left="0" w:right="0" w:firstLine="5460" w:firstLineChars="1950"/>
              <w:rPr>
                <w:rFonts w:hint="default" w:ascii="宋体" w:hAnsi="宋体" w:cs="宋体"/>
                <w:color w:val="auto"/>
                <w:sz w:val="28"/>
                <w:szCs w:val="28"/>
                <w:highlight w:val="none"/>
              </w:rPr>
            </w:pPr>
          </w:p>
          <w:p>
            <w:pPr>
              <w:keepNext w:val="0"/>
              <w:keepLines w:val="0"/>
              <w:suppressLineNumbers w:val="0"/>
              <w:spacing w:before="0" w:beforeAutospacing="0" w:after="0" w:afterAutospacing="0" w:line="560" w:lineRule="exact"/>
              <w:ind w:left="0" w:right="0" w:firstLine="5880" w:firstLineChars="2100"/>
              <w:rPr>
                <w:rFonts w:hint="default" w:ascii="宋体" w:hAnsi="宋体" w:cs="宋体"/>
                <w:color w:val="auto"/>
                <w:sz w:val="28"/>
                <w:szCs w:val="28"/>
                <w:highlight w:val="none"/>
              </w:rPr>
            </w:pPr>
            <w:r>
              <w:rPr>
                <w:rFonts w:hint="eastAsia" w:ascii="宋体" w:hAnsi="宋体" w:cs="宋体"/>
                <w:color w:val="auto"/>
                <w:sz w:val="28"/>
                <w:szCs w:val="28"/>
                <w:highlight w:val="none"/>
              </w:rPr>
              <w:t>（单位盖章）</w:t>
            </w:r>
          </w:p>
          <w:p>
            <w:pPr>
              <w:keepNext w:val="0"/>
              <w:keepLines w:val="0"/>
              <w:suppressLineNumbers w:val="0"/>
              <w:spacing w:before="0" w:beforeAutospacing="0" w:after="0" w:afterAutospacing="0" w:line="560" w:lineRule="exact"/>
              <w:ind w:left="0" w:right="0" w:firstLine="6020" w:firstLineChars="2150"/>
              <w:rPr>
                <w:rFonts w:hint="default" w:ascii="宋体" w:hAnsi="宋体"/>
                <w:color w:val="auto"/>
                <w:sz w:val="28"/>
                <w:szCs w:val="28"/>
                <w:highlight w:val="none"/>
              </w:rPr>
            </w:pPr>
            <w:r>
              <w:rPr>
                <w:rFonts w:hint="eastAsia" w:ascii="宋体" w:hAnsi="宋体"/>
                <w:color w:val="auto"/>
                <w:sz w:val="28"/>
                <w:szCs w:val="28"/>
                <w:highlight w:val="none"/>
              </w:rPr>
              <w:t>202</w:t>
            </w:r>
            <w:r>
              <w:rPr>
                <w:rFonts w:hint="eastAsia" w:ascii="宋体" w:hAnsi="宋体"/>
                <w:color w:val="auto"/>
                <w:sz w:val="28"/>
                <w:szCs w:val="28"/>
                <w:highlight w:val="none"/>
                <w:lang w:val="en-US" w:eastAsia="zh-CN"/>
              </w:rPr>
              <w:t>4</w:t>
            </w:r>
            <w:r>
              <w:rPr>
                <w:rFonts w:hint="eastAsia" w:ascii="宋体" w:hAnsi="宋体"/>
                <w:color w:val="auto"/>
                <w:sz w:val="28"/>
                <w:szCs w:val="28"/>
                <w:highlight w:val="none"/>
              </w:rPr>
              <w:t>年</w:t>
            </w:r>
            <w:r>
              <w:rPr>
                <w:rFonts w:hint="eastAsia" w:ascii="宋体" w:hAnsi="宋体"/>
                <w:color w:val="auto"/>
                <w:sz w:val="28"/>
                <w:szCs w:val="28"/>
                <w:highlight w:val="none"/>
                <w:lang w:val="en-US" w:eastAsia="zh-CN"/>
              </w:rPr>
              <w:t>6</w:t>
            </w:r>
            <w:r>
              <w:rPr>
                <w:rFonts w:hint="eastAsia" w:ascii="宋体" w:hAnsi="宋体"/>
                <w:color w:val="auto"/>
                <w:sz w:val="28"/>
                <w:szCs w:val="28"/>
                <w:highlight w:val="none"/>
              </w:rPr>
              <w:t>月</w:t>
            </w:r>
          </w:p>
          <w:p>
            <w:pPr>
              <w:pStyle w:val="14"/>
              <w:keepNext w:val="0"/>
              <w:keepLines w:val="0"/>
              <w:suppressLineNumbers w:val="0"/>
              <w:spacing w:before="0" w:beforeAutospacing="0" w:after="0" w:afterAutospacing="0"/>
              <w:ind w:right="0" w:firstLine="420"/>
              <w:rPr>
                <w:rFonts w:hint="default"/>
                <w:color w:val="auto"/>
                <w:highlight w:val="none"/>
              </w:rPr>
            </w:pPr>
          </w:p>
        </w:tc>
      </w:tr>
    </w:tbl>
    <w:p>
      <w:pPr>
        <w:rPr>
          <w:color w:val="auto"/>
          <w:highlight w:val="none"/>
        </w:rPr>
      </w:pPr>
    </w:p>
    <w:sectPr>
      <w:headerReference r:id="rId7" w:type="default"/>
      <w:footerReference r:id="rId8" w:type="default"/>
      <w:pgSz w:w="11906" w:h="16838"/>
      <w:pgMar w:top="1134" w:right="1417" w:bottom="113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华文细黑">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Style w:val="50"/>
      </w:rPr>
    </w:pPr>
  </w:p>
  <w:p>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Style w:val="50"/>
      </w:rPr>
    </w:pPr>
  </w:p>
  <w:p>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Style w:val="50"/>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p>
    <w:pPr>
      <w:pStyle w:val="3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Style w:val="50"/>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p>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E0B1C5"/>
    <w:multiLevelType w:val="singleLevel"/>
    <w:tmpl w:val="84E0B1C5"/>
    <w:lvl w:ilvl="0" w:tentative="0">
      <w:start w:val="1"/>
      <w:numFmt w:val="decimal"/>
      <w:suff w:val="space"/>
      <w:lvlText w:val="（%1）"/>
      <w:lvlJc w:val="left"/>
    </w:lvl>
  </w:abstractNum>
  <w:abstractNum w:abstractNumId="1">
    <w:nsid w:val="BFD0D545"/>
    <w:multiLevelType w:val="singleLevel"/>
    <w:tmpl w:val="BFD0D545"/>
    <w:lvl w:ilvl="0" w:tentative="0">
      <w:start w:val="3"/>
      <w:numFmt w:val="decimal"/>
      <w:suff w:val="nothing"/>
      <w:lvlText w:val="（%1）"/>
      <w:lvlJc w:val="left"/>
    </w:lvl>
  </w:abstractNum>
  <w:abstractNum w:abstractNumId="2">
    <w:nsid w:val="D5B19CE4"/>
    <w:multiLevelType w:val="singleLevel"/>
    <w:tmpl w:val="D5B19CE4"/>
    <w:lvl w:ilvl="0" w:tentative="0">
      <w:start w:val="1"/>
      <w:numFmt w:val="decimal"/>
      <w:suff w:val="nothing"/>
      <w:lvlText w:val="（%1）"/>
      <w:lvlJc w:val="left"/>
    </w:lvl>
  </w:abstractNum>
  <w:abstractNum w:abstractNumId="3">
    <w:nsid w:val="00000005"/>
    <w:multiLevelType w:val="multilevel"/>
    <w:tmpl w:val="00000005"/>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52B3C79"/>
    <w:multiLevelType w:val="singleLevel"/>
    <w:tmpl w:val="152B3C79"/>
    <w:lvl w:ilvl="0" w:tentative="0">
      <w:start w:val="1"/>
      <w:numFmt w:val="decimal"/>
      <w:suff w:val="nothing"/>
      <w:lvlText w:val="（%1）"/>
      <w:lvlJc w:val="left"/>
    </w:lvl>
  </w:abstractNum>
  <w:abstractNum w:abstractNumId="5">
    <w:nsid w:val="1E80E6C8"/>
    <w:multiLevelType w:val="singleLevel"/>
    <w:tmpl w:val="1E80E6C8"/>
    <w:lvl w:ilvl="0" w:tentative="0">
      <w:start w:val="3"/>
      <w:numFmt w:val="chineseCounting"/>
      <w:suff w:val="space"/>
      <w:lvlText w:val="第%1章"/>
      <w:lvlJc w:val="left"/>
      <w:rPr>
        <w:rFonts w:hint="eastAsia"/>
      </w:rPr>
    </w:lvl>
  </w:abstractNum>
  <w:abstractNum w:abstractNumId="6">
    <w:nsid w:val="2CFC1AFD"/>
    <w:multiLevelType w:val="singleLevel"/>
    <w:tmpl w:val="2CFC1AFD"/>
    <w:lvl w:ilvl="0" w:tentative="0">
      <w:start w:val="5"/>
      <w:numFmt w:val="chineseCounting"/>
      <w:suff w:val="space"/>
      <w:lvlText w:val="第%1章"/>
      <w:lvlJc w:val="left"/>
      <w:rPr>
        <w:rFonts w:hint="eastAsia"/>
      </w:rPr>
    </w:lvl>
  </w:abstractNum>
  <w:abstractNum w:abstractNumId="7">
    <w:nsid w:val="45A1E0C6"/>
    <w:multiLevelType w:val="singleLevel"/>
    <w:tmpl w:val="45A1E0C6"/>
    <w:lvl w:ilvl="0" w:tentative="0">
      <w:start w:val="10"/>
      <w:numFmt w:val="decimal"/>
      <w:suff w:val="nothing"/>
      <w:lvlText w:val="（%1）"/>
      <w:lvlJc w:val="left"/>
      <w:pPr>
        <w:tabs>
          <w:tab w:val="left" w:pos="0"/>
        </w:tabs>
        <w:ind w:left="0" w:firstLine="0"/>
      </w:pPr>
    </w:lvl>
  </w:abstractNum>
  <w:num w:numId="1">
    <w:abstractNumId w:val="1"/>
  </w:num>
  <w:num w:numId="2">
    <w:abstractNumId w:val="2"/>
  </w:num>
  <w:num w:numId="3">
    <w:abstractNumId w:val="5"/>
  </w:num>
  <w:num w:numId="4">
    <w:abstractNumId w:val="7"/>
  </w:num>
  <w:num w:numId="5">
    <w:abstractNumId w:val="0"/>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5ZDY5ZDNjMmE2ZDcxYTFkMDY0Zjg5Mjg3YTE0YTgifQ=="/>
  </w:docVars>
  <w:rsids>
    <w:rsidRoot w:val="00172A27"/>
    <w:rsid w:val="0000197A"/>
    <w:rsid w:val="00002E1B"/>
    <w:rsid w:val="000046EA"/>
    <w:rsid w:val="00004E34"/>
    <w:rsid w:val="00005CD8"/>
    <w:rsid w:val="00006123"/>
    <w:rsid w:val="000070B7"/>
    <w:rsid w:val="0000758B"/>
    <w:rsid w:val="00010F4B"/>
    <w:rsid w:val="0001111D"/>
    <w:rsid w:val="00011A14"/>
    <w:rsid w:val="00012844"/>
    <w:rsid w:val="00012D1D"/>
    <w:rsid w:val="00017114"/>
    <w:rsid w:val="00017EFA"/>
    <w:rsid w:val="00020FE0"/>
    <w:rsid w:val="00021BDB"/>
    <w:rsid w:val="000225E0"/>
    <w:rsid w:val="00022A89"/>
    <w:rsid w:val="00023D05"/>
    <w:rsid w:val="00026E12"/>
    <w:rsid w:val="000273CC"/>
    <w:rsid w:val="000330C1"/>
    <w:rsid w:val="000335C0"/>
    <w:rsid w:val="00034C73"/>
    <w:rsid w:val="0003719A"/>
    <w:rsid w:val="00037B93"/>
    <w:rsid w:val="00040224"/>
    <w:rsid w:val="0004332D"/>
    <w:rsid w:val="00044907"/>
    <w:rsid w:val="0004695D"/>
    <w:rsid w:val="00046C34"/>
    <w:rsid w:val="00057DBF"/>
    <w:rsid w:val="000617FE"/>
    <w:rsid w:val="0006411D"/>
    <w:rsid w:val="000642AF"/>
    <w:rsid w:val="00066792"/>
    <w:rsid w:val="00072090"/>
    <w:rsid w:val="00076B75"/>
    <w:rsid w:val="00076F1D"/>
    <w:rsid w:val="00077234"/>
    <w:rsid w:val="000837EF"/>
    <w:rsid w:val="00083ADA"/>
    <w:rsid w:val="0008659F"/>
    <w:rsid w:val="00086C18"/>
    <w:rsid w:val="00090A07"/>
    <w:rsid w:val="00090F90"/>
    <w:rsid w:val="00093100"/>
    <w:rsid w:val="000939B1"/>
    <w:rsid w:val="00094E9D"/>
    <w:rsid w:val="000A078C"/>
    <w:rsid w:val="000A11AD"/>
    <w:rsid w:val="000A2C9F"/>
    <w:rsid w:val="000A475B"/>
    <w:rsid w:val="000A65EE"/>
    <w:rsid w:val="000B0DC9"/>
    <w:rsid w:val="000B3A75"/>
    <w:rsid w:val="000B4B76"/>
    <w:rsid w:val="000B547D"/>
    <w:rsid w:val="000B7A7E"/>
    <w:rsid w:val="000B7EE6"/>
    <w:rsid w:val="000C10AA"/>
    <w:rsid w:val="000C26FD"/>
    <w:rsid w:val="000D08DE"/>
    <w:rsid w:val="000D203E"/>
    <w:rsid w:val="000D2C3D"/>
    <w:rsid w:val="000D2ECE"/>
    <w:rsid w:val="000D4E9E"/>
    <w:rsid w:val="000D7F9C"/>
    <w:rsid w:val="000E0020"/>
    <w:rsid w:val="000E1F7F"/>
    <w:rsid w:val="000E227E"/>
    <w:rsid w:val="000E24EC"/>
    <w:rsid w:val="000E3D3D"/>
    <w:rsid w:val="000F7312"/>
    <w:rsid w:val="000F740E"/>
    <w:rsid w:val="00104E44"/>
    <w:rsid w:val="001063CB"/>
    <w:rsid w:val="0011140E"/>
    <w:rsid w:val="00114707"/>
    <w:rsid w:val="00115943"/>
    <w:rsid w:val="00116988"/>
    <w:rsid w:val="00120E5D"/>
    <w:rsid w:val="00125553"/>
    <w:rsid w:val="0012738D"/>
    <w:rsid w:val="00130FBA"/>
    <w:rsid w:val="00131494"/>
    <w:rsid w:val="00132E3D"/>
    <w:rsid w:val="0014049F"/>
    <w:rsid w:val="00140BFD"/>
    <w:rsid w:val="00142868"/>
    <w:rsid w:val="00146B5E"/>
    <w:rsid w:val="0015292B"/>
    <w:rsid w:val="0015363F"/>
    <w:rsid w:val="00154C59"/>
    <w:rsid w:val="00155F6F"/>
    <w:rsid w:val="001564C3"/>
    <w:rsid w:val="001620D9"/>
    <w:rsid w:val="0016514F"/>
    <w:rsid w:val="00165414"/>
    <w:rsid w:val="00165F97"/>
    <w:rsid w:val="00167090"/>
    <w:rsid w:val="00167507"/>
    <w:rsid w:val="00172A27"/>
    <w:rsid w:val="00173108"/>
    <w:rsid w:val="00173D37"/>
    <w:rsid w:val="00174E43"/>
    <w:rsid w:val="0018238C"/>
    <w:rsid w:val="00182D4C"/>
    <w:rsid w:val="001834BA"/>
    <w:rsid w:val="001843D3"/>
    <w:rsid w:val="00184866"/>
    <w:rsid w:val="00185DBC"/>
    <w:rsid w:val="001867E2"/>
    <w:rsid w:val="001919D1"/>
    <w:rsid w:val="00191DD8"/>
    <w:rsid w:val="00193AE6"/>
    <w:rsid w:val="00194AEF"/>
    <w:rsid w:val="001963BD"/>
    <w:rsid w:val="001A120B"/>
    <w:rsid w:val="001A184C"/>
    <w:rsid w:val="001A274E"/>
    <w:rsid w:val="001A2C88"/>
    <w:rsid w:val="001A37E0"/>
    <w:rsid w:val="001A3EC9"/>
    <w:rsid w:val="001A50F2"/>
    <w:rsid w:val="001A6EF7"/>
    <w:rsid w:val="001B1DF0"/>
    <w:rsid w:val="001B21A5"/>
    <w:rsid w:val="001B45D5"/>
    <w:rsid w:val="001B4675"/>
    <w:rsid w:val="001B4BDE"/>
    <w:rsid w:val="001B59E9"/>
    <w:rsid w:val="001B62B0"/>
    <w:rsid w:val="001B6A78"/>
    <w:rsid w:val="001C1FC2"/>
    <w:rsid w:val="001C4E01"/>
    <w:rsid w:val="001C7AB4"/>
    <w:rsid w:val="001D0C94"/>
    <w:rsid w:val="001D3498"/>
    <w:rsid w:val="001E1380"/>
    <w:rsid w:val="001E5247"/>
    <w:rsid w:val="001F23AB"/>
    <w:rsid w:val="001F32ED"/>
    <w:rsid w:val="001F4F95"/>
    <w:rsid w:val="001F7E70"/>
    <w:rsid w:val="00200459"/>
    <w:rsid w:val="00202DB7"/>
    <w:rsid w:val="00207065"/>
    <w:rsid w:val="00207999"/>
    <w:rsid w:val="00212D04"/>
    <w:rsid w:val="00213FCA"/>
    <w:rsid w:val="00214988"/>
    <w:rsid w:val="00214B43"/>
    <w:rsid w:val="00214F76"/>
    <w:rsid w:val="002202CE"/>
    <w:rsid w:val="0022219A"/>
    <w:rsid w:val="00222521"/>
    <w:rsid w:val="00227461"/>
    <w:rsid w:val="0022783F"/>
    <w:rsid w:val="00230392"/>
    <w:rsid w:val="00230583"/>
    <w:rsid w:val="00230A2B"/>
    <w:rsid w:val="00231547"/>
    <w:rsid w:val="002334EC"/>
    <w:rsid w:val="00235B32"/>
    <w:rsid w:val="00236AD7"/>
    <w:rsid w:val="00237688"/>
    <w:rsid w:val="00240423"/>
    <w:rsid w:val="00243B18"/>
    <w:rsid w:val="00246AD7"/>
    <w:rsid w:val="00246B91"/>
    <w:rsid w:val="00247A64"/>
    <w:rsid w:val="00250013"/>
    <w:rsid w:val="00250BCF"/>
    <w:rsid w:val="00253591"/>
    <w:rsid w:val="00255670"/>
    <w:rsid w:val="00256780"/>
    <w:rsid w:val="00262ABE"/>
    <w:rsid w:val="002657EE"/>
    <w:rsid w:val="00276F57"/>
    <w:rsid w:val="00277D06"/>
    <w:rsid w:val="002816D4"/>
    <w:rsid w:val="00286980"/>
    <w:rsid w:val="002928CE"/>
    <w:rsid w:val="00292C87"/>
    <w:rsid w:val="0029757E"/>
    <w:rsid w:val="002A1A66"/>
    <w:rsid w:val="002A39EF"/>
    <w:rsid w:val="002A599F"/>
    <w:rsid w:val="002A6E04"/>
    <w:rsid w:val="002B4BA8"/>
    <w:rsid w:val="002B7071"/>
    <w:rsid w:val="002B7117"/>
    <w:rsid w:val="002B714A"/>
    <w:rsid w:val="002B718A"/>
    <w:rsid w:val="002B7621"/>
    <w:rsid w:val="002C2E22"/>
    <w:rsid w:val="002C4A57"/>
    <w:rsid w:val="002C528E"/>
    <w:rsid w:val="002C5643"/>
    <w:rsid w:val="002E13EC"/>
    <w:rsid w:val="002E41CC"/>
    <w:rsid w:val="002F05E9"/>
    <w:rsid w:val="002F2C99"/>
    <w:rsid w:val="002F3D6A"/>
    <w:rsid w:val="002F794D"/>
    <w:rsid w:val="003029B3"/>
    <w:rsid w:val="00303019"/>
    <w:rsid w:val="00306787"/>
    <w:rsid w:val="00306966"/>
    <w:rsid w:val="0031113D"/>
    <w:rsid w:val="00311AAC"/>
    <w:rsid w:val="00313CA4"/>
    <w:rsid w:val="00314E82"/>
    <w:rsid w:val="003150CE"/>
    <w:rsid w:val="00315FF9"/>
    <w:rsid w:val="00316270"/>
    <w:rsid w:val="00321598"/>
    <w:rsid w:val="00321FDB"/>
    <w:rsid w:val="00323870"/>
    <w:rsid w:val="00323FFD"/>
    <w:rsid w:val="00324847"/>
    <w:rsid w:val="00324A5E"/>
    <w:rsid w:val="00325624"/>
    <w:rsid w:val="0032611D"/>
    <w:rsid w:val="003264EB"/>
    <w:rsid w:val="00326940"/>
    <w:rsid w:val="00330CCD"/>
    <w:rsid w:val="00332891"/>
    <w:rsid w:val="00332BBD"/>
    <w:rsid w:val="00333810"/>
    <w:rsid w:val="003343C0"/>
    <w:rsid w:val="00340804"/>
    <w:rsid w:val="00342D97"/>
    <w:rsid w:val="00343375"/>
    <w:rsid w:val="003448C2"/>
    <w:rsid w:val="00344CD6"/>
    <w:rsid w:val="0034662F"/>
    <w:rsid w:val="003510D2"/>
    <w:rsid w:val="00351A8E"/>
    <w:rsid w:val="0035447B"/>
    <w:rsid w:val="00356B27"/>
    <w:rsid w:val="00356B90"/>
    <w:rsid w:val="00357C8A"/>
    <w:rsid w:val="00360C29"/>
    <w:rsid w:val="0036101B"/>
    <w:rsid w:val="003613C6"/>
    <w:rsid w:val="00361CBA"/>
    <w:rsid w:val="00362EE3"/>
    <w:rsid w:val="0036593D"/>
    <w:rsid w:val="00366951"/>
    <w:rsid w:val="00370107"/>
    <w:rsid w:val="003720A1"/>
    <w:rsid w:val="003745F9"/>
    <w:rsid w:val="00376808"/>
    <w:rsid w:val="0037767C"/>
    <w:rsid w:val="003817E6"/>
    <w:rsid w:val="00381E22"/>
    <w:rsid w:val="0038244A"/>
    <w:rsid w:val="00382545"/>
    <w:rsid w:val="00383221"/>
    <w:rsid w:val="00384090"/>
    <w:rsid w:val="003844ED"/>
    <w:rsid w:val="00386132"/>
    <w:rsid w:val="003871B4"/>
    <w:rsid w:val="00393016"/>
    <w:rsid w:val="00394BA5"/>
    <w:rsid w:val="00394D82"/>
    <w:rsid w:val="003A70F7"/>
    <w:rsid w:val="003B39C6"/>
    <w:rsid w:val="003B4CDE"/>
    <w:rsid w:val="003B5919"/>
    <w:rsid w:val="003B7075"/>
    <w:rsid w:val="003B7983"/>
    <w:rsid w:val="003C24F4"/>
    <w:rsid w:val="003C4452"/>
    <w:rsid w:val="003C4CBD"/>
    <w:rsid w:val="003C7646"/>
    <w:rsid w:val="003D0BFC"/>
    <w:rsid w:val="003D206A"/>
    <w:rsid w:val="003D27B4"/>
    <w:rsid w:val="003D34ED"/>
    <w:rsid w:val="003D60ED"/>
    <w:rsid w:val="003D7852"/>
    <w:rsid w:val="003E0F27"/>
    <w:rsid w:val="003E15AB"/>
    <w:rsid w:val="003E3274"/>
    <w:rsid w:val="003E441B"/>
    <w:rsid w:val="003E528B"/>
    <w:rsid w:val="003E62C9"/>
    <w:rsid w:val="003E64A4"/>
    <w:rsid w:val="003F1184"/>
    <w:rsid w:val="003F19CD"/>
    <w:rsid w:val="003F34D1"/>
    <w:rsid w:val="003F5214"/>
    <w:rsid w:val="003F56BE"/>
    <w:rsid w:val="003F72A7"/>
    <w:rsid w:val="00403578"/>
    <w:rsid w:val="0040419B"/>
    <w:rsid w:val="00404AFD"/>
    <w:rsid w:val="0041061A"/>
    <w:rsid w:val="00411B9C"/>
    <w:rsid w:val="004139CC"/>
    <w:rsid w:val="00416BD0"/>
    <w:rsid w:val="004179E4"/>
    <w:rsid w:val="00422908"/>
    <w:rsid w:val="0042416B"/>
    <w:rsid w:val="004249BA"/>
    <w:rsid w:val="0042531B"/>
    <w:rsid w:val="004306D8"/>
    <w:rsid w:val="00430F18"/>
    <w:rsid w:val="00432BC1"/>
    <w:rsid w:val="00433924"/>
    <w:rsid w:val="00434AAC"/>
    <w:rsid w:val="0043512B"/>
    <w:rsid w:val="00435537"/>
    <w:rsid w:val="004355FE"/>
    <w:rsid w:val="00441E58"/>
    <w:rsid w:val="00445715"/>
    <w:rsid w:val="00445E0F"/>
    <w:rsid w:val="00446179"/>
    <w:rsid w:val="004506F7"/>
    <w:rsid w:val="0045199B"/>
    <w:rsid w:val="00451F70"/>
    <w:rsid w:val="00454C0F"/>
    <w:rsid w:val="00454F95"/>
    <w:rsid w:val="004571AF"/>
    <w:rsid w:val="00462043"/>
    <w:rsid w:val="0046380E"/>
    <w:rsid w:val="00466093"/>
    <w:rsid w:val="004712B0"/>
    <w:rsid w:val="00471B5C"/>
    <w:rsid w:val="00473006"/>
    <w:rsid w:val="00473509"/>
    <w:rsid w:val="00473BA0"/>
    <w:rsid w:val="00474B17"/>
    <w:rsid w:val="0047678B"/>
    <w:rsid w:val="00477FF4"/>
    <w:rsid w:val="00482303"/>
    <w:rsid w:val="00487C57"/>
    <w:rsid w:val="00494CD7"/>
    <w:rsid w:val="004A3117"/>
    <w:rsid w:val="004A394F"/>
    <w:rsid w:val="004A7299"/>
    <w:rsid w:val="004B15C6"/>
    <w:rsid w:val="004C0130"/>
    <w:rsid w:val="004C1E7E"/>
    <w:rsid w:val="004C2BF2"/>
    <w:rsid w:val="004C4C36"/>
    <w:rsid w:val="004C791A"/>
    <w:rsid w:val="004D0871"/>
    <w:rsid w:val="004D31D7"/>
    <w:rsid w:val="004D6B92"/>
    <w:rsid w:val="004E085C"/>
    <w:rsid w:val="004E0F8D"/>
    <w:rsid w:val="004F0E30"/>
    <w:rsid w:val="004F1D3D"/>
    <w:rsid w:val="004F3C9D"/>
    <w:rsid w:val="004F5CF2"/>
    <w:rsid w:val="004F77A5"/>
    <w:rsid w:val="00504F99"/>
    <w:rsid w:val="00505F69"/>
    <w:rsid w:val="005078D7"/>
    <w:rsid w:val="00510F89"/>
    <w:rsid w:val="00512B81"/>
    <w:rsid w:val="00513D1E"/>
    <w:rsid w:val="0052022B"/>
    <w:rsid w:val="005212B3"/>
    <w:rsid w:val="00525D5C"/>
    <w:rsid w:val="00526B90"/>
    <w:rsid w:val="00527D18"/>
    <w:rsid w:val="005324F1"/>
    <w:rsid w:val="005345CF"/>
    <w:rsid w:val="00534798"/>
    <w:rsid w:val="00534AB4"/>
    <w:rsid w:val="005362C3"/>
    <w:rsid w:val="00536BAD"/>
    <w:rsid w:val="00537141"/>
    <w:rsid w:val="005408F8"/>
    <w:rsid w:val="00543A1A"/>
    <w:rsid w:val="00543D1A"/>
    <w:rsid w:val="00545A63"/>
    <w:rsid w:val="00550A8B"/>
    <w:rsid w:val="00551ABE"/>
    <w:rsid w:val="00551F3F"/>
    <w:rsid w:val="00553C28"/>
    <w:rsid w:val="00555711"/>
    <w:rsid w:val="0055655B"/>
    <w:rsid w:val="005575EF"/>
    <w:rsid w:val="00557CAA"/>
    <w:rsid w:val="005610A7"/>
    <w:rsid w:val="00562097"/>
    <w:rsid w:val="00562642"/>
    <w:rsid w:val="00562653"/>
    <w:rsid w:val="00563B31"/>
    <w:rsid w:val="00564616"/>
    <w:rsid w:val="00565E25"/>
    <w:rsid w:val="00566512"/>
    <w:rsid w:val="005677A2"/>
    <w:rsid w:val="00571668"/>
    <w:rsid w:val="00573193"/>
    <w:rsid w:val="005736B2"/>
    <w:rsid w:val="0057643A"/>
    <w:rsid w:val="00580342"/>
    <w:rsid w:val="00582213"/>
    <w:rsid w:val="005901E1"/>
    <w:rsid w:val="005915F5"/>
    <w:rsid w:val="00591F58"/>
    <w:rsid w:val="00592834"/>
    <w:rsid w:val="00594FBF"/>
    <w:rsid w:val="0059693D"/>
    <w:rsid w:val="00597823"/>
    <w:rsid w:val="005A3405"/>
    <w:rsid w:val="005A5E6E"/>
    <w:rsid w:val="005A65D3"/>
    <w:rsid w:val="005A71BD"/>
    <w:rsid w:val="005A7C75"/>
    <w:rsid w:val="005B3CFB"/>
    <w:rsid w:val="005B4AA4"/>
    <w:rsid w:val="005B5C42"/>
    <w:rsid w:val="005B682A"/>
    <w:rsid w:val="005B705D"/>
    <w:rsid w:val="005C0054"/>
    <w:rsid w:val="005D0BCF"/>
    <w:rsid w:val="005D1D33"/>
    <w:rsid w:val="005D1E1A"/>
    <w:rsid w:val="005D2808"/>
    <w:rsid w:val="005D49DC"/>
    <w:rsid w:val="005D6EDB"/>
    <w:rsid w:val="005E4BD5"/>
    <w:rsid w:val="005E6D8D"/>
    <w:rsid w:val="005E7874"/>
    <w:rsid w:val="005F2C58"/>
    <w:rsid w:val="005F3CD8"/>
    <w:rsid w:val="005F6D4E"/>
    <w:rsid w:val="00601231"/>
    <w:rsid w:val="006015AA"/>
    <w:rsid w:val="006053A4"/>
    <w:rsid w:val="00610D91"/>
    <w:rsid w:val="0061143B"/>
    <w:rsid w:val="006173D9"/>
    <w:rsid w:val="006174D0"/>
    <w:rsid w:val="00617B19"/>
    <w:rsid w:val="00620E0C"/>
    <w:rsid w:val="0062507F"/>
    <w:rsid w:val="00626412"/>
    <w:rsid w:val="00627097"/>
    <w:rsid w:val="00627F07"/>
    <w:rsid w:val="00630701"/>
    <w:rsid w:val="00630A52"/>
    <w:rsid w:val="006314EC"/>
    <w:rsid w:val="006317D9"/>
    <w:rsid w:val="006319A4"/>
    <w:rsid w:val="006320EC"/>
    <w:rsid w:val="00632505"/>
    <w:rsid w:val="0063261C"/>
    <w:rsid w:val="00634E49"/>
    <w:rsid w:val="006404B8"/>
    <w:rsid w:val="00640732"/>
    <w:rsid w:val="00640CD1"/>
    <w:rsid w:val="006411FA"/>
    <w:rsid w:val="006468C4"/>
    <w:rsid w:val="00656322"/>
    <w:rsid w:val="0065656C"/>
    <w:rsid w:val="00662C9C"/>
    <w:rsid w:val="00664CCB"/>
    <w:rsid w:val="0066501C"/>
    <w:rsid w:val="00667847"/>
    <w:rsid w:val="00667E21"/>
    <w:rsid w:val="00672253"/>
    <w:rsid w:val="00672477"/>
    <w:rsid w:val="006803F2"/>
    <w:rsid w:val="00680EED"/>
    <w:rsid w:val="00683A32"/>
    <w:rsid w:val="00686C3A"/>
    <w:rsid w:val="0069751D"/>
    <w:rsid w:val="00697E3A"/>
    <w:rsid w:val="006A5A61"/>
    <w:rsid w:val="006A6C9D"/>
    <w:rsid w:val="006B06AF"/>
    <w:rsid w:val="006B3780"/>
    <w:rsid w:val="006B3913"/>
    <w:rsid w:val="006B5F0A"/>
    <w:rsid w:val="006B7B67"/>
    <w:rsid w:val="006C004B"/>
    <w:rsid w:val="006C09E3"/>
    <w:rsid w:val="006C12A2"/>
    <w:rsid w:val="006C1EAD"/>
    <w:rsid w:val="006C3056"/>
    <w:rsid w:val="006C3E9D"/>
    <w:rsid w:val="006C4608"/>
    <w:rsid w:val="006E29E7"/>
    <w:rsid w:val="006E3C5D"/>
    <w:rsid w:val="006E4C81"/>
    <w:rsid w:val="006F3D17"/>
    <w:rsid w:val="007010A6"/>
    <w:rsid w:val="007010E6"/>
    <w:rsid w:val="007013D6"/>
    <w:rsid w:val="00704877"/>
    <w:rsid w:val="007056DC"/>
    <w:rsid w:val="00707B0D"/>
    <w:rsid w:val="00707F33"/>
    <w:rsid w:val="00707FB8"/>
    <w:rsid w:val="00710E91"/>
    <w:rsid w:val="00712094"/>
    <w:rsid w:val="00712899"/>
    <w:rsid w:val="00716F04"/>
    <w:rsid w:val="007220FC"/>
    <w:rsid w:val="007224C8"/>
    <w:rsid w:val="00731F87"/>
    <w:rsid w:val="00734057"/>
    <w:rsid w:val="007347A9"/>
    <w:rsid w:val="00734A59"/>
    <w:rsid w:val="00737389"/>
    <w:rsid w:val="00740EA7"/>
    <w:rsid w:val="00741E7A"/>
    <w:rsid w:val="00743A79"/>
    <w:rsid w:val="00746374"/>
    <w:rsid w:val="0074694C"/>
    <w:rsid w:val="00750DC6"/>
    <w:rsid w:val="00751F36"/>
    <w:rsid w:val="00752ABA"/>
    <w:rsid w:val="007544B3"/>
    <w:rsid w:val="00754953"/>
    <w:rsid w:val="00755F4B"/>
    <w:rsid w:val="007569BF"/>
    <w:rsid w:val="00764F21"/>
    <w:rsid w:val="007650EA"/>
    <w:rsid w:val="00771225"/>
    <w:rsid w:val="007716E8"/>
    <w:rsid w:val="00771EE2"/>
    <w:rsid w:val="00772F61"/>
    <w:rsid w:val="007735D0"/>
    <w:rsid w:val="00776CE6"/>
    <w:rsid w:val="0077709D"/>
    <w:rsid w:val="0077725B"/>
    <w:rsid w:val="0078232E"/>
    <w:rsid w:val="007825BB"/>
    <w:rsid w:val="0078387C"/>
    <w:rsid w:val="007846BD"/>
    <w:rsid w:val="007852C4"/>
    <w:rsid w:val="00785C7C"/>
    <w:rsid w:val="00791072"/>
    <w:rsid w:val="00791620"/>
    <w:rsid w:val="00792C93"/>
    <w:rsid w:val="0079603B"/>
    <w:rsid w:val="00796119"/>
    <w:rsid w:val="00797F29"/>
    <w:rsid w:val="00797F99"/>
    <w:rsid w:val="007A3AD3"/>
    <w:rsid w:val="007A5486"/>
    <w:rsid w:val="007A59DE"/>
    <w:rsid w:val="007B10BC"/>
    <w:rsid w:val="007B2FBF"/>
    <w:rsid w:val="007B6549"/>
    <w:rsid w:val="007B7D18"/>
    <w:rsid w:val="007C065A"/>
    <w:rsid w:val="007C313C"/>
    <w:rsid w:val="007C5C10"/>
    <w:rsid w:val="007C5C4D"/>
    <w:rsid w:val="007D2547"/>
    <w:rsid w:val="007D3552"/>
    <w:rsid w:val="007D5303"/>
    <w:rsid w:val="007D6C61"/>
    <w:rsid w:val="007D7027"/>
    <w:rsid w:val="007E1D6E"/>
    <w:rsid w:val="007E60BB"/>
    <w:rsid w:val="007E66F0"/>
    <w:rsid w:val="007E6E71"/>
    <w:rsid w:val="007F0879"/>
    <w:rsid w:val="007F2072"/>
    <w:rsid w:val="007F7CC1"/>
    <w:rsid w:val="00801530"/>
    <w:rsid w:val="00803277"/>
    <w:rsid w:val="00803BC6"/>
    <w:rsid w:val="008044D7"/>
    <w:rsid w:val="00811BC8"/>
    <w:rsid w:val="00812181"/>
    <w:rsid w:val="0081385B"/>
    <w:rsid w:val="00816600"/>
    <w:rsid w:val="00821645"/>
    <w:rsid w:val="00822D2E"/>
    <w:rsid w:val="00827EA0"/>
    <w:rsid w:val="0083345E"/>
    <w:rsid w:val="00834EAE"/>
    <w:rsid w:val="00841403"/>
    <w:rsid w:val="0084190B"/>
    <w:rsid w:val="0084411B"/>
    <w:rsid w:val="00844951"/>
    <w:rsid w:val="00844D6E"/>
    <w:rsid w:val="00845A5D"/>
    <w:rsid w:val="008462FB"/>
    <w:rsid w:val="008465CD"/>
    <w:rsid w:val="0084663D"/>
    <w:rsid w:val="008515C0"/>
    <w:rsid w:val="00854873"/>
    <w:rsid w:val="00855E83"/>
    <w:rsid w:val="00856515"/>
    <w:rsid w:val="0086292A"/>
    <w:rsid w:val="00864FC6"/>
    <w:rsid w:val="00865B48"/>
    <w:rsid w:val="00872E7D"/>
    <w:rsid w:val="00874549"/>
    <w:rsid w:val="008756B7"/>
    <w:rsid w:val="008757B7"/>
    <w:rsid w:val="00880472"/>
    <w:rsid w:val="008813F9"/>
    <w:rsid w:val="0088144C"/>
    <w:rsid w:val="00881587"/>
    <w:rsid w:val="0088218C"/>
    <w:rsid w:val="00884060"/>
    <w:rsid w:val="00890796"/>
    <w:rsid w:val="0089321E"/>
    <w:rsid w:val="008933DF"/>
    <w:rsid w:val="00894C08"/>
    <w:rsid w:val="00895001"/>
    <w:rsid w:val="0089560E"/>
    <w:rsid w:val="008A0CBD"/>
    <w:rsid w:val="008A0D2A"/>
    <w:rsid w:val="008A1DEE"/>
    <w:rsid w:val="008A3970"/>
    <w:rsid w:val="008A5701"/>
    <w:rsid w:val="008B3DFF"/>
    <w:rsid w:val="008B3F28"/>
    <w:rsid w:val="008C49D3"/>
    <w:rsid w:val="008C5947"/>
    <w:rsid w:val="008C6DA1"/>
    <w:rsid w:val="008C72A6"/>
    <w:rsid w:val="008C7854"/>
    <w:rsid w:val="008D3D94"/>
    <w:rsid w:val="008D618A"/>
    <w:rsid w:val="008E1DC0"/>
    <w:rsid w:val="008E30BF"/>
    <w:rsid w:val="008E35A0"/>
    <w:rsid w:val="008E3A25"/>
    <w:rsid w:val="008E5038"/>
    <w:rsid w:val="008F031C"/>
    <w:rsid w:val="008F1463"/>
    <w:rsid w:val="008F1F11"/>
    <w:rsid w:val="008F31C7"/>
    <w:rsid w:val="008F7358"/>
    <w:rsid w:val="008F7394"/>
    <w:rsid w:val="008F79D7"/>
    <w:rsid w:val="009006DF"/>
    <w:rsid w:val="00910153"/>
    <w:rsid w:val="00910A19"/>
    <w:rsid w:val="00910BDC"/>
    <w:rsid w:val="00910F4E"/>
    <w:rsid w:val="00911695"/>
    <w:rsid w:val="00911E55"/>
    <w:rsid w:val="00913F05"/>
    <w:rsid w:val="0091562C"/>
    <w:rsid w:val="009177B6"/>
    <w:rsid w:val="00917A27"/>
    <w:rsid w:val="00923CD3"/>
    <w:rsid w:val="00924202"/>
    <w:rsid w:val="00924E50"/>
    <w:rsid w:val="00925CC6"/>
    <w:rsid w:val="00926ABF"/>
    <w:rsid w:val="00927A26"/>
    <w:rsid w:val="00927D00"/>
    <w:rsid w:val="00930969"/>
    <w:rsid w:val="0093269F"/>
    <w:rsid w:val="00936433"/>
    <w:rsid w:val="009412CD"/>
    <w:rsid w:val="0095349A"/>
    <w:rsid w:val="00955204"/>
    <w:rsid w:val="00960CAB"/>
    <w:rsid w:val="00960CCB"/>
    <w:rsid w:val="00961359"/>
    <w:rsid w:val="00962A0B"/>
    <w:rsid w:val="00962C4D"/>
    <w:rsid w:val="00964D34"/>
    <w:rsid w:val="00966F72"/>
    <w:rsid w:val="0096757C"/>
    <w:rsid w:val="00967A23"/>
    <w:rsid w:val="00972946"/>
    <w:rsid w:val="00972E84"/>
    <w:rsid w:val="00974691"/>
    <w:rsid w:val="00976022"/>
    <w:rsid w:val="00976169"/>
    <w:rsid w:val="00976580"/>
    <w:rsid w:val="00977C3F"/>
    <w:rsid w:val="00977CC3"/>
    <w:rsid w:val="00980102"/>
    <w:rsid w:val="0098316D"/>
    <w:rsid w:val="00984D59"/>
    <w:rsid w:val="0098502F"/>
    <w:rsid w:val="00986D16"/>
    <w:rsid w:val="009910B5"/>
    <w:rsid w:val="009920AD"/>
    <w:rsid w:val="0099244A"/>
    <w:rsid w:val="009938B8"/>
    <w:rsid w:val="00994EB2"/>
    <w:rsid w:val="00995053"/>
    <w:rsid w:val="009A0735"/>
    <w:rsid w:val="009A25E2"/>
    <w:rsid w:val="009A37CD"/>
    <w:rsid w:val="009A4C36"/>
    <w:rsid w:val="009B1FF8"/>
    <w:rsid w:val="009B42EF"/>
    <w:rsid w:val="009B4E7E"/>
    <w:rsid w:val="009B5EED"/>
    <w:rsid w:val="009C20D3"/>
    <w:rsid w:val="009C37BF"/>
    <w:rsid w:val="009C6EE6"/>
    <w:rsid w:val="009C7333"/>
    <w:rsid w:val="009C7979"/>
    <w:rsid w:val="009D0966"/>
    <w:rsid w:val="009D0B0C"/>
    <w:rsid w:val="009D22E5"/>
    <w:rsid w:val="009D4B7E"/>
    <w:rsid w:val="009D5E13"/>
    <w:rsid w:val="009D71F1"/>
    <w:rsid w:val="009E015C"/>
    <w:rsid w:val="009E0909"/>
    <w:rsid w:val="009E37B1"/>
    <w:rsid w:val="009E3E05"/>
    <w:rsid w:val="009E5780"/>
    <w:rsid w:val="009E5D72"/>
    <w:rsid w:val="009E6EC4"/>
    <w:rsid w:val="009F01E1"/>
    <w:rsid w:val="009F2F5E"/>
    <w:rsid w:val="009F3B2F"/>
    <w:rsid w:val="009F42ED"/>
    <w:rsid w:val="009F60D9"/>
    <w:rsid w:val="00A01456"/>
    <w:rsid w:val="00A01B5E"/>
    <w:rsid w:val="00A02A20"/>
    <w:rsid w:val="00A03301"/>
    <w:rsid w:val="00A05E3C"/>
    <w:rsid w:val="00A0769D"/>
    <w:rsid w:val="00A07925"/>
    <w:rsid w:val="00A101E8"/>
    <w:rsid w:val="00A10455"/>
    <w:rsid w:val="00A1132C"/>
    <w:rsid w:val="00A1168E"/>
    <w:rsid w:val="00A11DCF"/>
    <w:rsid w:val="00A11EE6"/>
    <w:rsid w:val="00A1213C"/>
    <w:rsid w:val="00A14C01"/>
    <w:rsid w:val="00A1556E"/>
    <w:rsid w:val="00A169DC"/>
    <w:rsid w:val="00A20C10"/>
    <w:rsid w:val="00A22308"/>
    <w:rsid w:val="00A22EC9"/>
    <w:rsid w:val="00A25ED3"/>
    <w:rsid w:val="00A264B5"/>
    <w:rsid w:val="00A26E1A"/>
    <w:rsid w:val="00A27D67"/>
    <w:rsid w:val="00A317E0"/>
    <w:rsid w:val="00A37208"/>
    <w:rsid w:val="00A373FE"/>
    <w:rsid w:val="00A37744"/>
    <w:rsid w:val="00A4126B"/>
    <w:rsid w:val="00A431C8"/>
    <w:rsid w:val="00A47E8E"/>
    <w:rsid w:val="00A50183"/>
    <w:rsid w:val="00A50E52"/>
    <w:rsid w:val="00A512D9"/>
    <w:rsid w:val="00A52488"/>
    <w:rsid w:val="00A52EF8"/>
    <w:rsid w:val="00A52F87"/>
    <w:rsid w:val="00A550F0"/>
    <w:rsid w:val="00A55F4D"/>
    <w:rsid w:val="00A56DFC"/>
    <w:rsid w:val="00A607D6"/>
    <w:rsid w:val="00A65ACF"/>
    <w:rsid w:val="00A71725"/>
    <w:rsid w:val="00A730D4"/>
    <w:rsid w:val="00A75160"/>
    <w:rsid w:val="00A80107"/>
    <w:rsid w:val="00A80270"/>
    <w:rsid w:val="00A81E1C"/>
    <w:rsid w:val="00A82C07"/>
    <w:rsid w:val="00A8654F"/>
    <w:rsid w:val="00A921C2"/>
    <w:rsid w:val="00A93040"/>
    <w:rsid w:val="00A9331E"/>
    <w:rsid w:val="00A96C90"/>
    <w:rsid w:val="00AA1C5D"/>
    <w:rsid w:val="00AA207A"/>
    <w:rsid w:val="00AA672A"/>
    <w:rsid w:val="00AA7717"/>
    <w:rsid w:val="00AA7A7D"/>
    <w:rsid w:val="00AA7BA4"/>
    <w:rsid w:val="00AB24DF"/>
    <w:rsid w:val="00AB2639"/>
    <w:rsid w:val="00AB41F5"/>
    <w:rsid w:val="00AB534D"/>
    <w:rsid w:val="00AB6C48"/>
    <w:rsid w:val="00AB7F2E"/>
    <w:rsid w:val="00AC00B4"/>
    <w:rsid w:val="00AC26EA"/>
    <w:rsid w:val="00AC2702"/>
    <w:rsid w:val="00AC5E52"/>
    <w:rsid w:val="00AC75F2"/>
    <w:rsid w:val="00AD0D0C"/>
    <w:rsid w:val="00AD28A1"/>
    <w:rsid w:val="00AD39D3"/>
    <w:rsid w:val="00AD6CA7"/>
    <w:rsid w:val="00AF04EA"/>
    <w:rsid w:val="00AF1B9D"/>
    <w:rsid w:val="00AF2D9F"/>
    <w:rsid w:val="00AF4146"/>
    <w:rsid w:val="00B01E1E"/>
    <w:rsid w:val="00B04E52"/>
    <w:rsid w:val="00B064E0"/>
    <w:rsid w:val="00B0681C"/>
    <w:rsid w:val="00B06DF0"/>
    <w:rsid w:val="00B125E7"/>
    <w:rsid w:val="00B17733"/>
    <w:rsid w:val="00B17A2D"/>
    <w:rsid w:val="00B238A2"/>
    <w:rsid w:val="00B24199"/>
    <w:rsid w:val="00B2684F"/>
    <w:rsid w:val="00B30708"/>
    <w:rsid w:val="00B30B1C"/>
    <w:rsid w:val="00B32557"/>
    <w:rsid w:val="00B40A36"/>
    <w:rsid w:val="00B421B9"/>
    <w:rsid w:val="00B43070"/>
    <w:rsid w:val="00B43FAA"/>
    <w:rsid w:val="00B46946"/>
    <w:rsid w:val="00B52319"/>
    <w:rsid w:val="00B5524B"/>
    <w:rsid w:val="00B60374"/>
    <w:rsid w:val="00B624DE"/>
    <w:rsid w:val="00B631C4"/>
    <w:rsid w:val="00B648B6"/>
    <w:rsid w:val="00B65453"/>
    <w:rsid w:val="00B669BA"/>
    <w:rsid w:val="00B67E11"/>
    <w:rsid w:val="00B75280"/>
    <w:rsid w:val="00B81D39"/>
    <w:rsid w:val="00B82D37"/>
    <w:rsid w:val="00B879EB"/>
    <w:rsid w:val="00B87A14"/>
    <w:rsid w:val="00B87A48"/>
    <w:rsid w:val="00B91A45"/>
    <w:rsid w:val="00BA398E"/>
    <w:rsid w:val="00BA58F0"/>
    <w:rsid w:val="00BA6D3B"/>
    <w:rsid w:val="00BA7453"/>
    <w:rsid w:val="00BB0336"/>
    <w:rsid w:val="00BB0FA2"/>
    <w:rsid w:val="00BB2223"/>
    <w:rsid w:val="00BB2B7B"/>
    <w:rsid w:val="00BB2E6B"/>
    <w:rsid w:val="00BC0C20"/>
    <w:rsid w:val="00BC508C"/>
    <w:rsid w:val="00BC79D7"/>
    <w:rsid w:val="00BD1389"/>
    <w:rsid w:val="00BD41E9"/>
    <w:rsid w:val="00BD51C6"/>
    <w:rsid w:val="00BD7908"/>
    <w:rsid w:val="00BE057A"/>
    <w:rsid w:val="00BE2D96"/>
    <w:rsid w:val="00BE520A"/>
    <w:rsid w:val="00BE5A23"/>
    <w:rsid w:val="00BE6705"/>
    <w:rsid w:val="00BE7FAD"/>
    <w:rsid w:val="00BF03C1"/>
    <w:rsid w:val="00BF0DAF"/>
    <w:rsid w:val="00BF0E76"/>
    <w:rsid w:val="00BF1E08"/>
    <w:rsid w:val="00BF2EB6"/>
    <w:rsid w:val="00BF7A0C"/>
    <w:rsid w:val="00C063C0"/>
    <w:rsid w:val="00C06DB4"/>
    <w:rsid w:val="00C0756A"/>
    <w:rsid w:val="00C12BE9"/>
    <w:rsid w:val="00C13786"/>
    <w:rsid w:val="00C14FCB"/>
    <w:rsid w:val="00C15A0C"/>
    <w:rsid w:val="00C15FE3"/>
    <w:rsid w:val="00C2443D"/>
    <w:rsid w:val="00C24999"/>
    <w:rsid w:val="00C25A3F"/>
    <w:rsid w:val="00C2616B"/>
    <w:rsid w:val="00C26E45"/>
    <w:rsid w:val="00C318C2"/>
    <w:rsid w:val="00C35769"/>
    <w:rsid w:val="00C405C9"/>
    <w:rsid w:val="00C40FE1"/>
    <w:rsid w:val="00C434BA"/>
    <w:rsid w:val="00C44BCE"/>
    <w:rsid w:val="00C46EAD"/>
    <w:rsid w:val="00C51140"/>
    <w:rsid w:val="00C536A9"/>
    <w:rsid w:val="00C56A2B"/>
    <w:rsid w:val="00C57A7D"/>
    <w:rsid w:val="00C57DD2"/>
    <w:rsid w:val="00C6039F"/>
    <w:rsid w:val="00C61FE7"/>
    <w:rsid w:val="00C64B7C"/>
    <w:rsid w:val="00C673DF"/>
    <w:rsid w:val="00C75A94"/>
    <w:rsid w:val="00C77A24"/>
    <w:rsid w:val="00C77AA8"/>
    <w:rsid w:val="00C804FA"/>
    <w:rsid w:val="00C82D91"/>
    <w:rsid w:val="00C82E68"/>
    <w:rsid w:val="00C862B3"/>
    <w:rsid w:val="00C87690"/>
    <w:rsid w:val="00C87B3D"/>
    <w:rsid w:val="00C92F00"/>
    <w:rsid w:val="00C936E3"/>
    <w:rsid w:val="00C93DA5"/>
    <w:rsid w:val="00C9452A"/>
    <w:rsid w:val="00C94FA3"/>
    <w:rsid w:val="00C9774D"/>
    <w:rsid w:val="00CA00CA"/>
    <w:rsid w:val="00CA0334"/>
    <w:rsid w:val="00CA2884"/>
    <w:rsid w:val="00CA2953"/>
    <w:rsid w:val="00CA3206"/>
    <w:rsid w:val="00CA348C"/>
    <w:rsid w:val="00CA4CD5"/>
    <w:rsid w:val="00CA68AA"/>
    <w:rsid w:val="00CB12D2"/>
    <w:rsid w:val="00CB3280"/>
    <w:rsid w:val="00CB3F09"/>
    <w:rsid w:val="00CB4283"/>
    <w:rsid w:val="00CB4873"/>
    <w:rsid w:val="00CB57BD"/>
    <w:rsid w:val="00CB618B"/>
    <w:rsid w:val="00CC1A9F"/>
    <w:rsid w:val="00CC1C9A"/>
    <w:rsid w:val="00CC252A"/>
    <w:rsid w:val="00CC4493"/>
    <w:rsid w:val="00CC44BA"/>
    <w:rsid w:val="00CC47DB"/>
    <w:rsid w:val="00CC5D81"/>
    <w:rsid w:val="00CC7B84"/>
    <w:rsid w:val="00CD275C"/>
    <w:rsid w:val="00CD4231"/>
    <w:rsid w:val="00CD4AF0"/>
    <w:rsid w:val="00CD7B4A"/>
    <w:rsid w:val="00CE3A30"/>
    <w:rsid w:val="00CE4050"/>
    <w:rsid w:val="00CE4F1D"/>
    <w:rsid w:val="00CE602D"/>
    <w:rsid w:val="00CE65F8"/>
    <w:rsid w:val="00CE792C"/>
    <w:rsid w:val="00CE7DD4"/>
    <w:rsid w:val="00CF59F8"/>
    <w:rsid w:val="00CF615A"/>
    <w:rsid w:val="00CF745F"/>
    <w:rsid w:val="00D0047C"/>
    <w:rsid w:val="00D01366"/>
    <w:rsid w:val="00D0265F"/>
    <w:rsid w:val="00D03403"/>
    <w:rsid w:val="00D046B8"/>
    <w:rsid w:val="00D12693"/>
    <w:rsid w:val="00D1359A"/>
    <w:rsid w:val="00D22FAB"/>
    <w:rsid w:val="00D258FD"/>
    <w:rsid w:val="00D26687"/>
    <w:rsid w:val="00D2689C"/>
    <w:rsid w:val="00D26B80"/>
    <w:rsid w:val="00D30EE3"/>
    <w:rsid w:val="00D329C5"/>
    <w:rsid w:val="00D3321C"/>
    <w:rsid w:val="00D337F6"/>
    <w:rsid w:val="00D35580"/>
    <w:rsid w:val="00D356EA"/>
    <w:rsid w:val="00D401A6"/>
    <w:rsid w:val="00D409EF"/>
    <w:rsid w:val="00D40B26"/>
    <w:rsid w:val="00D453E0"/>
    <w:rsid w:val="00D5328E"/>
    <w:rsid w:val="00D54F1A"/>
    <w:rsid w:val="00D565F5"/>
    <w:rsid w:val="00D567DA"/>
    <w:rsid w:val="00D577DB"/>
    <w:rsid w:val="00D57E1A"/>
    <w:rsid w:val="00D608B9"/>
    <w:rsid w:val="00D61861"/>
    <w:rsid w:val="00D622CD"/>
    <w:rsid w:val="00D62567"/>
    <w:rsid w:val="00D66575"/>
    <w:rsid w:val="00D70550"/>
    <w:rsid w:val="00D80FD3"/>
    <w:rsid w:val="00D82784"/>
    <w:rsid w:val="00D8528C"/>
    <w:rsid w:val="00D87357"/>
    <w:rsid w:val="00D93C90"/>
    <w:rsid w:val="00D97E72"/>
    <w:rsid w:val="00DA0B4C"/>
    <w:rsid w:val="00DA116F"/>
    <w:rsid w:val="00DA25E7"/>
    <w:rsid w:val="00DA56E9"/>
    <w:rsid w:val="00DA71CC"/>
    <w:rsid w:val="00DB0579"/>
    <w:rsid w:val="00DB697C"/>
    <w:rsid w:val="00DB727B"/>
    <w:rsid w:val="00DB7622"/>
    <w:rsid w:val="00DB7E9D"/>
    <w:rsid w:val="00DC26C6"/>
    <w:rsid w:val="00DC277E"/>
    <w:rsid w:val="00DC3027"/>
    <w:rsid w:val="00DC383B"/>
    <w:rsid w:val="00DC3D1F"/>
    <w:rsid w:val="00DD13E3"/>
    <w:rsid w:val="00DD2ED9"/>
    <w:rsid w:val="00DD33A6"/>
    <w:rsid w:val="00DD4A45"/>
    <w:rsid w:val="00DD63D1"/>
    <w:rsid w:val="00DE0362"/>
    <w:rsid w:val="00DE222A"/>
    <w:rsid w:val="00DE34C7"/>
    <w:rsid w:val="00DE3DF8"/>
    <w:rsid w:val="00DE5E9E"/>
    <w:rsid w:val="00DE7D44"/>
    <w:rsid w:val="00DF0E81"/>
    <w:rsid w:val="00DF1196"/>
    <w:rsid w:val="00DF73D5"/>
    <w:rsid w:val="00E006A4"/>
    <w:rsid w:val="00E01733"/>
    <w:rsid w:val="00E041AA"/>
    <w:rsid w:val="00E0726C"/>
    <w:rsid w:val="00E12C8B"/>
    <w:rsid w:val="00E13696"/>
    <w:rsid w:val="00E15607"/>
    <w:rsid w:val="00E15BD9"/>
    <w:rsid w:val="00E20153"/>
    <w:rsid w:val="00E213C3"/>
    <w:rsid w:val="00E24AF7"/>
    <w:rsid w:val="00E2637A"/>
    <w:rsid w:val="00E31555"/>
    <w:rsid w:val="00E31DCB"/>
    <w:rsid w:val="00E3267B"/>
    <w:rsid w:val="00E350B1"/>
    <w:rsid w:val="00E355CF"/>
    <w:rsid w:val="00E355D3"/>
    <w:rsid w:val="00E37A69"/>
    <w:rsid w:val="00E40E68"/>
    <w:rsid w:val="00E420DA"/>
    <w:rsid w:val="00E432BC"/>
    <w:rsid w:val="00E452FF"/>
    <w:rsid w:val="00E46A23"/>
    <w:rsid w:val="00E471B1"/>
    <w:rsid w:val="00E47253"/>
    <w:rsid w:val="00E52FB0"/>
    <w:rsid w:val="00E5543F"/>
    <w:rsid w:val="00E61183"/>
    <w:rsid w:val="00E61800"/>
    <w:rsid w:val="00E62303"/>
    <w:rsid w:val="00E658A8"/>
    <w:rsid w:val="00E668DA"/>
    <w:rsid w:val="00E676D9"/>
    <w:rsid w:val="00E71800"/>
    <w:rsid w:val="00E73BE6"/>
    <w:rsid w:val="00E73BEC"/>
    <w:rsid w:val="00E73D9E"/>
    <w:rsid w:val="00E73E25"/>
    <w:rsid w:val="00E74949"/>
    <w:rsid w:val="00E74A8E"/>
    <w:rsid w:val="00E76AD5"/>
    <w:rsid w:val="00E82224"/>
    <w:rsid w:val="00E87A83"/>
    <w:rsid w:val="00E96C97"/>
    <w:rsid w:val="00EA09A8"/>
    <w:rsid w:val="00EA3E32"/>
    <w:rsid w:val="00EA6D61"/>
    <w:rsid w:val="00EA704E"/>
    <w:rsid w:val="00EA7F7C"/>
    <w:rsid w:val="00EB2913"/>
    <w:rsid w:val="00EB42BD"/>
    <w:rsid w:val="00EB642C"/>
    <w:rsid w:val="00EC2475"/>
    <w:rsid w:val="00EC4E86"/>
    <w:rsid w:val="00EC5566"/>
    <w:rsid w:val="00EC69E9"/>
    <w:rsid w:val="00ED12A0"/>
    <w:rsid w:val="00ED2D4B"/>
    <w:rsid w:val="00ED4F9C"/>
    <w:rsid w:val="00ED55F8"/>
    <w:rsid w:val="00ED5689"/>
    <w:rsid w:val="00ED697B"/>
    <w:rsid w:val="00ED70F4"/>
    <w:rsid w:val="00EE0B69"/>
    <w:rsid w:val="00EE0F9A"/>
    <w:rsid w:val="00EE1A69"/>
    <w:rsid w:val="00EE5547"/>
    <w:rsid w:val="00EE7CE2"/>
    <w:rsid w:val="00EF6DB6"/>
    <w:rsid w:val="00EF6EF4"/>
    <w:rsid w:val="00F00091"/>
    <w:rsid w:val="00F005E7"/>
    <w:rsid w:val="00F01476"/>
    <w:rsid w:val="00F0190B"/>
    <w:rsid w:val="00F0202B"/>
    <w:rsid w:val="00F02302"/>
    <w:rsid w:val="00F03454"/>
    <w:rsid w:val="00F0494D"/>
    <w:rsid w:val="00F04A09"/>
    <w:rsid w:val="00F05D9E"/>
    <w:rsid w:val="00F06492"/>
    <w:rsid w:val="00F07ED0"/>
    <w:rsid w:val="00F10121"/>
    <w:rsid w:val="00F1264F"/>
    <w:rsid w:val="00F12882"/>
    <w:rsid w:val="00F1424F"/>
    <w:rsid w:val="00F1577A"/>
    <w:rsid w:val="00F21581"/>
    <w:rsid w:val="00F22362"/>
    <w:rsid w:val="00F24C6B"/>
    <w:rsid w:val="00F26850"/>
    <w:rsid w:val="00F274AF"/>
    <w:rsid w:val="00F308B0"/>
    <w:rsid w:val="00F3163A"/>
    <w:rsid w:val="00F3402B"/>
    <w:rsid w:val="00F365E1"/>
    <w:rsid w:val="00F3673E"/>
    <w:rsid w:val="00F400D9"/>
    <w:rsid w:val="00F40471"/>
    <w:rsid w:val="00F43778"/>
    <w:rsid w:val="00F43A25"/>
    <w:rsid w:val="00F44207"/>
    <w:rsid w:val="00F442EF"/>
    <w:rsid w:val="00F44932"/>
    <w:rsid w:val="00F471C7"/>
    <w:rsid w:val="00F509D2"/>
    <w:rsid w:val="00F53E92"/>
    <w:rsid w:val="00F554B2"/>
    <w:rsid w:val="00F579EE"/>
    <w:rsid w:val="00F57BC9"/>
    <w:rsid w:val="00F60225"/>
    <w:rsid w:val="00F61A0A"/>
    <w:rsid w:val="00F61AD6"/>
    <w:rsid w:val="00F641D8"/>
    <w:rsid w:val="00F64532"/>
    <w:rsid w:val="00F66627"/>
    <w:rsid w:val="00F711EC"/>
    <w:rsid w:val="00F71E61"/>
    <w:rsid w:val="00F75713"/>
    <w:rsid w:val="00F75AB0"/>
    <w:rsid w:val="00F75C73"/>
    <w:rsid w:val="00F81536"/>
    <w:rsid w:val="00F85169"/>
    <w:rsid w:val="00F85239"/>
    <w:rsid w:val="00F8527D"/>
    <w:rsid w:val="00F8540D"/>
    <w:rsid w:val="00F90548"/>
    <w:rsid w:val="00F922EF"/>
    <w:rsid w:val="00F937BD"/>
    <w:rsid w:val="00F962DC"/>
    <w:rsid w:val="00FA07CF"/>
    <w:rsid w:val="00FA2F0E"/>
    <w:rsid w:val="00FA4ABC"/>
    <w:rsid w:val="00FA51C6"/>
    <w:rsid w:val="00FA5D2F"/>
    <w:rsid w:val="00FB11E7"/>
    <w:rsid w:val="00FB7C96"/>
    <w:rsid w:val="00FC1F97"/>
    <w:rsid w:val="00FC460B"/>
    <w:rsid w:val="00FC56B8"/>
    <w:rsid w:val="00FC5F20"/>
    <w:rsid w:val="00FC69AF"/>
    <w:rsid w:val="00FC7B5E"/>
    <w:rsid w:val="00FD079E"/>
    <w:rsid w:val="00FD0B41"/>
    <w:rsid w:val="00FD20A0"/>
    <w:rsid w:val="00FD4991"/>
    <w:rsid w:val="00FE0113"/>
    <w:rsid w:val="00FE0A00"/>
    <w:rsid w:val="00FE0D2A"/>
    <w:rsid w:val="00FE417B"/>
    <w:rsid w:val="00FE6AF1"/>
    <w:rsid w:val="00FE7A2E"/>
    <w:rsid w:val="00FF1392"/>
    <w:rsid w:val="00FF2D63"/>
    <w:rsid w:val="00FF403E"/>
    <w:rsid w:val="00FF6ACF"/>
    <w:rsid w:val="00FF7157"/>
    <w:rsid w:val="01086012"/>
    <w:rsid w:val="012F23D2"/>
    <w:rsid w:val="01353E46"/>
    <w:rsid w:val="013D20EF"/>
    <w:rsid w:val="013D4C8F"/>
    <w:rsid w:val="0141555F"/>
    <w:rsid w:val="01542AFA"/>
    <w:rsid w:val="015E6630"/>
    <w:rsid w:val="016C75C7"/>
    <w:rsid w:val="018D524F"/>
    <w:rsid w:val="019036D8"/>
    <w:rsid w:val="01A01767"/>
    <w:rsid w:val="01A66FAC"/>
    <w:rsid w:val="01BD4FDC"/>
    <w:rsid w:val="01C42B8B"/>
    <w:rsid w:val="01CE3A0A"/>
    <w:rsid w:val="01E941AE"/>
    <w:rsid w:val="01ED256A"/>
    <w:rsid w:val="01FE504C"/>
    <w:rsid w:val="021A6C4F"/>
    <w:rsid w:val="02201D8C"/>
    <w:rsid w:val="0221105C"/>
    <w:rsid w:val="02240E71"/>
    <w:rsid w:val="022F6268"/>
    <w:rsid w:val="0230144B"/>
    <w:rsid w:val="023E2A8F"/>
    <w:rsid w:val="023F01AC"/>
    <w:rsid w:val="02497F02"/>
    <w:rsid w:val="025C7268"/>
    <w:rsid w:val="025D37A6"/>
    <w:rsid w:val="02630A21"/>
    <w:rsid w:val="027520D7"/>
    <w:rsid w:val="028265A2"/>
    <w:rsid w:val="02910656"/>
    <w:rsid w:val="029452C8"/>
    <w:rsid w:val="0299330C"/>
    <w:rsid w:val="029C2053"/>
    <w:rsid w:val="029E3E12"/>
    <w:rsid w:val="02AE2F1E"/>
    <w:rsid w:val="02B07476"/>
    <w:rsid w:val="02B12263"/>
    <w:rsid w:val="02B34262"/>
    <w:rsid w:val="02BA6D6B"/>
    <w:rsid w:val="02BC6761"/>
    <w:rsid w:val="02C30781"/>
    <w:rsid w:val="02C32A89"/>
    <w:rsid w:val="02EB23C8"/>
    <w:rsid w:val="02ED4254"/>
    <w:rsid w:val="02F54A67"/>
    <w:rsid w:val="02FB586B"/>
    <w:rsid w:val="032764F6"/>
    <w:rsid w:val="032C124E"/>
    <w:rsid w:val="03355FAD"/>
    <w:rsid w:val="03357A15"/>
    <w:rsid w:val="033F6615"/>
    <w:rsid w:val="034A4B76"/>
    <w:rsid w:val="03604B36"/>
    <w:rsid w:val="03646BB0"/>
    <w:rsid w:val="036A455B"/>
    <w:rsid w:val="03700AD7"/>
    <w:rsid w:val="03881BEB"/>
    <w:rsid w:val="03B07722"/>
    <w:rsid w:val="03B94246"/>
    <w:rsid w:val="03C9092D"/>
    <w:rsid w:val="03C947DD"/>
    <w:rsid w:val="03CD0376"/>
    <w:rsid w:val="03E73921"/>
    <w:rsid w:val="03E868D9"/>
    <w:rsid w:val="03EB0F95"/>
    <w:rsid w:val="03F1290E"/>
    <w:rsid w:val="04002E0B"/>
    <w:rsid w:val="040F03FA"/>
    <w:rsid w:val="0412438A"/>
    <w:rsid w:val="04136717"/>
    <w:rsid w:val="041D2A27"/>
    <w:rsid w:val="04332546"/>
    <w:rsid w:val="04533461"/>
    <w:rsid w:val="048D54DF"/>
    <w:rsid w:val="04B51F1A"/>
    <w:rsid w:val="04BD0338"/>
    <w:rsid w:val="04C56D31"/>
    <w:rsid w:val="04CD0D24"/>
    <w:rsid w:val="04CF0F22"/>
    <w:rsid w:val="04D7542D"/>
    <w:rsid w:val="04DD163F"/>
    <w:rsid w:val="04E452F2"/>
    <w:rsid w:val="04E82F5F"/>
    <w:rsid w:val="05084E1A"/>
    <w:rsid w:val="0536624A"/>
    <w:rsid w:val="05476ED2"/>
    <w:rsid w:val="05507187"/>
    <w:rsid w:val="05547F50"/>
    <w:rsid w:val="05586D81"/>
    <w:rsid w:val="055909BC"/>
    <w:rsid w:val="056775E0"/>
    <w:rsid w:val="05812096"/>
    <w:rsid w:val="05962A91"/>
    <w:rsid w:val="05A174D0"/>
    <w:rsid w:val="05A31C11"/>
    <w:rsid w:val="05A54A82"/>
    <w:rsid w:val="05B15E1B"/>
    <w:rsid w:val="05B6570E"/>
    <w:rsid w:val="05B719DB"/>
    <w:rsid w:val="05C8568A"/>
    <w:rsid w:val="05D411B5"/>
    <w:rsid w:val="05DC03BC"/>
    <w:rsid w:val="05E03755"/>
    <w:rsid w:val="05E05D39"/>
    <w:rsid w:val="05EE025B"/>
    <w:rsid w:val="05FB2E46"/>
    <w:rsid w:val="06274DE9"/>
    <w:rsid w:val="0643158D"/>
    <w:rsid w:val="0652465D"/>
    <w:rsid w:val="06606ACF"/>
    <w:rsid w:val="06632C8A"/>
    <w:rsid w:val="066C44D0"/>
    <w:rsid w:val="066F0F20"/>
    <w:rsid w:val="06780BE4"/>
    <w:rsid w:val="067D77AC"/>
    <w:rsid w:val="0688298E"/>
    <w:rsid w:val="06A978A6"/>
    <w:rsid w:val="06BA577F"/>
    <w:rsid w:val="06C373A0"/>
    <w:rsid w:val="06CA61EA"/>
    <w:rsid w:val="06CE3AAD"/>
    <w:rsid w:val="06D3256B"/>
    <w:rsid w:val="06E93094"/>
    <w:rsid w:val="07142FC9"/>
    <w:rsid w:val="0716354A"/>
    <w:rsid w:val="071A113A"/>
    <w:rsid w:val="071A5532"/>
    <w:rsid w:val="073F7F68"/>
    <w:rsid w:val="07433326"/>
    <w:rsid w:val="074D1200"/>
    <w:rsid w:val="07701435"/>
    <w:rsid w:val="078057A6"/>
    <w:rsid w:val="0791006E"/>
    <w:rsid w:val="07A93817"/>
    <w:rsid w:val="07AA51F7"/>
    <w:rsid w:val="07C16E32"/>
    <w:rsid w:val="07C956F1"/>
    <w:rsid w:val="07DE071F"/>
    <w:rsid w:val="07E724F1"/>
    <w:rsid w:val="07F54B10"/>
    <w:rsid w:val="080D2DB2"/>
    <w:rsid w:val="08236132"/>
    <w:rsid w:val="0824157E"/>
    <w:rsid w:val="082A5712"/>
    <w:rsid w:val="08365D8B"/>
    <w:rsid w:val="083932FD"/>
    <w:rsid w:val="083C1D74"/>
    <w:rsid w:val="08442529"/>
    <w:rsid w:val="08664D5B"/>
    <w:rsid w:val="087338E5"/>
    <w:rsid w:val="087E552F"/>
    <w:rsid w:val="08935065"/>
    <w:rsid w:val="08994E2C"/>
    <w:rsid w:val="089E0248"/>
    <w:rsid w:val="08AA7F40"/>
    <w:rsid w:val="08AC09F8"/>
    <w:rsid w:val="08AF1C74"/>
    <w:rsid w:val="08B76FB8"/>
    <w:rsid w:val="08BB3B09"/>
    <w:rsid w:val="08EC3C9C"/>
    <w:rsid w:val="08EF4818"/>
    <w:rsid w:val="08F26284"/>
    <w:rsid w:val="08F57B11"/>
    <w:rsid w:val="08F617F2"/>
    <w:rsid w:val="08F64252"/>
    <w:rsid w:val="08F94C8C"/>
    <w:rsid w:val="08FD0C7A"/>
    <w:rsid w:val="09027DBF"/>
    <w:rsid w:val="090F109A"/>
    <w:rsid w:val="09151314"/>
    <w:rsid w:val="09263609"/>
    <w:rsid w:val="092E2FE0"/>
    <w:rsid w:val="093E5BC8"/>
    <w:rsid w:val="0953633D"/>
    <w:rsid w:val="095867F9"/>
    <w:rsid w:val="096659B3"/>
    <w:rsid w:val="09697733"/>
    <w:rsid w:val="097D56DC"/>
    <w:rsid w:val="09953804"/>
    <w:rsid w:val="099A0675"/>
    <w:rsid w:val="099C034D"/>
    <w:rsid w:val="09A71810"/>
    <w:rsid w:val="09AF52BC"/>
    <w:rsid w:val="09C556F2"/>
    <w:rsid w:val="09C9680A"/>
    <w:rsid w:val="09E33DCA"/>
    <w:rsid w:val="09EA33AB"/>
    <w:rsid w:val="09EA6668"/>
    <w:rsid w:val="0A0501E5"/>
    <w:rsid w:val="0A075D0B"/>
    <w:rsid w:val="0A0A57FB"/>
    <w:rsid w:val="0A193C90"/>
    <w:rsid w:val="0A1A77A1"/>
    <w:rsid w:val="0A3E3D26"/>
    <w:rsid w:val="0A4834F8"/>
    <w:rsid w:val="0A6173D2"/>
    <w:rsid w:val="0A682231"/>
    <w:rsid w:val="0A6825A9"/>
    <w:rsid w:val="0A781198"/>
    <w:rsid w:val="0AAC10E4"/>
    <w:rsid w:val="0AB07E4A"/>
    <w:rsid w:val="0AC93B72"/>
    <w:rsid w:val="0ACA6D38"/>
    <w:rsid w:val="0AD53C26"/>
    <w:rsid w:val="0ADD3B4A"/>
    <w:rsid w:val="0AEE775A"/>
    <w:rsid w:val="0AFF5154"/>
    <w:rsid w:val="0B0260FA"/>
    <w:rsid w:val="0B127FA5"/>
    <w:rsid w:val="0B187C06"/>
    <w:rsid w:val="0B462863"/>
    <w:rsid w:val="0B4B3360"/>
    <w:rsid w:val="0B6153F6"/>
    <w:rsid w:val="0B6C4BE2"/>
    <w:rsid w:val="0B895D1E"/>
    <w:rsid w:val="0B903157"/>
    <w:rsid w:val="0B9335CE"/>
    <w:rsid w:val="0BA653BF"/>
    <w:rsid w:val="0BAC6F99"/>
    <w:rsid w:val="0BCD1EAC"/>
    <w:rsid w:val="0BCF142C"/>
    <w:rsid w:val="0BDC319A"/>
    <w:rsid w:val="0BFB783E"/>
    <w:rsid w:val="0BFD5373"/>
    <w:rsid w:val="0BFD6481"/>
    <w:rsid w:val="0C0F0CD9"/>
    <w:rsid w:val="0C631998"/>
    <w:rsid w:val="0C6821F6"/>
    <w:rsid w:val="0C990787"/>
    <w:rsid w:val="0C992D4F"/>
    <w:rsid w:val="0CAE3A50"/>
    <w:rsid w:val="0CBF15FF"/>
    <w:rsid w:val="0CC20F4F"/>
    <w:rsid w:val="0CD90540"/>
    <w:rsid w:val="0CD91857"/>
    <w:rsid w:val="0CDA4E4E"/>
    <w:rsid w:val="0CF258A4"/>
    <w:rsid w:val="0D212A41"/>
    <w:rsid w:val="0D214045"/>
    <w:rsid w:val="0D215F2C"/>
    <w:rsid w:val="0D314FE6"/>
    <w:rsid w:val="0D330BC5"/>
    <w:rsid w:val="0D540C02"/>
    <w:rsid w:val="0D571C0F"/>
    <w:rsid w:val="0D5F19BA"/>
    <w:rsid w:val="0D637F0E"/>
    <w:rsid w:val="0D645222"/>
    <w:rsid w:val="0D6A5410"/>
    <w:rsid w:val="0D794CB6"/>
    <w:rsid w:val="0D8324ED"/>
    <w:rsid w:val="0D8F059D"/>
    <w:rsid w:val="0D8F5855"/>
    <w:rsid w:val="0D936D15"/>
    <w:rsid w:val="0D9827E5"/>
    <w:rsid w:val="0DAF3D29"/>
    <w:rsid w:val="0DC466B9"/>
    <w:rsid w:val="0DC54945"/>
    <w:rsid w:val="0DF25BA4"/>
    <w:rsid w:val="0DFD573A"/>
    <w:rsid w:val="0DFE1012"/>
    <w:rsid w:val="0E0B029F"/>
    <w:rsid w:val="0E230373"/>
    <w:rsid w:val="0E236E8B"/>
    <w:rsid w:val="0E2A41ED"/>
    <w:rsid w:val="0E30302E"/>
    <w:rsid w:val="0E351EED"/>
    <w:rsid w:val="0E397874"/>
    <w:rsid w:val="0E461B92"/>
    <w:rsid w:val="0E6059EA"/>
    <w:rsid w:val="0E632208"/>
    <w:rsid w:val="0E6574A4"/>
    <w:rsid w:val="0E844468"/>
    <w:rsid w:val="0E910299"/>
    <w:rsid w:val="0E9E135B"/>
    <w:rsid w:val="0EA44F43"/>
    <w:rsid w:val="0EA62844"/>
    <w:rsid w:val="0EC2669E"/>
    <w:rsid w:val="0ED75315"/>
    <w:rsid w:val="0ED756CF"/>
    <w:rsid w:val="0EE34A0A"/>
    <w:rsid w:val="0EEF23A4"/>
    <w:rsid w:val="0F2500FF"/>
    <w:rsid w:val="0F2A7DB7"/>
    <w:rsid w:val="0F2D61D9"/>
    <w:rsid w:val="0F43254D"/>
    <w:rsid w:val="0F45451E"/>
    <w:rsid w:val="0F5372FC"/>
    <w:rsid w:val="0F543C48"/>
    <w:rsid w:val="0F54568B"/>
    <w:rsid w:val="0F6801CF"/>
    <w:rsid w:val="0F7F71A8"/>
    <w:rsid w:val="0F851480"/>
    <w:rsid w:val="0F9B0554"/>
    <w:rsid w:val="0FAF5422"/>
    <w:rsid w:val="0FAF5990"/>
    <w:rsid w:val="0FB271E8"/>
    <w:rsid w:val="0FB3423F"/>
    <w:rsid w:val="0FB73D2F"/>
    <w:rsid w:val="0FBF1392"/>
    <w:rsid w:val="0FC41BDA"/>
    <w:rsid w:val="0FD84D52"/>
    <w:rsid w:val="0FD93801"/>
    <w:rsid w:val="0FDC41E3"/>
    <w:rsid w:val="0FE95EB3"/>
    <w:rsid w:val="100C40A0"/>
    <w:rsid w:val="10131FB5"/>
    <w:rsid w:val="10176676"/>
    <w:rsid w:val="1031732E"/>
    <w:rsid w:val="10327E3A"/>
    <w:rsid w:val="10374301"/>
    <w:rsid w:val="10394E9C"/>
    <w:rsid w:val="103A764D"/>
    <w:rsid w:val="103B6EC4"/>
    <w:rsid w:val="10457DEF"/>
    <w:rsid w:val="10482BD9"/>
    <w:rsid w:val="104A6951"/>
    <w:rsid w:val="105628E7"/>
    <w:rsid w:val="105A27E6"/>
    <w:rsid w:val="108120DC"/>
    <w:rsid w:val="108950E7"/>
    <w:rsid w:val="109135C4"/>
    <w:rsid w:val="10A4426E"/>
    <w:rsid w:val="10B656D8"/>
    <w:rsid w:val="10BB6F68"/>
    <w:rsid w:val="10C37A22"/>
    <w:rsid w:val="10C556C7"/>
    <w:rsid w:val="10C55FD8"/>
    <w:rsid w:val="10F772EF"/>
    <w:rsid w:val="11017A58"/>
    <w:rsid w:val="11023D17"/>
    <w:rsid w:val="110F34C8"/>
    <w:rsid w:val="11491151"/>
    <w:rsid w:val="1159543F"/>
    <w:rsid w:val="116230D1"/>
    <w:rsid w:val="116A7E05"/>
    <w:rsid w:val="11722460"/>
    <w:rsid w:val="117A4F14"/>
    <w:rsid w:val="119D6F55"/>
    <w:rsid w:val="11CB1987"/>
    <w:rsid w:val="11D529F0"/>
    <w:rsid w:val="11DC5FC8"/>
    <w:rsid w:val="11E71072"/>
    <w:rsid w:val="11F55D84"/>
    <w:rsid w:val="11F95233"/>
    <w:rsid w:val="11FE73E1"/>
    <w:rsid w:val="1206271C"/>
    <w:rsid w:val="120E39AF"/>
    <w:rsid w:val="12114BE2"/>
    <w:rsid w:val="121911ED"/>
    <w:rsid w:val="12261816"/>
    <w:rsid w:val="122816CA"/>
    <w:rsid w:val="1231523F"/>
    <w:rsid w:val="12392AE3"/>
    <w:rsid w:val="12404237"/>
    <w:rsid w:val="12421044"/>
    <w:rsid w:val="127A5380"/>
    <w:rsid w:val="12957C2C"/>
    <w:rsid w:val="1298079E"/>
    <w:rsid w:val="12AD5EBA"/>
    <w:rsid w:val="12B10442"/>
    <w:rsid w:val="12C319F0"/>
    <w:rsid w:val="12CB7F7B"/>
    <w:rsid w:val="12D57B5A"/>
    <w:rsid w:val="12D60970"/>
    <w:rsid w:val="12DA74FD"/>
    <w:rsid w:val="130354DD"/>
    <w:rsid w:val="13160E95"/>
    <w:rsid w:val="131D4A08"/>
    <w:rsid w:val="132A077A"/>
    <w:rsid w:val="132B4874"/>
    <w:rsid w:val="13365D96"/>
    <w:rsid w:val="133833D9"/>
    <w:rsid w:val="13401CF4"/>
    <w:rsid w:val="13474541"/>
    <w:rsid w:val="13477178"/>
    <w:rsid w:val="13597FDE"/>
    <w:rsid w:val="13610A7C"/>
    <w:rsid w:val="1370511E"/>
    <w:rsid w:val="138A2CF3"/>
    <w:rsid w:val="139600FA"/>
    <w:rsid w:val="139B1B3C"/>
    <w:rsid w:val="13AC7923"/>
    <w:rsid w:val="13BB36C2"/>
    <w:rsid w:val="13C163E4"/>
    <w:rsid w:val="13C24A51"/>
    <w:rsid w:val="13CF69C3"/>
    <w:rsid w:val="13E63AA6"/>
    <w:rsid w:val="13EB21F9"/>
    <w:rsid w:val="13F175F7"/>
    <w:rsid w:val="13F85DC5"/>
    <w:rsid w:val="13FC3073"/>
    <w:rsid w:val="14002DA6"/>
    <w:rsid w:val="141601C0"/>
    <w:rsid w:val="14183270"/>
    <w:rsid w:val="141D447E"/>
    <w:rsid w:val="141D6B0B"/>
    <w:rsid w:val="142D6F89"/>
    <w:rsid w:val="144554E0"/>
    <w:rsid w:val="144C2ACB"/>
    <w:rsid w:val="145908CD"/>
    <w:rsid w:val="1461426A"/>
    <w:rsid w:val="146975C2"/>
    <w:rsid w:val="148617D9"/>
    <w:rsid w:val="149258A7"/>
    <w:rsid w:val="149321EC"/>
    <w:rsid w:val="14A979BF"/>
    <w:rsid w:val="14AA6C47"/>
    <w:rsid w:val="14AD74AF"/>
    <w:rsid w:val="14B81325"/>
    <w:rsid w:val="14BB5770"/>
    <w:rsid w:val="14CA4494"/>
    <w:rsid w:val="14DD13B5"/>
    <w:rsid w:val="14DF1102"/>
    <w:rsid w:val="14E74E80"/>
    <w:rsid w:val="14FB05D3"/>
    <w:rsid w:val="14FB1DB1"/>
    <w:rsid w:val="1507775C"/>
    <w:rsid w:val="15082EFA"/>
    <w:rsid w:val="15107A3E"/>
    <w:rsid w:val="15214D63"/>
    <w:rsid w:val="153E6FE7"/>
    <w:rsid w:val="15535F3F"/>
    <w:rsid w:val="155C3CBE"/>
    <w:rsid w:val="15697093"/>
    <w:rsid w:val="15760076"/>
    <w:rsid w:val="157E5DA4"/>
    <w:rsid w:val="159F6FD6"/>
    <w:rsid w:val="15A5462A"/>
    <w:rsid w:val="15B01BBF"/>
    <w:rsid w:val="15EC3B3E"/>
    <w:rsid w:val="15F1786F"/>
    <w:rsid w:val="15F46C2A"/>
    <w:rsid w:val="16121567"/>
    <w:rsid w:val="16175528"/>
    <w:rsid w:val="162D4D4B"/>
    <w:rsid w:val="16343F81"/>
    <w:rsid w:val="163634D4"/>
    <w:rsid w:val="163948ED"/>
    <w:rsid w:val="164275F4"/>
    <w:rsid w:val="164717FA"/>
    <w:rsid w:val="1654148B"/>
    <w:rsid w:val="165710DF"/>
    <w:rsid w:val="16573B76"/>
    <w:rsid w:val="165B71D5"/>
    <w:rsid w:val="166869FF"/>
    <w:rsid w:val="16700A7A"/>
    <w:rsid w:val="16734728"/>
    <w:rsid w:val="167D1103"/>
    <w:rsid w:val="1683572D"/>
    <w:rsid w:val="169E0BEA"/>
    <w:rsid w:val="16A3744A"/>
    <w:rsid w:val="16AF7EFC"/>
    <w:rsid w:val="16DD2BAC"/>
    <w:rsid w:val="16F70EB5"/>
    <w:rsid w:val="17197085"/>
    <w:rsid w:val="172460AC"/>
    <w:rsid w:val="172B1987"/>
    <w:rsid w:val="173054B2"/>
    <w:rsid w:val="17424EAD"/>
    <w:rsid w:val="174C1699"/>
    <w:rsid w:val="17544559"/>
    <w:rsid w:val="175E7E76"/>
    <w:rsid w:val="1763479D"/>
    <w:rsid w:val="178667F0"/>
    <w:rsid w:val="178A4C4F"/>
    <w:rsid w:val="17942AA9"/>
    <w:rsid w:val="17987255"/>
    <w:rsid w:val="179928AA"/>
    <w:rsid w:val="17A739C7"/>
    <w:rsid w:val="17C212EB"/>
    <w:rsid w:val="17C42121"/>
    <w:rsid w:val="17D66D1D"/>
    <w:rsid w:val="17D82A95"/>
    <w:rsid w:val="17D86805"/>
    <w:rsid w:val="17FB6C91"/>
    <w:rsid w:val="18053F1E"/>
    <w:rsid w:val="18085749"/>
    <w:rsid w:val="180B6D06"/>
    <w:rsid w:val="181A3262"/>
    <w:rsid w:val="181C3FF8"/>
    <w:rsid w:val="18365CFA"/>
    <w:rsid w:val="184114A1"/>
    <w:rsid w:val="18425C49"/>
    <w:rsid w:val="186969E3"/>
    <w:rsid w:val="188C7694"/>
    <w:rsid w:val="18BE3F0D"/>
    <w:rsid w:val="18C140E3"/>
    <w:rsid w:val="18CD6371"/>
    <w:rsid w:val="18DA0A8E"/>
    <w:rsid w:val="18DC03A2"/>
    <w:rsid w:val="18E11EA5"/>
    <w:rsid w:val="18FA4C8D"/>
    <w:rsid w:val="19054750"/>
    <w:rsid w:val="19083037"/>
    <w:rsid w:val="19092828"/>
    <w:rsid w:val="19103908"/>
    <w:rsid w:val="1933462F"/>
    <w:rsid w:val="19390D64"/>
    <w:rsid w:val="19554C37"/>
    <w:rsid w:val="19566DB3"/>
    <w:rsid w:val="196279A1"/>
    <w:rsid w:val="198040A4"/>
    <w:rsid w:val="198C37FE"/>
    <w:rsid w:val="19A941C1"/>
    <w:rsid w:val="19AE5ACF"/>
    <w:rsid w:val="19AF5A77"/>
    <w:rsid w:val="19B3071D"/>
    <w:rsid w:val="19B675DA"/>
    <w:rsid w:val="19C57049"/>
    <w:rsid w:val="19C637E5"/>
    <w:rsid w:val="19C721FB"/>
    <w:rsid w:val="19CE5CD8"/>
    <w:rsid w:val="19F02EFF"/>
    <w:rsid w:val="1A052165"/>
    <w:rsid w:val="1A063EF5"/>
    <w:rsid w:val="1A0F3AD5"/>
    <w:rsid w:val="1A0F6516"/>
    <w:rsid w:val="1A0F7374"/>
    <w:rsid w:val="1A142D27"/>
    <w:rsid w:val="1A1816AF"/>
    <w:rsid w:val="1A302494"/>
    <w:rsid w:val="1A330E88"/>
    <w:rsid w:val="1A407304"/>
    <w:rsid w:val="1A60672B"/>
    <w:rsid w:val="1A630F50"/>
    <w:rsid w:val="1A6732FB"/>
    <w:rsid w:val="1A7929A3"/>
    <w:rsid w:val="1A7B4669"/>
    <w:rsid w:val="1A870B38"/>
    <w:rsid w:val="1A8C5DB8"/>
    <w:rsid w:val="1A8C6CF6"/>
    <w:rsid w:val="1A9417D9"/>
    <w:rsid w:val="1AA572B8"/>
    <w:rsid w:val="1AA70EB7"/>
    <w:rsid w:val="1AAA4949"/>
    <w:rsid w:val="1AB31D2F"/>
    <w:rsid w:val="1AC00AAF"/>
    <w:rsid w:val="1ACE55DA"/>
    <w:rsid w:val="1ACE6054"/>
    <w:rsid w:val="1ACE6D27"/>
    <w:rsid w:val="1AE0038B"/>
    <w:rsid w:val="1AEF625F"/>
    <w:rsid w:val="1B403FA5"/>
    <w:rsid w:val="1B450A9E"/>
    <w:rsid w:val="1B481CDF"/>
    <w:rsid w:val="1B4B17D0"/>
    <w:rsid w:val="1B524326"/>
    <w:rsid w:val="1B55168B"/>
    <w:rsid w:val="1B63458F"/>
    <w:rsid w:val="1B645069"/>
    <w:rsid w:val="1B7D1BE7"/>
    <w:rsid w:val="1B7D1D15"/>
    <w:rsid w:val="1B8637EA"/>
    <w:rsid w:val="1B966EEF"/>
    <w:rsid w:val="1BDD1B28"/>
    <w:rsid w:val="1BE57F51"/>
    <w:rsid w:val="1C022610"/>
    <w:rsid w:val="1C037CCC"/>
    <w:rsid w:val="1C085913"/>
    <w:rsid w:val="1C0876C1"/>
    <w:rsid w:val="1C2F4A48"/>
    <w:rsid w:val="1C37598E"/>
    <w:rsid w:val="1C400DCC"/>
    <w:rsid w:val="1C4A3D51"/>
    <w:rsid w:val="1C550B58"/>
    <w:rsid w:val="1C6062B5"/>
    <w:rsid w:val="1C656B00"/>
    <w:rsid w:val="1C657709"/>
    <w:rsid w:val="1C6D522B"/>
    <w:rsid w:val="1C703A01"/>
    <w:rsid w:val="1C762201"/>
    <w:rsid w:val="1C87757C"/>
    <w:rsid w:val="1C911F05"/>
    <w:rsid w:val="1C9232F2"/>
    <w:rsid w:val="1C943E77"/>
    <w:rsid w:val="1C993860"/>
    <w:rsid w:val="1CA06DAD"/>
    <w:rsid w:val="1CB517E1"/>
    <w:rsid w:val="1CBF5FD1"/>
    <w:rsid w:val="1CC07FCD"/>
    <w:rsid w:val="1CCD060E"/>
    <w:rsid w:val="1CD4109A"/>
    <w:rsid w:val="1CDE3631"/>
    <w:rsid w:val="1CE814D1"/>
    <w:rsid w:val="1CFE11B3"/>
    <w:rsid w:val="1D00167E"/>
    <w:rsid w:val="1D01132A"/>
    <w:rsid w:val="1D022EEB"/>
    <w:rsid w:val="1D2C5B34"/>
    <w:rsid w:val="1D3444B7"/>
    <w:rsid w:val="1D3A1AFC"/>
    <w:rsid w:val="1D3F2887"/>
    <w:rsid w:val="1D413DD6"/>
    <w:rsid w:val="1D442082"/>
    <w:rsid w:val="1D494085"/>
    <w:rsid w:val="1D6104E9"/>
    <w:rsid w:val="1D6D5E73"/>
    <w:rsid w:val="1D6E2EA0"/>
    <w:rsid w:val="1D7C0366"/>
    <w:rsid w:val="1D8C44DA"/>
    <w:rsid w:val="1D90430C"/>
    <w:rsid w:val="1DA228F6"/>
    <w:rsid w:val="1DA26C67"/>
    <w:rsid w:val="1DB571C9"/>
    <w:rsid w:val="1DBF6F58"/>
    <w:rsid w:val="1DFC5003"/>
    <w:rsid w:val="1E2527AC"/>
    <w:rsid w:val="1E2A3F9F"/>
    <w:rsid w:val="1E65546D"/>
    <w:rsid w:val="1E7B6900"/>
    <w:rsid w:val="1E933E22"/>
    <w:rsid w:val="1EB60A31"/>
    <w:rsid w:val="1EC6457D"/>
    <w:rsid w:val="1EC7170B"/>
    <w:rsid w:val="1EC7534C"/>
    <w:rsid w:val="1ECD7160"/>
    <w:rsid w:val="1ED34F83"/>
    <w:rsid w:val="1ED641E3"/>
    <w:rsid w:val="1EED4935"/>
    <w:rsid w:val="1EF15FC6"/>
    <w:rsid w:val="1F196F16"/>
    <w:rsid w:val="1F1F544D"/>
    <w:rsid w:val="1F294330"/>
    <w:rsid w:val="1F2A3EE6"/>
    <w:rsid w:val="1F5164BE"/>
    <w:rsid w:val="1F530AFF"/>
    <w:rsid w:val="1F550636"/>
    <w:rsid w:val="1F6725BD"/>
    <w:rsid w:val="1F6F0182"/>
    <w:rsid w:val="1F751014"/>
    <w:rsid w:val="1F7A16FF"/>
    <w:rsid w:val="1F841E94"/>
    <w:rsid w:val="1F86410F"/>
    <w:rsid w:val="1F987D78"/>
    <w:rsid w:val="1FAD0B55"/>
    <w:rsid w:val="1FB57B5F"/>
    <w:rsid w:val="1FBA786C"/>
    <w:rsid w:val="1FC55FF4"/>
    <w:rsid w:val="1FDF7221"/>
    <w:rsid w:val="1FE07DD2"/>
    <w:rsid w:val="1FF72B1D"/>
    <w:rsid w:val="2000702C"/>
    <w:rsid w:val="201952D2"/>
    <w:rsid w:val="2020109E"/>
    <w:rsid w:val="20220096"/>
    <w:rsid w:val="202816B6"/>
    <w:rsid w:val="20352DB6"/>
    <w:rsid w:val="204E725A"/>
    <w:rsid w:val="205050F3"/>
    <w:rsid w:val="20665891"/>
    <w:rsid w:val="20823312"/>
    <w:rsid w:val="208241B4"/>
    <w:rsid w:val="208F5999"/>
    <w:rsid w:val="20AA6F98"/>
    <w:rsid w:val="20AF45AF"/>
    <w:rsid w:val="20B05494"/>
    <w:rsid w:val="20BD4F1E"/>
    <w:rsid w:val="20D109C9"/>
    <w:rsid w:val="20EE5770"/>
    <w:rsid w:val="20FD17BE"/>
    <w:rsid w:val="2107261C"/>
    <w:rsid w:val="21147FEE"/>
    <w:rsid w:val="2132760F"/>
    <w:rsid w:val="213F7E47"/>
    <w:rsid w:val="21592FEC"/>
    <w:rsid w:val="215B2DFE"/>
    <w:rsid w:val="215C5CD9"/>
    <w:rsid w:val="215F2E6D"/>
    <w:rsid w:val="218B2E3C"/>
    <w:rsid w:val="219E13DD"/>
    <w:rsid w:val="21B5456C"/>
    <w:rsid w:val="21C0289A"/>
    <w:rsid w:val="21C314C7"/>
    <w:rsid w:val="21CB366A"/>
    <w:rsid w:val="21E53DD4"/>
    <w:rsid w:val="21FE67C3"/>
    <w:rsid w:val="21FF567A"/>
    <w:rsid w:val="220019CB"/>
    <w:rsid w:val="22080E1D"/>
    <w:rsid w:val="222E4A4B"/>
    <w:rsid w:val="224564ED"/>
    <w:rsid w:val="225B1C1A"/>
    <w:rsid w:val="22655D1C"/>
    <w:rsid w:val="227A5579"/>
    <w:rsid w:val="227B3EC3"/>
    <w:rsid w:val="22AC6E9D"/>
    <w:rsid w:val="22AF6B28"/>
    <w:rsid w:val="22BF1959"/>
    <w:rsid w:val="22FE3A70"/>
    <w:rsid w:val="23007343"/>
    <w:rsid w:val="230A1D1E"/>
    <w:rsid w:val="230F3D0A"/>
    <w:rsid w:val="232E3EB1"/>
    <w:rsid w:val="23341448"/>
    <w:rsid w:val="23385650"/>
    <w:rsid w:val="23425BAE"/>
    <w:rsid w:val="23517B9F"/>
    <w:rsid w:val="23531B69"/>
    <w:rsid w:val="235C6C70"/>
    <w:rsid w:val="237F04EF"/>
    <w:rsid w:val="23841437"/>
    <w:rsid w:val="238A3CA3"/>
    <w:rsid w:val="23AA4BFB"/>
    <w:rsid w:val="23AF4708"/>
    <w:rsid w:val="23C16A9A"/>
    <w:rsid w:val="23C465C3"/>
    <w:rsid w:val="23E66003"/>
    <w:rsid w:val="23F80076"/>
    <w:rsid w:val="23FC534D"/>
    <w:rsid w:val="23FE2FB7"/>
    <w:rsid w:val="23FE3AF7"/>
    <w:rsid w:val="241B7142"/>
    <w:rsid w:val="24452007"/>
    <w:rsid w:val="244802C7"/>
    <w:rsid w:val="244C0B39"/>
    <w:rsid w:val="245A32E7"/>
    <w:rsid w:val="246102B6"/>
    <w:rsid w:val="24635935"/>
    <w:rsid w:val="24660E6A"/>
    <w:rsid w:val="24665559"/>
    <w:rsid w:val="24691825"/>
    <w:rsid w:val="248E0BEE"/>
    <w:rsid w:val="249222CA"/>
    <w:rsid w:val="249B49DE"/>
    <w:rsid w:val="24B056E4"/>
    <w:rsid w:val="24CC572F"/>
    <w:rsid w:val="24CF65FC"/>
    <w:rsid w:val="24D258A5"/>
    <w:rsid w:val="24DA6A74"/>
    <w:rsid w:val="24DB4BCD"/>
    <w:rsid w:val="24F602A0"/>
    <w:rsid w:val="250025A0"/>
    <w:rsid w:val="252966D9"/>
    <w:rsid w:val="25296C9F"/>
    <w:rsid w:val="25401D76"/>
    <w:rsid w:val="2544236B"/>
    <w:rsid w:val="25453733"/>
    <w:rsid w:val="256C3562"/>
    <w:rsid w:val="257F6C45"/>
    <w:rsid w:val="25882662"/>
    <w:rsid w:val="258C736F"/>
    <w:rsid w:val="25977271"/>
    <w:rsid w:val="259B2D68"/>
    <w:rsid w:val="259E7D45"/>
    <w:rsid w:val="25A6077B"/>
    <w:rsid w:val="25A941CC"/>
    <w:rsid w:val="25A97E1E"/>
    <w:rsid w:val="25B40CD0"/>
    <w:rsid w:val="25BF4424"/>
    <w:rsid w:val="25C17AFA"/>
    <w:rsid w:val="25C251DB"/>
    <w:rsid w:val="25E00E0C"/>
    <w:rsid w:val="25EF379B"/>
    <w:rsid w:val="25FC2044"/>
    <w:rsid w:val="260C11C1"/>
    <w:rsid w:val="261049C1"/>
    <w:rsid w:val="261E645E"/>
    <w:rsid w:val="26215F4F"/>
    <w:rsid w:val="26383109"/>
    <w:rsid w:val="264043A1"/>
    <w:rsid w:val="2641214D"/>
    <w:rsid w:val="264E7E9A"/>
    <w:rsid w:val="26597FFC"/>
    <w:rsid w:val="26697AAB"/>
    <w:rsid w:val="266D2F42"/>
    <w:rsid w:val="2673065B"/>
    <w:rsid w:val="26746071"/>
    <w:rsid w:val="267839D3"/>
    <w:rsid w:val="26802C75"/>
    <w:rsid w:val="268423E1"/>
    <w:rsid w:val="26890627"/>
    <w:rsid w:val="26937CAB"/>
    <w:rsid w:val="26A43060"/>
    <w:rsid w:val="26BB1EFF"/>
    <w:rsid w:val="26BB2001"/>
    <w:rsid w:val="26C467F8"/>
    <w:rsid w:val="26E35358"/>
    <w:rsid w:val="270E00FE"/>
    <w:rsid w:val="270E298C"/>
    <w:rsid w:val="270E29F5"/>
    <w:rsid w:val="271512D2"/>
    <w:rsid w:val="272A0E33"/>
    <w:rsid w:val="272A2D2F"/>
    <w:rsid w:val="274020AE"/>
    <w:rsid w:val="27446B6F"/>
    <w:rsid w:val="274F752C"/>
    <w:rsid w:val="27520933"/>
    <w:rsid w:val="27584657"/>
    <w:rsid w:val="275E5A93"/>
    <w:rsid w:val="27736226"/>
    <w:rsid w:val="27755DA7"/>
    <w:rsid w:val="277C7F9A"/>
    <w:rsid w:val="279D2924"/>
    <w:rsid w:val="27A52E1A"/>
    <w:rsid w:val="27AC7A9A"/>
    <w:rsid w:val="27BF60E1"/>
    <w:rsid w:val="27C53958"/>
    <w:rsid w:val="27D36D37"/>
    <w:rsid w:val="27DA4B73"/>
    <w:rsid w:val="27E61F25"/>
    <w:rsid w:val="27EC31BB"/>
    <w:rsid w:val="27ED2CBD"/>
    <w:rsid w:val="27F63DA6"/>
    <w:rsid w:val="27FA5CB6"/>
    <w:rsid w:val="280D34EA"/>
    <w:rsid w:val="281466B1"/>
    <w:rsid w:val="281713B7"/>
    <w:rsid w:val="281824A7"/>
    <w:rsid w:val="28312BBF"/>
    <w:rsid w:val="283B7736"/>
    <w:rsid w:val="2852403A"/>
    <w:rsid w:val="285F673E"/>
    <w:rsid w:val="28644CCA"/>
    <w:rsid w:val="28687E65"/>
    <w:rsid w:val="28732D83"/>
    <w:rsid w:val="288F6949"/>
    <w:rsid w:val="28911AF2"/>
    <w:rsid w:val="289151CA"/>
    <w:rsid w:val="28A10C81"/>
    <w:rsid w:val="28A2680F"/>
    <w:rsid w:val="28AB1AFF"/>
    <w:rsid w:val="28B63487"/>
    <w:rsid w:val="28DF17A9"/>
    <w:rsid w:val="28E92551"/>
    <w:rsid w:val="28EB31BC"/>
    <w:rsid w:val="28EB583C"/>
    <w:rsid w:val="28EC2844"/>
    <w:rsid w:val="28F402DA"/>
    <w:rsid w:val="28FC78BE"/>
    <w:rsid w:val="29000A40"/>
    <w:rsid w:val="290F29AF"/>
    <w:rsid w:val="292D0766"/>
    <w:rsid w:val="293634F4"/>
    <w:rsid w:val="29600B3C"/>
    <w:rsid w:val="29606D8E"/>
    <w:rsid w:val="29671ECA"/>
    <w:rsid w:val="29770361"/>
    <w:rsid w:val="2985201E"/>
    <w:rsid w:val="29C55899"/>
    <w:rsid w:val="29D3130E"/>
    <w:rsid w:val="29F2147C"/>
    <w:rsid w:val="2A0C4A40"/>
    <w:rsid w:val="2A0D3DED"/>
    <w:rsid w:val="2A104310"/>
    <w:rsid w:val="2A133E00"/>
    <w:rsid w:val="2A134AF4"/>
    <w:rsid w:val="2A255C2B"/>
    <w:rsid w:val="2A2B7BC9"/>
    <w:rsid w:val="2A3A5DF9"/>
    <w:rsid w:val="2A4926C2"/>
    <w:rsid w:val="2A4B107A"/>
    <w:rsid w:val="2A4D2BFD"/>
    <w:rsid w:val="2A530EDF"/>
    <w:rsid w:val="2A574428"/>
    <w:rsid w:val="2A5F6992"/>
    <w:rsid w:val="2A7949E3"/>
    <w:rsid w:val="2A80647C"/>
    <w:rsid w:val="2A8E62B6"/>
    <w:rsid w:val="2A9572CC"/>
    <w:rsid w:val="2AA9206F"/>
    <w:rsid w:val="2AD81233"/>
    <w:rsid w:val="2AE63EFE"/>
    <w:rsid w:val="2B053749"/>
    <w:rsid w:val="2B195446"/>
    <w:rsid w:val="2B2E227F"/>
    <w:rsid w:val="2B2F07C6"/>
    <w:rsid w:val="2B3404E2"/>
    <w:rsid w:val="2B363CF4"/>
    <w:rsid w:val="2B3A7305"/>
    <w:rsid w:val="2B425FD0"/>
    <w:rsid w:val="2B4268A6"/>
    <w:rsid w:val="2B536BAA"/>
    <w:rsid w:val="2B8C79C6"/>
    <w:rsid w:val="2B9B40AD"/>
    <w:rsid w:val="2B9B4F58"/>
    <w:rsid w:val="2BA3696C"/>
    <w:rsid w:val="2BAA0794"/>
    <w:rsid w:val="2BB67A51"/>
    <w:rsid w:val="2BB769EE"/>
    <w:rsid w:val="2BB8130D"/>
    <w:rsid w:val="2BC058C2"/>
    <w:rsid w:val="2BC1223D"/>
    <w:rsid w:val="2BC40014"/>
    <w:rsid w:val="2BC51B34"/>
    <w:rsid w:val="2BDE3F9A"/>
    <w:rsid w:val="2BE07D12"/>
    <w:rsid w:val="2BF95140"/>
    <w:rsid w:val="2C063C1D"/>
    <w:rsid w:val="2C0B194E"/>
    <w:rsid w:val="2C1A4F62"/>
    <w:rsid w:val="2C3447BE"/>
    <w:rsid w:val="2C3B1B1B"/>
    <w:rsid w:val="2C3C07B5"/>
    <w:rsid w:val="2C3C1CCE"/>
    <w:rsid w:val="2C3D3C75"/>
    <w:rsid w:val="2C4B420E"/>
    <w:rsid w:val="2C56006A"/>
    <w:rsid w:val="2C5F50DB"/>
    <w:rsid w:val="2C660165"/>
    <w:rsid w:val="2C6619D7"/>
    <w:rsid w:val="2C6A0BA3"/>
    <w:rsid w:val="2C6E17C2"/>
    <w:rsid w:val="2C8A76F4"/>
    <w:rsid w:val="2C931BC6"/>
    <w:rsid w:val="2CA45E14"/>
    <w:rsid w:val="2CB43679"/>
    <w:rsid w:val="2CB62CA6"/>
    <w:rsid w:val="2CD40261"/>
    <w:rsid w:val="2CEE34EF"/>
    <w:rsid w:val="2CF605F7"/>
    <w:rsid w:val="2D016FE9"/>
    <w:rsid w:val="2D14362B"/>
    <w:rsid w:val="2D2E304F"/>
    <w:rsid w:val="2D3C07FE"/>
    <w:rsid w:val="2D5756FC"/>
    <w:rsid w:val="2D5D5591"/>
    <w:rsid w:val="2D74743A"/>
    <w:rsid w:val="2D7C11D4"/>
    <w:rsid w:val="2D7F4766"/>
    <w:rsid w:val="2D8D3A62"/>
    <w:rsid w:val="2DAF3E40"/>
    <w:rsid w:val="2DBE7F60"/>
    <w:rsid w:val="2DE81100"/>
    <w:rsid w:val="2DF6381D"/>
    <w:rsid w:val="2DF6788C"/>
    <w:rsid w:val="2E0D1588"/>
    <w:rsid w:val="2E3944B7"/>
    <w:rsid w:val="2E4749F8"/>
    <w:rsid w:val="2E4C1B78"/>
    <w:rsid w:val="2E73313B"/>
    <w:rsid w:val="2E81720F"/>
    <w:rsid w:val="2E866E5E"/>
    <w:rsid w:val="2E9077CD"/>
    <w:rsid w:val="2EA916B2"/>
    <w:rsid w:val="2EB46A04"/>
    <w:rsid w:val="2EB84F76"/>
    <w:rsid w:val="2EC62DA5"/>
    <w:rsid w:val="2ECB7077"/>
    <w:rsid w:val="2EED318E"/>
    <w:rsid w:val="2EFE3F3B"/>
    <w:rsid w:val="2F0C331C"/>
    <w:rsid w:val="2F0F1794"/>
    <w:rsid w:val="2F176141"/>
    <w:rsid w:val="2F1A0856"/>
    <w:rsid w:val="2F2443BA"/>
    <w:rsid w:val="2F2B5B05"/>
    <w:rsid w:val="2F475C7E"/>
    <w:rsid w:val="2F486024"/>
    <w:rsid w:val="2F523B34"/>
    <w:rsid w:val="2F5E78CC"/>
    <w:rsid w:val="2F681310"/>
    <w:rsid w:val="2F6C283B"/>
    <w:rsid w:val="2F743B89"/>
    <w:rsid w:val="2F7E2877"/>
    <w:rsid w:val="2F8567D8"/>
    <w:rsid w:val="2F8B5040"/>
    <w:rsid w:val="2F9107C4"/>
    <w:rsid w:val="2F961B57"/>
    <w:rsid w:val="2FDC6A42"/>
    <w:rsid w:val="2FE65B09"/>
    <w:rsid w:val="2FFF53A8"/>
    <w:rsid w:val="30047098"/>
    <w:rsid w:val="30077F63"/>
    <w:rsid w:val="30115CE5"/>
    <w:rsid w:val="30135C1F"/>
    <w:rsid w:val="30191760"/>
    <w:rsid w:val="3028092A"/>
    <w:rsid w:val="302F54E7"/>
    <w:rsid w:val="304863A9"/>
    <w:rsid w:val="306C4DF1"/>
    <w:rsid w:val="30726790"/>
    <w:rsid w:val="30801AC4"/>
    <w:rsid w:val="30823D65"/>
    <w:rsid w:val="30831C53"/>
    <w:rsid w:val="308E438B"/>
    <w:rsid w:val="30A43A04"/>
    <w:rsid w:val="30C87FB8"/>
    <w:rsid w:val="30CB1DAF"/>
    <w:rsid w:val="30E90E2B"/>
    <w:rsid w:val="30ED02EA"/>
    <w:rsid w:val="30FF267A"/>
    <w:rsid w:val="310A2A14"/>
    <w:rsid w:val="310F59F0"/>
    <w:rsid w:val="31395BA8"/>
    <w:rsid w:val="3141666D"/>
    <w:rsid w:val="31480833"/>
    <w:rsid w:val="314B14BF"/>
    <w:rsid w:val="3158219E"/>
    <w:rsid w:val="316D537E"/>
    <w:rsid w:val="31716348"/>
    <w:rsid w:val="317355F2"/>
    <w:rsid w:val="3185517F"/>
    <w:rsid w:val="3185793C"/>
    <w:rsid w:val="319475D5"/>
    <w:rsid w:val="31975317"/>
    <w:rsid w:val="31A87524"/>
    <w:rsid w:val="31B06C89"/>
    <w:rsid w:val="31B91778"/>
    <w:rsid w:val="31C2569E"/>
    <w:rsid w:val="31C96BD0"/>
    <w:rsid w:val="31D04385"/>
    <w:rsid w:val="31D9377A"/>
    <w:rsid w:val="31E15891"/>
    <w:rsid w:val="31F043F4"/>
    <w:rsid w:val="32170EE1"/>
    <w:rsid w:val="325066A8"/>
    <w:rsid w:val="32563FE3"/>
    <w:rsid w:val="325D3410"/>
    <w:rsid w:val="3260226B"/>
    <w:rsid w:val="327652E9"/>
    <w:rsid w:val="327A5FF1"/>
    <w:rsid w:val="32A55CC0"/>
    <w:rsid w:val="32A937D2"/>
    <w:rsid w:val="32C95971"/>
    <w:rsid w:val="32CF5928"/>
    <w:rsid w:val="32D97115"/>
    <w:rsid w:val="32E41009"/>
    <w:rsid w:val="32E9078F"/>
    <w:rsid w:val="32ED34FF"/>
    <w:rsid w:val="330856D0"/>
    <w:rsid w:val="332B3F69"/>
    <w:rsid w:val="33316646"/>
    <w:rsid w:val="333A06E2"/>
    <w:rsid w:val="33462B8C"/>
    <w:rsid w:val="33491C13"/>
    <w:rsid w:val="335E45B2"/>
    <w:rsid w:val="33680D19"/>
    <w:rsid w:val="33691E57"/>
    <w:rsid w:val="336E025D"/>
    <w:rsid w:val="33735D99"/>
    <w:rsid w:val="33736E76"/>
    <w:rsid w:val="337570A4"/>
    <w:rsid w:val="33833CFC"/>
    <w:rsid w:val="33A269EC"/>
    <w:rsid w:val="33A856B1"/>
    <w:rsid w:val="33A930DF"/>
    <w:rsid w:val="33AB2922"/>
    <w:rsid w:val="33AE6B10"/>
    <w:rsid w:val="33B73314"/>
    <w:rsid w:val="33C50B9E"/>
    <w:rsid w:val="33D30EC6"/>
    <w:rsid w:val="33D867E1"/>
    <w:rsid w:val="33D976B3"/>
    <w:rsid w:val="33DB2EFB"/>
    <w:rsid w:val="33DC6CF8"/>
    <w:rsid w:val="33EE36D1"/>
    <w:rsid w:val="33F54490"/>
    <w:rsid w:val="33F85833"/>
    <w:rsid w:val="33F94458"/>
    <w:rsid w:val="340B1EAD"/>
    <w:rsid w:val="34111989"/>
    <w:rsid w:val="341266A4"/>
    <w:rsid w:val="3429350C"/>
    <w:rsid w:val="343C76C2"/>
    <w:rsid w:val="343D0166"/>
    <w:rsid w:val="343D6C24"/>
    <w:rsid w:val="345873A9"/>
    <w:rsid w:val="347C5D20"/>
    <w:rsid w:val="348C4EDB"/>
    <w:rsid w:val="34997F68"/>
    <w:rsid w:val="34AF7CC9"/>
    <w:rsid w:val="34B14942"/>
    <w:rsid w:val="34C87463"/>
    <w:rsid w:val="34DB376C"/>
    <w:rsid w:val="34E526B4"/>
    <w:rsid w:val="34F03DC0"/>
    <w:rsid w:val="34FE7262"/>
    <w:rsid w:val="352407FC"/>
    <w:rsid w:val="352612DF"/>
    <w:rsid w:val="35284201"/>
    <w:rsid w:val="35322B1F"/>
    <w:rsid w:val="3535498A"/>
    <w:rsid w:val="35471E10"/>
    <w:rsid w:val="354F3660"/>
    <w:rsid w:val="355004C3"/>
    <w:rsid w:val="3556146D"/>
    <w:rsid w:val="355724F0"/>
    <w:rsid w:val="356B5D07"/>
    <w:rsid w:val="357A4D33"/>
    <w:rsid w:val="35810326"/>
    <w:rsid w:val="358C5E8C"/>
    <w:rsid w:val="358D7C9B"/>
    <w:rsid w:val="358E2186"/>
    <w:rsid w:val="35AA4C6A"/>
    <w:rsid w:val="35B90B5D"/>
    <w:rsid w:val="35C81F43"/>
    <w:rsid w:val="35CC1726"/>
    <w:rsid w:val="35DE239E"/>
    <w:rsid w:val="35E06512"/>
    <w:rsid w:val="35E33F92"/>
    <w:rsid w:val="36010FB1"/>
    <w:rsid w:val="360212D1"/>
    <w:rsid w:val="360C7B72"/>
    <w:rsid w:val="360E2480"/>
    <w:rsid w:val="361327DB"/>
    <w:rsid w:val="361E1B63"/>
    <w:rsid w:val="361F1CFE"/>
    <w:rsid w:val="36371201"/>
    <w:rsid w:val="363720E3"/>
    <w:rsid w:val="3639711B"/>
    <w:rsid w:val="363E765D"/>
    <w:rsid w:val="36592830"/>
    <w:rsid w:val="36632356"/>
    <w:rsid w:val="367409D2"/>
    <w:rsid w:val="367B56C5"/>
    <w:rsid w:val="367C5173"/>
    <w:rsid w:val="36915D46"/>
    <w:rsid w:val="36B81FB7"/>
    <w:rsid w:val="36CA31B0"/>
    <w:rsid w:val="36D20797"/>
    <w:rsid w:val="36E65B3A"/>
    <w:rsid w:val="36FF3742"/>
    <w:rsid w:val="370346A6"/>
    <w:rsid w:val="37113475"/>
    <w:rsid w:val="37252E94"/>
    <w:rsid w:val="37296474"/>
    <w:rsid w:val="373227C5"/>
    <w:rsid w:val="37405833"/>
    <w:rsid w:val="374101FF"/>
    <w:rsid w:val="375869AC"/>
    <w:rsid w:val="375B253A"/>
    <w:rsid w:val="37666B6B"/>
    <w:rsid w:val="37675674"/>
    <w:rsid w:val="376B1978"/>
    <w:rsid w:val="37940CA8"/>
    <w:rsid w:val="37D848CF"/>
    <w:rsid w:val="37DA41AF"/>
    <w:rsid w:val="37DB157C"/>
    <w:rsid w:val="37DB3C7D"/>
    <w:rsid w:val="37EE7D30"/>
    <w:rsid w:val="37F62976"/>
    <w:rsid w:val="37F77F19"/>
    <w:rsid w:val="38034F62"/>
    <w:rsid w:val="38042FDA"/>
    <w:rsid w:val="381C3F20"/>
    <w:rsid w:val="3822692C"/>
    <w:rsid w:val="38343F2A"/>
    <w:rsid w:val="38490F9C"/>
    <w:rsid w:val="384C1631"/>
    <w:rsid w:val="38542754"/>
    <w:rsid w:val="386C03A0"/>
    <w:rsid w:val="386D6DD1"/>
    <w:rsid w:val="38850AD8"/>
    <w:rsid w:val="38B10FD7"/>
    <w:rsid w:val="38B2326B"/>
    <w:rsid w:val="38BD498D"/>
    <w:rsid w:val="38D81B11"/>
    <w:rsid w:val="38ED2653"/>
    <w:rsid w:val="38FC71A8"/>
    <w:rsid w:val="38FD1F03"/>
    <w:rsid w:val="39020983"/>
    <w:rsid w:val="39037F6C"/>
    <w:rsid w:val="39214610"/>
    <w:rsid w:val="39317DFF"/>
    <w:rsid w:val="39464964"/>
    <w:rsid w:val="395224D9"/>
    <w:rsid w:val="39535FC7"/>
    <w:rsid w:val="395601FC"/>
    <w:rsid w:val="397B4E62"/>
    <w:rsid w:val="39972B1A"/>
    <w:rsid w:val="399A1410"/>
    <w:rsid w:val="39C47D94"/>
    <w:rsid w:val="39CD1539"/>
    <w:rsid w:val="39CD5D32"/>
    <w:rsid w:val="39DA1DFA"/>
    <w:rsid w:val="39DC71EB"/>
    <w:rsid w:val="39DD5D2E"/>
    <w:rsid w:val="39E01A69"/>
    <w:rsid w:val="3A045F91"/>
    <w:rsid w:val="3A076679"/>
    <w:rsid w:val="3A0A0953"/>
    <w:rsid w:val="3A211C22"/>
    <w:rsid w:val="3A2C4127"/>
    <w:rsid w:val="3A4F0AA8"/>
    <w:rsid w:val="3A543DA5"/>
    <w:rsid w:val="3A5576B6"/>
    <w:rsid w:val="3A682780"/>
    <w:rsid w:val="3A697EB7"/>
    <w:rsid w:val="3A7F0311"/>
    <w:rsid w:val="3A845141"/>
    <w:rsid w:val="3A8538B6"/>
    <w:rsid w:val="3A884EF1"/>
    <w:rsid w:val="3A8C5141"/>
    <w:rsid w:val="3AA52853"/>
    <w:rsid w:val="3AA648FE"/>
    <w:rsid w:val="3AAA7D3D"/>
    <w:rsid w:val="3AD117FB"/>
    <w:rsid w:val="3AD4138A"/>
    <w:rsid w:val="3AD72904"/>
    <w:rsid w:val="3AD75A09"/>
    <w:rsid w:val="3ADC5AFD"/>
    <w:rsid w:val="3AE17BBC"/>
    <w:rsid w:val="3B007A89"/>
    <w:rsid w:val="3B0F5ABD"/>
    <w:rsid w:val="3B2F4F75"/>
    <w:rsid w:val="3B31477D"/>
    <w:rsid w:val="3B315914"/>
    <w:rsid w:val="3B422101"/>
    <w:rsid w:val="3B4715CB"/>
    <w:rsid w:val="3B5008D7"/>
    <w:rsid w:val="3B7D5180"/>
    <w:rsid w:val="3B7F15E2"/>
    <w:rsid w:val="3B8536A6"/>
    <w:rsid w:val="3B9F0C51"/>
    <w:rsid w:val="3BA00572"/>
    <w:rsid w:val="3BB1021B"/>
    <w:rsid w:val="3BE15B0C"/>
    <w:rsid w:val="3BF72A83"/>
    <w:rsid w:val="3C135790"/>
    <w:rsid w:val="3C1752F7"/>
    <w:rsid w:val="3C193171"/>
    <w:rsid w:val="3C1E3214"/>
    <w:rsid w:val="3C2528C6"/>
    <w:rsid w:val="3C371BD0"/>
    <w:rsid w:val="3C4F1FEA"/>
    <w:rsid w:val="3C5B6745"/>
    <w:rsid w:val="3C5E3DBD"/>
    <w:rsid w:val="3C683B38"/>
    <w:rsid w:val="3C686571"/>
    <w:rsid w:val="3C6F5E3B"/>
    <w:rsid w:val="3C83525B"/>
    <w:rsid w:val="3C87375A"/>
    <w:rsid w:val="3C88531F"/>
    <w:rsid w:val="3C8D7A42"/>
    <w:rsid w:val="3C8E189D"/>
    <w:rsid w:val="3CA22EFE"/>
    <w:rsid w:val="3CB8043D"/>
    <w:rsid w:val="3CB94BCA"/>
    <w:rsid w:val="3CC35212"/>
    <w:rsid w:val="3CC50225"/>
    <w:rsid w:val="3CD967E3"/>
    <w:rsid w:val="3CDE231E"/>
    <w:rsid w:val="3D245A63"/>
    <w:rsid w:val="3D254E4B"/>
    <w:rsid w:val="3D36346C"/>
    <w:rsid w:val="3D4269DA"/>
    <w:rsid w:val="3D430EA3"/>
    <w:rsid w:val="3D47560D"/>
    <w:rsid w:val="3D523BCD"/>
    <w:rsid w:val="3D645169"/>
    <w:rsid w:val="3D6933DE"/>
    <w:rsid w:val="3D7C3859"/>
    <w:rsid w:val="3D80607F"/>
    <w:rsid w:val="3D8F2120"/>
    <w:rsid w:val="3D8F30A0"/>
    <w:rsid w:val="3D990E61"/>
    <w:rsid w:val="3DA327E5"/>
    <w:rsid w:val="3DB01C7C"/>
    <w:rsid w:val="3DB334D8"/>
    <w:rsid w:val="3DBA1ADA"/>
    <w:rsid w:val="3DC355A6"/>
    <w:rsid w:val="3DC42D6E"/>
    <w:rsid w:val="3DD009EA"/>
    <w:rsid w:val="3DD05142"/>
    <w:rsid w:val="3DD122A2"/>
    <w:rsid w:val="3DD64752"/>
    <w:rsid w:val="3DD80DF7"/>
    <w:rsid w:val="3DE17E96"/>
    <w:rsid w:val="3DE26317"/>
    <w:rsid w:val="3DEB1B40"/>
    <w:rsid w:val="3DFC4E7F"/>
    <w:rsid w:val="3E097D00"/>
    <w:rsid w:val="3E2D1C0D"/>
    <w:rsid w:val="3E352B5B"/>
    <w:rsid w:val="3E3A2755"/>
    <w:rsid w:val="3E463101"/>
    <w:rsid w:val="3E5717D0"/>
    <w:rsid w:val="3E5E04B0"/>
    <w:rsid w:val="3E5F4189"/>
    <w:rsid w:val="3E6C1A3F"/>
    <w:rsid w:val="3E734A16"/>
    <w:rsid w:val="3E752133"/>
    <w:rsid w:val="3E7A5DA4"/>
    <w:rsid w:val="3E953235"/>
    <w:rsid w:val="3EAA3B18"/>
    <w:rsid w:val="3EAA555F"/>
    <w:rsid w:val="3EBD0BAE"/>
    <w:rsid w:val="3EC3774B"/>
    <w:rsid w:val="3ECC3927"/>
    <w:rsid w:val="3ECD2095"/>
    <w:rsid w:val="3EEF22EE"/>
    <w:rsid w:val="3EF02AD3"/>
    <w:rsid w:val="3F024C1A"/>
    <w:rsid w:val="3F0D0FA0"/>
    <w:rsid w:val="3F21052E"/>
    <w:rsid w:val="3F330C34"/>
    <w:rsid w:val="3F3917F4"/>
    <w:rsid w:val="3F397A0D"/>
    <w:rsid w:val="3F4A39C9"/>
    <w:rsid w:val="3F625E8E"/>
    <w:rsid w:val="3F6A673B"/>
    <w:rsid w:val="3F8C2A74"/>
    <w:rsid w:val="3FA70307"/>
    <w:rsid w:val="3FA7458E"/>
    <w:rsid w:val="3FB22390"/>
    <w:rsid w:val="3FCF1529"/>
    <w:rsid w:val="3FDD2A57"/>
    <w:rsid w:val="3FE37E33"/>
    <w:rsid w:val="3FF027C2"/>
    <w:rsid w:val="3FF55C7D"/>
    <w:rsid w:val="3FF676AC"/>
    <w:rsid w:val="400E03CE"/>
    <w:rsid w:val="401171AD"/>
    <w:rsid w:val="40225AF1"/>
    <w:rsid w:val="403D5148"/>
    <w:rsid w:val="403D6B94"/>
    <w:rsid w:val="40507C98"/>
    <w:rsid w:val="40580367"/>
    <w:rsid w:val="4061657E"/>
    <w:rsid w:val="40642B5B"/>
    <w:rsid w:val="40767673"/>
    <w:rsid w:val="407707ED"/>
    <w:rsid w:val="40892318"/>
    <w:rsid w:val="408E0789"/>
    <w:rsid w:val="40A76FA9"/>
    <w:rsid w:val="40AC084A"/>
    <w:rsid w:val="40D05FDB"/>
    <w:rsid w:val="40DB515E"/>
    <w:rsid w:val="40E30197"/>
    <w:rsid w:val="40E63D94"/>
    <w:rsid w:val="40EA1367"/>
    <w:rsid w:val="40EB151F"/>
    <w:rsid w:val="40ED4F53"/>
    <w:rsid w:val="40F25A91"/>
    <w:rsid w:val="411C387B"/>
    <w:rsid w:val="41292B74"/>
    <w:rsid w:val="41406E31"/>
    <w:rsid w:val="414E3836"/>
    <w:rsid w:val="41592854"/>
    <w:rsid w:val="416E516B"/>
    <w:rsid w:val="418812BB"/>
    <w:rsid w:val="418D4040"/>
    <w:rsid w:val="419E7FFC"/>
    <w:rsid w:val="419F3079"/>
    <w:rsid w:val="41AE3A67"/>
    <w:rsid w:val="41C95125"/>
    <w:rsid w:val="41EA02ED"/>
    <w:rsid w:val="42075BA1"/>
    <w:rsid w:val="4215282E"/>
    <w:rsid w:val="42166627"/>
    <w:rsid w:val="42225E0B"/>
    <w:rsid w:val="42383FB6"/>
    <w:rsid w:val="423D7815"/>
    <w:rsid w:val="424F30C2"/>
    <w:rsid w:val="425E14DB"/>
    <w:rsid w:val="42621029"/>
    <w:rsid w:val="426B4382"/>
    <w:rsid w:val="42725710"/>
    <w:rsid w:val="427358D4"/>
    <w:rsid w:val="42736D87"/>
    <w:rsid w:val="427E086F"/>
    <w:rsid w:val="42826F4F"/>
    <w:rsid w:val="428B0580"/>
    <w:rsid w:val="429A4E70"/>
    <w:rsid w:val="429E14C4"/>
    <w:rsid w:val="42A26186"/>
    <w:rsid w:val="42A94EAA"/>
    <w:rsid w:val="42BA0E65"/>
    <w:rsid w:val="42C13D5C"/>
    <w:rsid w:val="42DD74CF"/>
    <w:rsid w:val="42DF3579"/>
    <w:rsid w:val="42E264C2"/>
    <w:rsid w:val="42E85CD3"/>
    <w:rsid w:val="42F54D63"/>
    <w:rsid w:val="43011E27"/>
    <w:rsid w:val="430D368B"/>
    <w:rsid w:val="430F20A0"/>
    <w:rsid w:val="43135F0F"/>
    <w:rsid w:val="431B6CC7"/>
    <w:rsid w:val="43225F65"/>
    <w:rsid w:val="435720D9"/>
    <w:rsid w:val="43615785"/>
    <w:rsid w:val="43732880"/>
    <w:rsid w:val="43865952"/>
    <w:rsid w:val="438F0BB0"/>
    <w:rsid w:val="43993170"/>
    <w:rsid w:val="43BF04EA"/>
    <w:rsid w:val="43C05A1E"/>
    <w:rsid w:val="43CF4932"/>
    <w:rsid w:val="43D22CDA"/>
    <w:rsid w:val="43D354DC"/>
    <w:rsid w:val="4405353A"/>
    <w:rsid w:val="44063CF3"/>
    <w:rsid w:val="44072973"/>
    <w:rsid w:val="44095C00"/>
    <w:rsid w:val="44117E2D"/>
    <w:rsid w:val="441822E7"/>
    <w:rsid w:val="442F13DF"/>
    <w:rsid w:val="44426345"/>
    <w:rsid w:val="444B2816"/>
    <w:rsid w:val="445279AA"/>
    <w:rsid w:val="4453331F"/>
    <w:rsid w:val="445F3A86"/>
    <w:rsid w:val="4478636B"/>
    <w:rsid w:val="447A0DB3"/>
    <w:rsid w:val="447B4624"/>
    <w:rsid w:val="447D2B53"/>
    <w:rsid w:val="4481712B"/>
    <w:rsid w:val="44901E7E"/>
    <w:rsid w:val="449F54A7"/>
    <w:rsid w:val="44A1052F"/>
    <w:rsid w:val="44C93406"/>
    <w:rsid w:val="44D74994"/>
    <w:rsid w:val="44DD0E3B"/>
    <w:rsid w:val="44E67CEF"/>
    <w:rsid w:val="44F62875"/>
    <w:rsid w:val="45111EFE"/>
    <w:rsid w:val="451730A2"/>
    <w:rsid w:val="451955A3"/>
    <w:rsid w:val="45205199"/>
    <w:rsid w:val="45260B70"/>
    <w:rsid w:val="45357C2D"/>
    <w:rsid w:val="453A003B"/>
    <w:rsid w:val="45467C1A"/>
    <w:rsid w:val="45523E0A"/>
    <w:rsid w:val="45603F46"/>
    <w:rsid w:val="45784EE5"/>
    <w:rsid w:val="457C33A8"/>
    <w:rsid w:val="458804FE"/>
    <w:rsid w:val="458D57CB"/>
    <w:rsid w:val="4595726A"/>
    <w:rsid w:val="45C67177"/>
    <w:rsid w:val="45D048BE"/>
    <w:rsid w:val="45DE626C"/>
    <w:rsid w:val="45EB660D"/>
    <w:rsid w:val="45F13477"/>
    <w:rsid w:val="45FD7B3D"/>
    <w:rsid w:val="460A10C2"/>
    <w:rsid w:val="46220C85"/>
    <w:rsid w:val="46230254"/>
    <w:rsid w:val="46244F73"/>
    <w:rsid w:val="46287B26"/>
    <w:rsid w:val="462A00B0"/>
    <w:rsid w:val="462D24EF"/>
    <w:rsid w:val="46534E0B"/>
    <w:rsid w:val="4670640B"/>
    <w:rsid w:val="46753897"/>
    <w:rsid w:val="467A71EB"/>
    <w:rsid w:val="46867477"/>
    <w:rsid w:val="468A02AD"/>
    <w:rsid w:val="468B3DD1"/>
    <w:rsid w:val="469043B7"/>
    <w:rsid w:val="46BF4C9C"/>
    <w:rsid w:val="46C936C8"/>
    <w:rsid w:val="46CB1893"/>
    <w:rsid w:val="46D87DE5"/>
    <w:rsid w:val="46E556A4"/>
    <w:rsid w:val="46E97F6B"/>
    <w:rsid w:val="46EA25E1"/>
    <w:rsid w:val="46EB1077"/>
    <w:rsid w:val="470C2558"/>
    <w:rsid w:val="472127B7"/>
    <w:rsid w:val="472165B7"/>
    <w:rsid w:val="47277064"/>
    <w:rsid w:val="47323C17"/>
    <w:rsid w:val="4743767B"/>
    <w:rsid w:val="474C305D"/>
    <w:rsid w:val="474E29C1"/>
    <w:rsid w:val="475569C5"/>
    <w:rsid w:val="475A49C5"/>
    <w:rsid w:val="475E44B5"/>
    <w:rsid w:val="476121D8"/>
    <w:rsid w:val="476A063C"/>
    <w:rsid w:val="477C748E"/>
    <w:rsid w:val="478A7058"/>
    <w:rsid w:val="47941208"/>
    <w:rsid w:val="47A101B2"/>
    <w:rsid w:val="47BF2852"/>
    <w:rsid w:val="47BF386C"/>
    <w:rsid w:val="47C3256A"/>
    <w:rsid w:val="47C95C6C"/>
    <w:rsid w:val="47EC7022"/>
    <w:rsid w:val="47FC7940"/>
    <w:rsid w:val="48030B33"/>
    <w:rsid w:val="48046015"/>
    <w:rsid w:val="4819316F"/>
    <w:rsid w:val="482F5E51"/>
    <w:rsid w:val="483F125D"/>
    <w:rsid w:val="48580B32"/>
    <w:rsid w:val="485B43A9"/>
    <w:rsid w:val="48635024"/>
    <w:rsid w:val="486C0E54"/>
    <w:rsid w:val="487B675C"/>
    <w:rsid w:val="48A95C04"/>
    <w:rsid w:val="48B22238"/>
    <w:rsid w:val="48B33076"/>
    <w:rsid w:val="48C4330A"/>
    <w:rsid w:val="48D55EB3"/>
    <w:rsid w:val="48DA0701"/>
    <w:rsid w:val="48DF324A"/>
    <w:rsid w:val="48E052EC"/>
    <w:rsid w:val="48E65AEE"/>
    <w:rsid w:val="48F50E49"/>
    <w:rsid w:val="48F80CE7"/>
    <w:rsid w:val="49096FCD"/>
    <w:rsid w:val="491D7C08"/>
    <w:rsid w:val="494625B6"/>
    <w:rsid w:val="49507E2D"/>
    <w:rsid w:val="49512BB1"/>
    <w:rsid w:val="495E0009"/>
    <w:rsid w:val="49641F5D"/>
    <w:rsid w:val="49666B6B"/>
    <w:rsid w:val="496F2CCC"/>
    <w:rsid w:val="498F64FC"/>
    <w:rsid w:val="49AD1724"/>
    <w:rsid w:val="49BE7E39"/>
    <w:rsid w:val="49C40005"/>
    <w:rsid w:val="49C65419"/>
    <w:rsid w:val="49D04BAB"/>
    <w:rsid w:val="49EA0282"/>
    <w:rsid w:val="49EA17C4"/>
    <w:rsid w:val="49EF440A"/>
    <w:rsid w:val="4A1A2F12"/>
    <w:rsid w:val="4A2C7C77"/>
    <w:rsid w:val="4A321C6F"/>
    <w:rsid w:val="4A366D8C"/>
    <w:rsid w:val="4A375709"/>
    <w:rsid w:val="4A475BFC"/>
    <w:rsid w:val="4A4E1094"/>
    <w:rsid w:val="4A561717"/>
    <w:rsid w:val="4A5D3269"/>
    <w:rsid w:val="4A606796"/>
    <w:rsid w:val="4A717D8F"/>
    <w:rsid w:val="4A7D0F83"/>
    <w:rsid w:val="4A834A22"/>
    <w:rsid w:val="4A8815D3"/>
    <w:rsid w:val="4A9454F9"/>
    <w:rsid w:val="4A972DF7"/>
    <w:rsid w:val="4A992274"/>
    <w:rsid w:val="4AA77F21"/>
    <w:rsid w:val="4AAA2276"/>
    <w:rsid w:val="4AB64534"/>
    <w:rsid w:val="4ABD14F2"/>
    <w:rsid w:val="4AC66642"/>
    <w:rsid w:val="4AC87549"/>
    <w:rsid w:val="4AD37353"/>
    <w:rsid w:val="4ADC6651"/>
    <w:rsid w:val="4AE2340C"/>
    <w:rsid w:val="4AE72A13"/>
    <w:rsid w:val="4AFF6999"/>
    <w:rsid w:val="4B0E61F2"/>
    <w:rsid w:val="4B21257E"/>
    <w:rsid w:val="4B290FE3"/>
    <w:rsid w:val="4B322207"/>
    <w:rsid w:val="4B3B5793"/>
    <w:rsid w:val="4B58050B"/>
    <w:rsid w:val="4B5A25F7"/>
    <w:rsid w:val="4B6A0768"/>
    <w:rsid w:val="4B6B0CBD"/>
    <w:rsid w:val="4B705719"/>
    <w:rsid w:val="4B7B47F9"/>
    <w:rsid w:val="4BA563FE"/>
    <w:rsid w:val="4BB77663"/>
    <w:rsid w:val="4BC54DE5"/>
    <w:rsid w:val="4BCB7306"/>
    <w:rsid w:val="4BD52968"/>
    <w:rsid w:val="4BD91D02"/>
    <w:rsid w:val="4BE2600E"/>
    <w:rsid w:val="4BE57820"/>
    <w:rsid w:val="4BF657A1"/>
    <w:rsid w:val="4BFB7B74"/>
    <w:rsid w:val="4C0457A1"/>
    <w:rsid w:val="4C3F2C78"/>
    <w:rsid w:val="4C42244E"/>
    <w:rsid w:val="4C437DCE"/>
    <w:rsid w:val="4C6D3DA8"/>
    <w:rsid w:val="4C727CFA"/>
    <w:rsid w:val="4C88081B"/>
    <w:rsid w:val="4C8872A2"/>
    <w:rsid w:val="4C9C19F3"/>
    <w:rsid w:val="4CA47183"/>
    <w:rsid w:val="4CB7606E"/>
    <w:rsid w:val="4CDE1861"/>
    <w:rsid w:val="4CF745DE"/>
    <w:rsid w:val="4CFC57E0"/>
    <w:rsid w:val="4D087B01"/>
    <w:rsid w:val="4D0B58BC"/>
    <w:rsid w:val="4D0C050F"/>
    <w:rsid w:val="4D0C2AD5"/>
    <w:rsid w:val="4D2059FA"/>
    <w:rsid w:val="4D2E3574"/>
    <w:rsid w:val="4D451B18"/>
    <w:rsid w:val="4D4D5AFE"/>
    <w:rsid w:val="4D502AF2"/>
    <w:rsid w:val="4D5C07F9"/>
    <w:rsid w:val="4D755736"/>
    <w:rsid w:val="4DAC0A3B"/>
    <w:rsid w:val="4DB92102"/>
    <w:rsid w:val="4DBA3E20"/>
    <w:rsid w:val="4DBC5B64"/>
    <w:rsid w:val="4DC679DB"/>
    <w:rsid w:val="4DE61D12"/>
    <w:rsid w:val="4DF1146E"/>
    <w:rsid w:val="4DF53699"/>
    <w:rsid w:val="4DF82017"/>
    <w:rsid w:val="4E0E661C"/>
    <w:rsid w:val="4E1E3790"/>
    <w:rsid w:val="4E2E44B5"/>
    <w:rsid w:val="4E4C57ED"/>
    <w:rsid w:val="4E5505A6"/>
    <w:rsid w:val="4E820BD8"/>
    <w:rsid w:val="4E874C8C"/>
    <w:rsid w:val="4E8D729C"/>
    <w:rsid w:val="4E8E1C0C"/>
    <w:rsid w:val="4E9609D8"/>
    <w:rsid w:val="4E98004C"/>
    <w:rsid w:val="4EA5208F"/>
    <w:rsid w:val="4EAE617F"/>
    <w:rsid w:val="4EBD702F"/>
    <w:rsid w:val="4EC310A1"/>
    <w:rsid w:val="4EC818B0"/>
    <w:rsid w:val="4ECB59F9"/>
    <w:rsid w:val="4ECE1CAC"/>
    <w:rsid w:val="4EE414BB"/>
    <w:rsid w:val="4EE87B84"/>
    <w:rsid w:val="4EFE0DEE"/>
    <w:rsid w:val="4EFF65C5"/>
    <w:rsid w:val="4F0052D1"/>
    <w:rsid w:val="4F014784"/>
    <w:rsid w:val="4F0431E6"/>
    <w:rsid w:val="4F1B712F"/>
    <w:rsid w:val="4F1C605F"/>
    <w:rsid w:val="4F254824"/>
    <w:rsid w:val="4F2658BE"/>
    <w:rsid w:val="4F42646A"/>
    <w:rsid w:val="4F4736A7"/>
    <w:rsid w:val="4F7914EF"/>
    <w:rsid w:val="4F9174FD"/>
    <w:rsid w:val="4F9402D2"/>
    <w:rsid w:val="4FB10142"/>
    <w:rsid w:val="4FB82BD0"/>
    <w:rsid w:val="4FC643B6"/>
    <w:rsid w:val="4FD1578E"/>
    <w:rsid w:val="4FE10E76"/>
    <w:rsid w:val="4FEE2189"/>
    <w:rsid w:val="4FF71C3D"/>
    <w:rsid w:val="50016856"/>
    <w:rsid w:val="5008518B"/>
    <w:rsid w:val="500B32A2"/>
    <w:rsid w:val="501A4DE6"/>
    <w:rsid w:val="502B6647"/>
    <w:rsid w:val="502B6EFE"/>
    <w:rsid w:val="50324E90"/>
    <w:rsid w:val="504C1B11"/>
    <w:rsid w:val="504E68CB"/>
    <w:rsid w:val="505F48A5"/>
    <w:rsid w:val="506472D4"/>
    <w:rsid w:val="50666C7A"/>
    <w:rsid w:val="507460A4"/>
    <w:rsid w:val="5094445D"/>
    <w:rsid w:val="509C0D4E"/>
    <w:rsid w:val="50A23A1E"/>
    <w:rsid w:val="50AC44E3"/>
    <w:rsid w:val="50B57EA9"/>
    <w:rsid w:val="50BC2B26"/>
    <w:rsid w:val="50BE1984"/>
    <w:rsid w:val="50D141C6"/>
    <w:rsid w:val="50D94FDD"/>
    <w:rsid w:val="50F115EA"/>
    <w:rsid w:val="50F72C9C"/>
    <w:rsid w:val="50FC0DB6"/>
    <w:rsid w:val="511107EA"/>
    <w:rsid w:val="511F2007"/>
    <w:rsid w:val="51271E2F"/>
    <w:rsid w:val="51342CAA"/>
    <w:rsid w:val="51366F32"/>
    <w:rsid w:val="51406A38"/>
    <w:rsid w:val="514B4E4E"/>
    <w:rsid w:val="516578E1"/>
    <w:rsid w:val="517174DB"/>
    <w:rsid w:val="518049FF"/>
    <w:rsid w:val="51932FAD"/>
    <w:rsid w:val="51A06E66"/>
    <w:rsid w:val="51AF590D"/>
    <w:rsid w:val="51B475E9"/>
    <w:rsid w:val="51BA020E"/>
    <w:rsid w:val="51C05FF6"/>
    <w:rsid w:val="51D135DE"/>
    <w:rsid w:val="51DF4444"/>
    <w:rsid w:val="51ED6B61"/>
    <w:rsid w:val="51F65295"/>
    <w:rsid w:val="51F872B4"/>
    <w:rsid w:val="51FD3DB6"/>
    <w:rsid w:val="52097713"/>
    <w:rsid w:val="520C3BB6"/>
    <w:rsid w:val="52252174"/>
    <w:rsid w:val="52295AE6"/>
    <w:rsid w:val="522D0E7F"/>
    <w:rsid w:val="523E4D62"/>
    <w:rsid w:val="5243507E"/>
    <w:rsid w:val="525402A0"/>
    <w:rsid w:val="52554706"/>
    <w:rsid w:val="525F5585"/>
    <w:rsid w:val="528D41E4"/>
    <w:rsid w:val="52BF5C92"/>
    <w:rsid w:val="52C2167A"/>
    <w:rsid w:val="52C7794C"/>
    <w:rsid w:val="52D279CD"/>
    <w:rsid w:val="52D32ADF"/>
    <w:rsid w:val="52E45ACB"/>
    <w:rsid w:val="52E71802"/>
    <w:rsid w:val="52F47AFB"/>
    <w:rsid w:val="53071B37"/>
    <w:rsid w:val="530A5973"/>
    <w:rsid w:val="531169F3"/>
    <w:rsid w:val="531348FB"/>
    <w:rsid w:val="53275D3D"/>
    <w:rsid w:val="532760A3"/>
    <w:rsid w:val="533354CF"/>
    <w:rsid w:val="533407C0"/>
    <w:rsid w:val="53346B96"/>
    <w:rsid w:val="535D5DC8"/>
    <w:rsid w:val="537A3167"/>
    <w:rsid w:val="537D2360"/>
    <w:rsid w:val="53811E50"/>
    <w:rsid w:val="53B22465"/>
    <w:rsid w:val="53B72F65"/>
    <w:rsid w:val="53BE3989"/>
    <w:rsid w:val="53D83751"/>
    <w:rsid w:val="53D85151"/>
    <w:rsid w:val="53E844A9"/>
    <w:rsid w:val="53FD2AC2"/>
    <w:rsid w:val="5409404E"/>
    <w:rsid w:val="54134B75"/>
    <w:rsid w:val="54164746"/>
    <w:rsid w:val="541F238F"/>
    <w:rsid w:val="542E2ADC"/>
    <w:rsid w:val="543341B9"/>
    <w:rsid w:val="543415ED"/>
    <w:rsid w:val="5438608E"/>
    <w:rsid w:val="544607AB"/>
    <w:rsid w:val="544B7F7E"/>
    <w:rsid w:val="54501D22"/>
    <w:rsid w:val="546146EB"/>
    <w:rsid w:val="54680D66"/>
    <w:rsid w:val="54685AA1"/>
    <w:rsid w:val="547D06FB"/>
    <w:rsid w:val="547D14B1"/>
    <w:rsid w:val="54857DDB"/>
    <w:rsid w:val="548C678B"/>
    <w:rsid w:val="54905199"/>
    <w:rsid w:val="54914216"/>
    <w:rsid w:val="549273A9"/>
    <w:rsid w:val="549405C7"/>
    <w:rsid w:val="549D6C55"/>
    <w:rsid w:val="54CA07F6"/>
    <w:rsid w:val="54E979F3"/>
    <w:rsid w:val="54EF0774"/>
    <w:rsid w:val="54F2448F"/>
    <w:rsid w:val="54FE2E33"/>
    <w:rsid w:val="550B2DC8"/>
    <w:rsid w:val="5520724E"/>
    <w:rsid w:val="5540169E"/>
    <w:rsid w:val="55466588"/>
    <w:rsid w:val="5547793A"/>
    <w:rsid w:val="554C32B2"/>
    <w:rsid w:val="55501E76"/>
    <w:rsid w:val="55701D69"/>
    <w:rsid w:val="55731E3E"/>
    <w:rsid w:val="557A0272"/>
    <w:rsid w:val="557E29D7"/>
    <w:rsid w:val="558F2195"/>
    <w:rsid w:val="55900035"/>
    <w:rsid w:val="55AF798B"/>
    <w:rsid w:val="55CA70E8"/>
    <w:rsid w:val="55ED4967"/>
    <w:rsid w:val="55F350C4"/>
    <w:rsid w:val="561B14C6"/>
    <w:rsid w:val="561B7A15"/>
    <w:rsid w:val="56247722"/>
    <w:rsid w:val="56342FDD"/>
    <w:rsid w:val="56467B64"/>
    <w:rsid w:val="565626F9"/>
    <w:rsid w:val="565671A2"/>
    <w:rsid w:val="56685CA8"/>
    <w:rsid w:val="56694C24"/>
    <w:rsid w:val="56740DC7"/>
    <w:rsid w:val="56753961"/>
    <w:rsid w:val="5677558B"/>
    <w:rsid w:val="569C2904"/>
    <w:rsid w:val="56AA3219"/>
    <w:rsid w:val="56CF2574"/>
    <w:rsid w:val="56CF424D"/>
    <w:rsid w:val="56DE4C00"/>
    <w:rsid w:val="570847EE"/>
    <w:rsid w:val="573270B5"/>
    <w:rsid w:val="57331689"/>
    <w:rsid w:val="57443B56"/>
    <w:rsid w:val="57614844"/>
    <w:rsid w:val="57664CC0"/>
    <w:rsid w:val="576A00D2"/>
    <w:rsid w:val="576A530D"/>
    <w:rsid w:val="57971A40"/>
    <w:rsid w:val="579E4D2D"/>
    <w:rsid w:val="57A24175"/>
    <w:rsid w:val="57B75717"/>
    <w:rsid w:val="57C470D2"/>
    <w:rsid w:val="57C77E19"/>
    <w:rsid w:val="57CA488B"/>
    <w:rsid w:val="57DB3900"/>
    <w:rsid w:val="57DB47FB"/>
    <w:rsid w:val="580846BB"/>
    <w:rsid w:val="5816050F"/>
    <w:rsid w:val="581D5CC6"/>
    <w:rsid w:val="58205F1A"/>
    <w:rsid w:val="582468CD"/>
    <w:rsid w:val="582840C5"/>
    <w:rsid w:val="583074F9"/>
    <w:rsid w:val="583515AC"/>
    <w:rsid w:val="584B45E2"/>
    <w:rsid w:val="584C2587"/>
    <w:rsid w:val="585127AA"/>
    <w:rsid w:val="585D5314"/>
    <w:rsid w:val="58603D47"/>
    <w:rsid w:val="58743A0C"/>
    <w:rsid w:val="58BB3CCE"/>
    <w:rsid w:val="58C97BB5"/>
    <w:rsid w:val="58CD3249"/>
    <w:rsid w:val="58DE0E81"/>
    <w:rsid w:val="59125866"/>
    <w:rsid w:val="5915352F"/>
    <w:rsid w:val="591B0458"/>
    <w:rsid w:val="59232E69"/>
    <w:rsid w:val="59304651"/>
    <w:rsid w:val="593E2965"/>
    <w:rsid w:val="594856C1"/>
    <w:rsid w:val="59486EBB"/>
    <w:rsid w:val="59493AFE"/>
    <w:rsid w:val="594C38F9"/>
    <w:rsid w:val="594C4A1E"/>
    <w:rsid w:val="59567838"/>
    <w:rsid w:val="59700D18"/>
    <w:rsid w:val="5970491E"/>
    <w:rsid w:val="597304CA"/>
    <w:rsid w:val="59794C92"/>
    <w:rsid w:val="597A0373"/>
    <w:rsid w:val="598803B1"/>
    <w:rsid w:val="59A5117A"/>
    <w:rsid w:val="59A937D5"/>
    <w:rsid w:val="59BA6CB3"/>
    <w:rsid w:val="59BA6CC4"/>
    <w:rsid w:val="59DB746A"/>
    <w:rsid w:val="59F2154E"/>
    <w:rsid w:val="59F9691A"/>
    <w:rsid w:val="5A012975"/>
    <w:rsid w:val="5A0233C6"/>
    <w:rsid w:val="5A097A39"/>
    <w:rsid w:val="5A112448"/>
    <w:rsid w:val="5A1E417A"/>
    <w:rsid w:val="5A266C4C"/>
    <w:rsid w:val="5A2D3B53"/>
    <w:rsid w:val="5A3B2434"/>
    <w:rsid w:val="5A6457FD"/>
    <w:rsid w:val="5A645A7F"/>
    <w:rsid w:val="5A653116"/>
    <w:rsid w:val="5A7035CD"/>
    <w:rsid w:val="5A7E3799"/>
    <w:rsid w:val="5A873ECB"/>
    <w:rsid w:val="5A934A0F"/>
    <w:rsid w:val="5A957C98"/>
    <w:rsid w:val="5A9E6D6F"/>
    <w:rsid w:val="5AAC50E0"/>
    <w:rsid w:val="5AAD60EA"/>
    <w:rsid w:val="5AB61DE0"/>
    <w:rsid w:val="5ACB527F"/>
    <w:rsid w:val="5AD7761B"/>
    <w:rsid w:val="5AFE3E43"/>
    <w:rsid w:val="5B072DB6"/>
    <w:rsid w:val="5B19492B"/>
    <w:rsid w:val="5B233465"/>
    <w:rsid w:val="5B2630E4"/>
    <w:rsid w:val="5B506B61"/>
    <w:rsid w:val="5B5F0F2E"/>
    <w:rsid w:val="5B667984"/>
    <w:rsid w:val="5B6B796C"/>
    <w:rsid w:val="5B7C0F56"/>
    <w:rsid w:val="5B9808C1"/>
    <w:rsid w:val="5BB10CB2"/>
    <w:rsid w:val="5BC16A09"/>
    <w:rsid w:val="5BC86C25"/>
    <w:rsid w:val="5C012CC6"/>
    <w:rsid w:val="5C3B496D"/>
    <w:rsid w:val="5C503DE0"/>
    <w:rsid w:val="5C5435D1"/>
    <w:rsid w:val="5C5C5BA5"/>
    <w:rsid w:val="5C6C0FCA"/>
    <w:rsid w:val="5C8005D2"/>
    <w:rsid w:val="5C8C4702"/>
    <w:rsid w:val="5C936557"/>
    <w:rsid w:val="5C943DBC"/>
    <w:rsid w:val="5C997625"/>
    <w:rsid w:val="5CA57080"/>
    <w:rsid w:val="5CA77E21"/>
    <w:rsid w:val="5CAF0BE0"/>
    <w:rsid w:val="5CB458BA"/>
    <w:rsid w:val="5CDC782C"/>
    <w:rsid w:val="5CE23DAC"/>
    <w:rsid w:val="5CE73917"/>
    <w:rsid w:val="5D0A73AF"/>
    <w:rsid w:val="5D120F26"/>
    <w:rsid w:val="5D1F603D"/>
    <w:rsid w:val="5D376039"/>
    <w:rsid w:val="5D3E31E9"/>
    <w:rsid w:val="5D436E42"/>
    <w:rsid w:val="5D63667B"/>
    <w:rsid w:val="5D6F2EDA"/>
    <w:rsid w:val="5D783847"/>
    <w:rsid w:val="5D83037A"/>
    <w:rsid w:val="5D9941C1"/>
    <w:rsid w:val="5DA92832"/>
    <w:rsid w:val="5DAE502B"/>
    <w:rsid w:val="5DB466F3"/>
    <w:rsid w:val="5DB915F2"/>
    <w:rsid w:val="5DBC60F3"/>
    <w:rsid w:val="5DCB1D21"/>
    <w:rsid w:val="5DCD5A99"/>
    <w:rsid w:val="5DDA5440"/>
    <w:rsid w:val="5DDD5947"/>
    <w:rsid w:val="5DDF393D"/>
    <w:rsid w:val="5DDF6E4E"/>
    <w:rsid w:val="5DFA49E0"/>
    <w:rsid w:val="5E1D0F80"/>
    <w:rsid w:val="5E1F3B6D"/>
    <w:rsid w:val="5E224037"/>
    <w:rsid w:val="5E352C38"/>
    <w:rsid w:val="5E3E40FF"/>
    <w:rsid w:val="5E40706E"/>
    <w:rsid w:val="5E4C1080"/>
    <w:rsid w:val="5E4E1C8A"/>
    <w:rsid w:val="5E4F4071"/>
    <w:rsid w:val="5E5D7A78"/>
    <w:rsid w:val="5E7833A1"/>
    <w:rsid w:val="5E8274BA"/>
    <w:rsid w:val="5E8530EF"/>
    <w:rsid w:val="5EA06D09"/>
    <w:rsid w:val="5EA53C9A"/>
    <w:rsid w:val="5EB822A5"/>
    <w:rsid w:val="5EBC7F37"/>
    <w:rsid w:val="5ECE7D1A"/>
    <w:rsid w:val="5ED36C86"/>
    <w:rsid w:val="5EDA60B0"/>
    <w:rsid w:val="5EE35A57"/>
    <w:rsid w:val="5F1645A7"/>
    <w:rsid w:val="5F49114F"/>
    <w:rsid w:val="5F6A54DD"/>
    <w:rsid w:val="5F815969"/>
    <w:rsid w:val="5F8B4FA7"/>
    <w:rsid w:val="5F9B72D1"/>
    <w:rsid w:val="5FAB0A44"/>
    <w:rsid w:val="5FB17C29"/>
    <w:rsid w:val="5FB34738"/>
    <w:rsid w:val="5FB95E1C"/>
    <w:rsid w:val="5FC353A5"/>
    <w:rsid w:val="5FC85F82"/>
    <w:rsid w:val="5FCB3FE5"/>
    <w:rsid w:val="5FDC5EDE"/>
    <w:rsid w:val="5FEB2206"/>
    <w:rsid w:val="5FED772C"/>
    <w:rsid w:val="5FF97EAE"/>
    <w:rsid w:val="60155C27"/>
    <w:rsid w:val="60162D11"/>
    <w:rsid w:val="601A6070"/>
    <w:rsid w:val="60226F8B"/>
    <w:rsid w:val="603B4F3C"/>
    <w:rsid w:val="60477ABF"/>
    <w:rsid w:val="604B06AE"/>
    <w:rsid w:val="60526566"/>
    <w:rsid w:val="607F756F"/>
    <w:rsid w:val="60917251"/>
    <w:rsid w:val="60982996"/>
    <w:rsid w:val="60C53D01"/>
    <w:rsid w:val="60C9018D"/>
    <w:rsid w:val="60DA12FD"/>
    <w:rsid w:val="61012C93"/>
    <w:rsid w:val="61053FC5"/>
    <w:rsid w:val="610C088E"/>
    <w:rsid w:val="614A03E6"/>
    <w:rsid w:val="61531A50"/>
    <w:rsid w:val="61532201"/>
    <w:rsid w:val="61651210"/>
    <w:rsid w:val="61666018"/>
    <w:rsid w:val="616B46BB"/>
    <w:rsid w:val="616E1CFF"/>
    <w:rsid w:val="616E5EB6"/>
    <w:rsid w:val="617526CF"/>
    <w:rsid w:val="618560EB"/>
    <w:rsid w:val="618E3791"/>
    <w:rsid w:val="619743F4"/>
    <w:rsid w:val="619B5D77"/>
    <w:rsid w:val="61B10243"/>
    <w:rsid w:val="61BB2DD9"/>
    <w:rsid w:val="61C00B2F"/>
    <w:rsid w:val="61C3411F"/>
    <w:rsid w:val="61DD1B9A"/>
    <w:rsid w:val="61E136F6"/>
    <w:rsid w:val="61F4426B"/>
    <w:rsid w:val="61F83805"/>
    <w:rsid w:val="62022776"/>
    <w:rsid w:val="6205764C"/>
    <w:rsid w:val="621F13DC"/>
    <w:rsid w:val="62256C85"/>
    <w:rsid w:val="623600B0"/>
    <w:rsid w:val="62562501"/>
    <w:rsid w:val="6256299E"/>
    <w:rsid w:val="62574D95"/>
    <w:rsid w:val="62583769"/>
    <w:rsid w:val="62586747"/>
    <w:rsid w:val="626C60B7"/>
    <w:rsid w:val="62746498"/>
    <w:rsid w:val="62922E0D"/>
    <w:rsid w:val="62982A5C"/>
    <w:rsid w:val="62CB6D60"/>
    <w:rsid w:val="62E358B2"/>
    <w:rsid w:val="62EA49F7"/>
    <w:rsid w:val="62F154C5"/>
    <w:rsid w:val="62FD0A5D"/>
    <w:rsid w:val="63162338"/>
    <w:rsid w:val="632036E4"/>
    <w:rsid w:val="63232EB3"/>
    <w:rsid w:val="63267478"/>
    <w:rsid w:val="633D315E"/>
    <w:rsid w:val="63504ABF"/>
    <w:rsid w:val="63517786"/>
    <w:rsid w:val="637052D7"/>
    <w:rsid w:val="6388739F"/>
    <w:rsid w:val="6389099E"/>
    <w:rsid w:val="63954DAA"/>
    <w:rsid w:val="63C74AA3"/>
    <w:rsid w:val="63D87748"/>
    <w:rsid w:val="63DE2EEF"/>
    <w:rsid w:val="63E8362C"/>
    <w:rsid w:val="63F16145"/>
    <w:rsid w:val="64024CFF"/>
    <w:rsid w:val="641D22DD"/>
    <w:rsid w:val="64426DE8"/>
    <w:rsid w:val="645B3151"/>
    <w:rsid w:val="646A170C"/>
    <w:rsid w:val="64701038"/>
    <w:rsid w:val="64722EF6"/>
    <w:rsid w:val="64797A3F"/>
    <w:rsid w:val="647B4B09"/>
    <w:rsid w:val="647B6F79"/>
    <w:rsid w:val="64815AEE"/>
    <w:rsid w:val="648937A8"/>
    <w:rsid w:val="648B1BA9"/>
    <w:rsid w:val="648D0F64"/>
    <w:rsid w:val="649449E8"/>
    <w:rsid w:val="649D5D6D"/>
    <w:rsid w:val="64A9391A"/>
    <w:rsid w:val="64AF7CA6"/>
    <w:rsid w:val="64D77B16"/>
    <w:rsid w:val="64F55A2C"/>
    <w:rsid w:val="64F953C5"/>
    <w:rsid w:val="651B533C"/>
    <w:rsid w:val="651E27DC"/>
    <w:rsid w:val="65206DF6"/>
    <w:rsid w:val="65291D8F"/>
    <w:rsid w:val="65570D94"/>
    <w:rsid w:val="655774EE"/>
    <w:rsid w:val="65795592"/>
    <w:rsid w:val="65A10F4D"/>
    <w:rsid w:val="65A93335"/>
    <w:rsid w:val="65B51681"/>
    <w:rsid w:val="65B765E2"/>
    <w:rsid w:val="65BC5BDE"/>
    <w:rsid w:val="65CB4FB4"/>
    <w:rsid w:val="65D3678B"/>
    <w:rsid w:val="65DB69B9"/>
    <w:rsid w:val="65E142CF"/>
    <w:rsid w:val="65F16DEF"/>
    <w:rsid w:val="65FF5B93"/>
    <w:rsid w:val="660540EE"/>
    <w:rsid w:val="66081715"/>
    <w:rsid w:val="661673E0"/>
    <w:rsid w:val="661A1A97"/>
    <w:rsid w:val="661A3845"/>
    <w:rsid w:val="661B00EA"/>
    <w:rsid w:val="661D360B"/>
    <w:rsid w:val="66523C3F"/>
    <w:rsid w:val="66541F53"/>
    <w:rsid w:val="665C126F"/>
    <w:rsid w:val="6660647F"/>
    <w:rsid w:val="66613222"/>
    <w:rsid w:val="66820F47"/>
    <w:rsid w:val="668A782A"/>
    <w:rsid w:val="66AF1795"/>
    <w:rsid w:val="66B07CC1"/>
    <w:rsid w:val="66B14B24"/>
    <w:rsid w:val="66B27D18"/>
    <w:rsid w:val="66D1442C"/>
    <w:rsid w:val="66D47E7F"/>
    <w:rsid w:val="66D64E5B"/>
    <w:rsid w:val="66DD089D"/>
    <w:rsid w:val="66DE592A"/>
    <w:rsid w:val="66F0016C"/>
    <w:rsid w:val="66FA0812"/>
    <w:rsid w:val="66FB2BD0"/>
    <w:rsid w:val="66FC2971"/>
    <w:rsid w:val="670008EB"/>
    <w:rsid w:val="67103ED9"/>
    <w:rsid w:val="67262B05"/>
    <w:rsid w:val="672C7CD4"/>
    <w:rsid w:val="674E513F"/>
    <w:rsid w:val="674E6BDA"/>
    <w:rsid w:val="67610E75"/>
    <w:rsid w:val="676F0F89"/>
    <w:rsid w:val="677178CC"/>
    <w:rsid w:val="677977BA"/>
    <w:rsid w:val="67797A29"/>
    <w:rsid w:val="678952B2"/>
    <w:rsid w:val="679D31F9"/>
    <w:rsid w:val="679D3BF4"/>
    <w:rsid w:val="679D472E"/>
    <w:rsid w:val="67A41618"/>
    <w:rsid w:val="67AE4749"/>
    <w:rsid w:val="67C56A11"/>
    <w:rsid w:val="67DC3A63"/>
    <w:rsid w:val="67E071EA"/>
    <w:rsid w:val="67FC4971"/>
    <w:rsid w:val="68221BAF"/>
    <w:rsid w:val="682D62D9"/>
    <w:rsid w:val="685143BC"/>
    <w:rsid w:val="68542A0A"/>
    <w:rsid w:val="68555296"/>
    <w:rsid w:val="685A68BE"/>
    <w:rsid w:val="686C1E80"/>
    <w:rsid w:val="68816836"/>
    <w:rsid w:val="689079C3"/>
    <w:rsid w:val="689A2A1B"/>
    <w:rsid w:val="68B95597"/>
    <w:rsid w:val="68D46A71"/>
    <w:rsid w:val="68D56910"/>
    <w:rsid w:val="68EF70C5"/>
    <w:rsid w:val="68F22D9F"/>
    <w:rsid w:val="69162C86"/>
    <w:rsid w:val="69180AD7"/>
    <w:rsid w:val="69214083"/>
    <w:rsid w:val="69456B9A"/>
    <w:rsid w:val="69481344"/>
    <w:rsid w:val="695700E3"/>
    <w:rsid w:val="6980516E"/>
    <w:rsid w:val="698B51FD"/>
    <w:rsid w:val="69960468"/>
    <w:rsid w:val="69A109AD"/>
    <w:rsid w:val="69B875FD"/>
    <w:rsid w:val="69D5796F"/>
    <w:rsid w:val="69E00AE8"/>
    <w:rsid w:val="69E2467A"/>
    <w:rsid w:val="69F101EA"/>
    <w:rsid w:val="69F448E4"/>
    <w:rsid w:val="6A0606AA"/>
    <w:rsid w:val="6A090874"/>
    <w:rsid w:val="6A0F6D29"/>
    <w:rsid w:val="6A1231B1"/>
    <w:rsid w:val="6A1B780C"/>
    <w:rsid w:val="6A206086"/>
    <w:rsid w:val="6A3F0B90"/>
    <w:rsid w:val="6A3F71AB"/>
    <w:rsid w:val="6A407F9F"/>
    <w:rsid w:val="6A425119"/>
    <w:rsid w:val="6A4620BF"/>
    <w:rsid w:val="6A4D5F32"/>
    <w:rsid w:val="6A5D65D9"/>
    <w:rsid w:val="6A6908F7"/>
    <w:rsid w:val="6A722F0B"/>
    <w:rsid w:val="6A7A4D5B"/>
    <w:rsid w:val="6A7E7518"/>
    <w:rsid w:val="6A825953"/>
    <w:rsid w:val="6A881C38"/>
    <w:rsid w:val="6A8A11E6"/>
    <w:rsid w:val="6A8B2F63"/>
    <w:rsid w:val="6A955B90"/>
    <w:rsid w:val="6A9C6F1F"/>
    <w:rsid w:val="6AC034F3"/>
    <w:rsid w:val="6AC96987"/>
    <w:rsid w:val="6AD24017"/>
    <w:rsid w:val="6AD42C61"/>
    <w:rsid w:val="6AE14092"/>
    <w:rsid w:val="6AEA323D"/>
    <w:rsid w:val="6AF07997"/>
    <w:rsid w:val="6AF5032D"/>
    <w:rsid w:val="6AFB2812"/>
    <w:rsid w:val="6AFF182D"/>
    <w:rsid w:val="6B032C8C"/>
    <w:rsid w:val="6B0F64B4"/>
    <w:rsid w:val="6B243303"/>
    <w:rsid w:val="6B3569BE"/>
    <w:rsid w:val="6B3A1CE8"/>
    <w:rsid w:val="6B3E4E41"/>
    <w:rsid w:val="6B4D49EF"/>
    <w:rsid w:val="6B556078"/>
    <w:rsid w:val="6B565CD0"/>
    <w:rsid w:val="6B68013D"/>
    <w:rsid w:val="6B7022D0"/>
    <w:rsid w:val="6B7B5422"/>
    <w:rsid w:val="6B852192"/>
    <w:rsid w:val="6B925A32"/>
    <w:rsid w:val="6B9C4F5E"/>
    <w:rsid w:val="6BA92B5A"/>
    <w:rsid w:val="6BB42760"/>
    <w:rsid w:val="6BD37065"/>
    <w:rsid w:val="6BE13B5E"/>
    <w:rsid w:val="6BE31674"/>
    <w:rsid w:val="6BE95EA9"/>
    <w:rsid w:val="6BEA6094"/>
    <w:rsid w:val="6C114575"/>
    <w:rsid w:val="6C2A7712"/>
    <w:rsid w:val="6C3E2214"/>
    <w:rsid w:val="6C427652"/>
    <w:rsid w:val="6C4D48CD"/>
    <w:rsid w:val="6C661592"/>
    <w:rsid w:val="6C8202CD"/>
    <w:rsid w:val="6C8639E2"/>
    <w:rsid w:val="6C961621"/>
    <w:rsid w:val="6C9D5038"/>
    <w:rsid w:val="6CBB7DE1"/>
    <w:rsid w:val="6CC445CB"/>
    <w:rsid w:val="6CD042ED"/>
    <w:rsid w:val="6CDA2357"/>
    <w:rsid w:val="6CE8212C"/>
    <w:rsid w:val="6CF01775"/>
    <w:rsid w:val="6CFB62C0"/>
    <w:rsid w:val="6CFD7CAA"/>
    <w:rsid w:val="6D026DE8"/>
    <w:rsid w:val="6D0316B2"/>
    <w:rsid w:val="6D087337"/>
    <w:rsid w:val="6D0E1321"/>
    <w:rsid w:val="6D104BE0"/>
    <w:rsid w:val="6D132371"/>
    <w:rsid w:val="6D1338DD"/>
    <w:rsid w:val="6D153789"/>
    <w:rsid w:val="6D3B4D97"/>
    <w:rsid w:val="6D487B73"/>
    <w:rsid w:val="6D4A2408"/>
    <w:rsid w:val="6D4B1E5A"/>
    <w:rsid w:val="6D54588F"/>
    <w:rsid w:val="6D5E70E9"/>
    <w:rsid w:val="6D6729D8"/>
    <w:rsid w:val="6D6E09F2"/>
    <w:rsid w:val="6D852386"/>
    <w:rsid w:val="6DBD67AE"/>
    <w:rsid w:val="6DCF3167"/>
    <w:rsid w:val="6DD54C21"/>
    <w:rsid w:val="6DD8026E"/>
    <w:rsid w:val="6DF453C2"/>
    <w:rsid w:val="6DFC1EB9"/>
    <w:rsid w:val="6E25722B"/>
    <w:rsid w:val="6E3363CE"/>
    <w:rsid w:val="6E3C316F"/>
    <w:rsid w:val="6E453429"/>
    <w:rsid w:val="6E456275"/>
    <w:rsid w:val="6E4E36BD"/>
    <w:rsid w:val="6E5161B1"/>
    <w:rsid w:val="6E6127F4"/>
    <w:rsid w:val="6E631ECC"/>
    <w:rsid w:val="6E860D5E"/>
    <w:rsid w:val="6E880670"/>
    <w:rsid w:val="6E9028F6"/>
    <w:rsid w:val="6EA81F5F"/>
    <w:rsid w:val="6EB7522E"/>
    <w:rsid w:val="6EC002E5"/>
    <w:rsid w:val="6EC64ECD"/>
    <w:rsid w:val="6EC71F62"/>
    <w:rsid w:val="6ECD2CED"/>
    <w:rsid w:val="6EE1422E"/>
    <w:rsid w:val="6EE449F0"/>
    <w:rsid w:val="6EF14DB2"/>
    <w:rsid w:val="6EFA06B8"/>
    <w:rsid w:val="6F046E40"/>
    <w:rsid w:val="6F1743AC"/>
    <w:rsid w:val="6F3E2352"/>
    <w:rsid w:val="6F4656AB"/>
    <w:rsid w:val="6F5C1867"/>
    <w:rsid w:val="6F5C3F48"/>
    <w:rsid w:val="6F61462B"/>
    <w:rsid w:val="6F6D6714"/>
    <w:rsid w:val="6F8561D3"/>
    <w:rsid w:val="6F926B42"/>
    <w:rsid w:val="6F9C2017"/>
    <w:rsid w:val="6FB37BE5"/>
    <w:rsid w:val="6FC2450B"/>
    <w:rsid w:val="6FC7059A"/>
    <w:rsid w:val="6FCA64CD"/>
    <w:rsid w:val="6FE112C4"/>
    <w:rsid w:val="6FF069FB"/>
    <w:rsid w:val="6FF36A80"/>
    <w:rsid w:val="6FFB0619"/>
    <w:rsid w:val="6FFD7D02"/>
    <w:rsid w:val="6FFE5F86"/>
    <w:rsid w:val="70020E6A"/>
    <w:rsid w:val="701A60AC"/>
    <w:rsid w:val="702149D3"/>
    <w:rsid w:val="7021684B"/>
    <w:rsid w:val="70217D0F"/>
    <w:rsid w:val="7045295A"/>
    <w:rsid w:val="7047527A"/>
    <w:rsid w:val="704E0CBB"/>
    <w:rsid w:val="7056241A"/>
    <w:rsid w:val="707B2CB1"/>
    <w:rsid w:val="70924B19"/>
    <w:rsid w:val="70952588"/>
    <w:rsid w:val="70A34833"/>
    <w:rsid w:val="70B75478"/>
    <w:rsid w:val="70BA7DE6"/>
    <w:rsid w:val="70BF74C3"/>
    <w:rsid w:val="70D56048"/>
    <w:rsid w:val="70DA3248"/>
    <w:rsid w:val="70DB6936"/>
    <w:rsid w:val="71027F8C"/>
    <w:rsid w:val="712A4901"/>
    <w:rsid w:val="71391F94"/>
    <w:rsid w:val="7148395C"/>
    <w:rsid w:val="715D7335"/>
    <w:rsid w:val="717159EA"/>
    <w:rsid w:val="71777F8A"/>
    <w:rsid w:val="719340CC"/>
    <w:rsid w:val="71946BA2"/>
    <w:rsid w:val="71A412EF"/>
    <w:rsid w:val="71B106B0"/>
    <w:rsid w:val="71B61A42"/>
    <w:rsid w:val="71BB267E"/>
    <w:rsid w:val="71BE59CD"/>
    <w:rsid w:val="71C32243"/>
    <w:rsid w:val="71D94178"/>
    <w:rsid w:val="71E258E0"/>
    <w:rsid w:val="71E371E1"/>
    <w:rsid w:val="71E450CA"/>
    <w:rsid w:val="71EA7F5E"/>
    <w:rsid w:val="71EE0EE5"/>
    <w:rsid w:val="71F773F9"/>
    <w:rsid w:val="71FB452B"/>
    <w:rsid w:val="72025ED5"/>
    <w:rsid w:val="720A7322"/>
    <w:rsid w:val="72137E38"/>
    <w:rsid w:val="721E571E"/>
    <w:rsid w:val="721F7D69"/>
    <w:rsid w:val="7225336C"/>
    <w:rsid w:val="722E3E35"/>
    <w:rsid w:val="724A7260"/>
    <w:rsid w:val="724B68D9"/>
    <w:rsid w:val="72541E8D"/>
    <w:rsid w:val="725E62FA"/>
    <w:rsid w:val="72860473"/>
    <w:rsid w:val="7299364D"/>
    <w:rsid w:val="72C16C93"/>
    <w:rsid w:val="72D66A82"/>
    <w:rsid w:val="72D67597"/>
    <w:rsid w:val="72E43D31"/>
    <w:rsid w:val="72FF6E9B"/>
    <w:rsid w:val="73027148"/>
    <w:rsid w:val="7305147C"/>
    <w:rsid w:val="731A30F8"/>
    <w:rsid w:val="733A7EE8"/>
    <w:rsid w:val="734D11ED"/>
    <w:rsid w:val="735A55D3"/>
    <w:rsid w:val="73621B80"/>
    <w:rsid w:val="7375174D"/>
    <w:rsid w:val="73795D83"/>
    <w:rsid w:val="737B6EF7"/>
    <w:rsid w:val="73850D73"/>
    <w:rsid w:val="738B56FD"/>
    <w:rsid w:val="738B5D82"/>
    <w:rsid w:val="73911760"/>
    <w:rsid w:val="73993FFB"/>
    <w:rsid w:val="739F2E93"/>
    <w:rsid w:val="73A60FE9"/>
    <w:rsid w:val="73B8143C"/>
    <w:rsid w:val="73C06788"/>
    <w:rsid w:val="73D813D5"/>
    <w:rsid w:val="73DB1F8F"/>
    <w:rsid w:val="73DE1B70"/>
    <w:rsid w:val="73E6120B"/>
    <w:rsid w:val="741378E4"/>
    <w:rsid w:val="74213FF1"/>
    <w:rsid w:val="743138C9"/>
    <w:rsid w:val="74346455"/>
    <w:rsid w:val="74497E8D"/>
    <w:rsid w:val="744F70D5"/>
    <w:rsid w:val="74542618"/>
    <w:rsid w:val="746B1062"/>
    <w:rsid w:val="74836A59"/>
    <w:rsid w:val="74890514"/>
    <w:rsid w:val="74957A1D"/>
    <w:rsid w:val="74976F8C"/>
    <w:rsid w:val="749C28D6"/>
    <w:rsid w:val="74AC2DBE"/>
    <w:rsid w:val="74B03CF2"/>
    <w:rsid w:val="74B4279D"/>
    <w:rsid w:val="74C959EF"/>
    <w:rsid w:val="74D13C69"/>
    <w:rsid w:val="74D226D8"/>
    <w:rsid w:val="74D951DD"/>
    <w:rsid w:val="74E36253"/>
    <w:rsid w:val="74F273DA"/>
    <w:rsid w:val="74F600B5"/>
    <w:rsid w:val="750C6A4F"/>
    <w:rsid w:val="75102AF5"/>
    <w:rsid w:val="751C1B98"/>
    <w:rsid w:val="751C3CCD"/>
    <w:rsid w:val="752E2E69"/>
    <w:rsid w:val="753F1C14"/>
    <w:rsid w:val="75404D65"/>
    <w:rsid w:val="75410DEE"/>
    <w:rsid w:val="754B45FC"/>
    <w:rsid w:val="754C4FE3"/>
    <w:rsid w:val="75780005"/>
    <w:rsid w:val="75846F2D"/>
    <w:rsid w:val="758E56B6"/>
    <w:rsid w:val="759D26FD"/>
    <w:rsid w:val="75BA7DC9"/>
    <w:rsid w:val="75C158E1"/>
    <w:rsid w:val="75D75BBF"/>
    <w:rsid w:val="75F25C45"/>
    <w:rsid w:val="75F8173D"/>
    <w:rsid w:val="75FE15A4"/>
    <w:rsid w:val="76027B21"/>
    <w:rsid w:val="76087EFE"/>
    <w:rsid w:val="762F3987"/>
    <w:rsid w:val="763146BA"/>
    <w:rsid w:val="76373F9F"/>
    <w:rsid w:val="763C17CD"/>
    <w:rsid w:val="7651209F"/>
    <w:rsid w:val="765A396A"/>
    <w:rsid w:val="765B5EE0"/>
    <w:rsid w:val="76625186"/>
    <w:rsid w:val="76694515"/>
    <w:rsid w:val="7671183A"/>
    <w:rsid w:val="76795A9A"/>
    <w:rsid w:val="76850BE3"/>
    <w:rsid w:val="768E7AAD"/>
    <w:rsid w:val="769D37DC"/>
    <w:rsid w:val="76AD1FDF"/>
    <w:rsid w:val="76AF483A"/>
    <w:rsid w:val="76C37C6F"/>
    <w:rsid w:val="76C61386"/>
    <w:rsid w:val="76CF1D13"/>
    <w:rsid w:val="76D56664"/>
    <w:rsid w:val="76E81AE6"/>
    <w:rsid w:val="76FD0D45"/>
    <w:rsid w:val="77000835"/>
    <w:rsid w:val="770802F0"/>
    <w:rsid w:val="771025D4"/>
    <w:rsid w:val="77115FC5"/>
    <w:rsid w:val="77196438"/>
    <w:rsid w:val="77326AF1"/>
    <w:rsid w:val="77342D6F"/>
    <w:rsid w:val="77383B2B"/>
    <w:rsid w:val="773B467C"/>
    <w:rsid w:val="775B5775"/>
    <w:rsid w:val="775E0D1F"/>
    <w:rsid w:val="776655B0"/>
    <w:rsid w:val="77685B26"/>
    <w:rsid w:val="777814CA"/>
    <w:rsid w:val="777B5097"/>
    <w:rsid w:val="777E55F4"/>
    <w:rsid w:val="777F79AC"/>
    <w:rsid w:val="77820DEB"/>
    <w:rsid w:val="7792671F"/>
    <w:rsid w:val="7797445D"/>
    <w:rsid w:val="77986D62"/>
    <w:rsid w:val="779905B2"/>
    <w:rsid w:val="77A015C8"/>
    <w:rsid w:val="77A92E90"/>
    <w:rsid w:val="77B650A0"/>
    <w:rsid w:val="77CE0481"/>
    <w:rsid w:val="77E43CB3"/>
    <w:rsid w:val="77EC7456"/>
    <w:rsid w:val="77EE7D89"/>
    <w:rsid w:val="77EF0483"/>
    <w:rsid w:val="77F54C8C"/>
    <w:rsid w:val="78131205"/>
    <w:rsid w:val="781911C5"/>
    <w:rsid w:val="781A279F"/>
    <w:rsid w:val="782500E0"/>
    <w:rsid w:val="782F5811"/>
    <w:rsid w:val="78384A59"/>
    <w:rsid w:val="783B343E"/>
    <w:rsid w:val="78491B75"/>
    <w:rsid w:val="784A2663"/>
    <w:rsid w:val="784A43B3"/>
    <w:rsid w:val="78511348"/>
    <w:rsid w:val="785250C1"/>
    <w:rsid w:val="78564BB1"/>
    <w:rsid w:val="78581051"/>
    <w:rsid w:val="786228CD"/>
    <w:rsid w:val="786F0FB8"/>
    <w:rsid w:val="78714DF4"/>
    <w:rsid w:val="78721CEF"/>
    <w:rsid w:val="787234C6"/>
    <w:rsid w:val="78756296"/>
    <w:rsid w:val="788334CC"/>
    <w:rsid w:val="78933114"/>
    <w:rsid w:val="78B20233"/>
    <w:rsid w:val="78D12FAA"/>
    <w:rsid w:val="78D855C6"/>
    <w:rsid w:val="78FC0536"/>
    <w:rsid w:val="78FE7954"/>
    <w:rsid w:val="79315979"/>
    <w:rsid w:val="79424F4F"/>
    <w:rsid w:val="795831E5"/>
    <w:rsid w:val="796E7E54"/>
    <w:rsid w:val="79756315"/>
    <w:rsid w:val="79765CDA"/>
    <w:rsid w:val="797C76D7"/>
    <w:rsid w:val="798B6ADC"/>
    <w:rsid w:val="79971D97"/>
    <w:rsid w:val="79A47621"/>
    <w:rsid w:val="79AA18D2"/>
    <w:rsid w:val="79AB6836"/>
    <w:rsid w:val="79C56A19"/>
    <w:rsid w:val="79D957CA"/>
    <w:rsid w:val="79DA621C"/>
    <w:rsid w:val="79ED729C"/>
    <w:rsid w:val="7A0A78E3"/>
    <w:rsid w:val="7A2465E9"/>
    <w:rsid w:val="7A364577"/>
    <w:rsid w:val="7A54735F"/>
    <w:rsid w:val="7A5A319C"/>
    <w:rsid w:val="7A5B64AE"/>
    <w:rsid w:val="7A5C5D83"/>
    <w:rsid w:val="7A681FA7"/>
    <w:rsid w:val="7A6963D8"/>
    <w:rsid w:val="7A8D6E37"/>
    <w:rsid w:val="7AA21823"/>
    <w:rsid w:val="7AA7070E"/>
    <w:rsid w:val="7AA900DE"/>
    <w:rsid w:val="7AA936C9"/>
    <w:rsid w:val="7AB12D4C"/>
    <w:rsid w:val="7AD37F76"/>
    <w:rsid w:val="7AF32BF3"/>
    <w:rsid w:val="7AF771AA"/>
    <w:rsid w:val="7B063D79"/>
    <w:rsid w:val="7B095F0A"/>
    <w:rsid w:val="7B116B6D"/>
    <w:rsid w:val="7B190BA4"/>
    <w:rsid w:val="7B334D35"/>
    <w:rsid w:val="7B36137C"/>
    <w:rsid w:val="7B3A2568"/>
    <w:rsid w:val="7B51165F"/>
    <w:rsid w:val="7B6F5B5B"/>
    <w:rsid w:val="7B7415FA"/>
    <w:rsid w:val="7B765886"/>
    <w:rsid w:val="7B7C4D25"/>
    <w:rsid w:val="7B893C25"/>
    <w:rsid w:val="7B8B5C40"/>
    <w:rsid w:val="7B90640C"/>
    <w:rsid w:val="7B922E29"/>
    <w:rsid w:val="7BAB0D70"/>
    <w:rsid w:val="7BBC11CF"/>
    <w:rsid w:val="7BBF79A8"/>
    <w:rsid w:val="7BC24F1F"/>
    <w:rsid w:val="7BE129E3"/>
    <w:rsid w:val="7BE23EB3"/>
    <w:rsid w:val="7BE91898"/>
    <w:rsid w:val="7BF72207"/>
    <w:rsid w:val="7C161B08"/>
    <w:rsid w:val="7C3A2FA7"/>
    <w:rsid w:val="7C541407"/>
    <w:rsid w:val="7C5840BF"/>
    <w:rsid w:val="7C6D071B"/>
    <w:rsid w:val="7C84107F"/>
    <w:rsid w:val="7C9909ED"/>
    <w:rsid w:val="7C9C2291"/>
    <w:rsid w:val="7CA46921"/>
    <w:rsid w:val="7CA56991"/>
    <w:rsid w:val="7CA71E0B"/>
    <w:rsid w:val="7CB85E09"/>
    <w:rsid w:val="7CFE3A42"/>
    <w:rsid w:val="7CFF1519"/>
    <w:rsid w:val="7CFF7755"/>
    <w:rsid w:val="7D013878"/>
    <w:rsid w:val="7D0F508E"/>
    <w:rsid w:val="7D17450A"/>
    <w:rsid w:val="7D1943FF"/>
    <w:rsid w:val="7D2557AC"/>
    <w:rsid w:val="7D3F099E"/>
    <w:rsid w:val="7D4B01E2"/>
    <w:rsid w:val="7D533A52"/>
    <w:rsid w:val="7D5B43D0"/>
    <w:rsid w:val="7D6243C6"/>
    <w:rsid w:val="7D76523E"/>
    <w:rsid w:val="7D781E69"/>
    <w:rsid w:val="7D7B5075"/>
    <w:rsid w:val="7D832173"/>
    <w:rsid w:val="7D8A3C14"/>
    <w:rsid w:val="7D8C5B06"/>
    <w:rsid w:val="7D934401"/>
    <w:rsid w:val="7D953960"/>
    <w:rsid w:val="7D961406"/>
    <w:rsid w:val="7DA56991"/>
    <w:rsid w:val="7DA623C2"/>
    <w:rsid w:val="7DA737B9"/>
    <w:rsid w:val="7DB639FC"/>
    <w:rsid w:val="7DFF0E02"/>
    <w:rsid w:val="7E070C8C"/>
    <w:rsid w:val="7E0800A0"/>
    <w:rsid w:val="7E0C521E"/>
    <w:rsid w:val="7E0E7E19"/>
    <w:rsid w:val="7E1840CC"/>
    <w:rsid w:val="7E1964D0"/>
    <w:rsid w:val="7E2A3B50"/>
    <w:rsid w:val="7E303249"/>
    <w:rsid w:val="7E525E1A"/>
    <w:rsid w:val="7E555123"/>
    <w:rsid w:val="7E557656"/>
    <w:rsid w:val="7E7538B7"/>
    <w:rsid w:val="7E841CD2"/>
    <w:rsid w:val="7E844BCE"/>
    <w:rsid w:val="7E8B4E88"/>
    <w:rsid w:val="7E8D660B"/>
    <w:rsid w:val="7E920963"/>
    <w:rsid w:val="7E9433D2"/>
    <w:rsid w:val="7E992085"/>
    <w:rsid w:val="7EB47F46"/>
    <w:rsid w:val="7EB94600"/>
    <w:rsid w:val="7ECF7C45"/>
    <w:rsid w:val="7ED82860"/>
    <w:rsid w:val="7EF45DB1"/>
    <w:rsid w:val="7EFD2358"/>
    <w:rsid w:val="7EFF5324"/>
    <w:rsid w:val="7F03165A"/>
    <w:rsid w:val="7F077A20"/>
    <w:rsid w:val="7F077BC2"/>
    <w:rsid w:val="7F09267A"/>
    <w:rsid w:val="7F2B23E6"/>
    <w:rsid w:val="7F2B4123"/>
    <w:rsid w:val="7F3426C9"/>
    <w:rsid w:val="7F3E0944"/>
    <w:rsid w:val="7F3E5DC7"/>
    <w:rsid w:val="7F5C2ED4"/>
    <w:rsid w:val="7F5E061E"/>
    <w:rsid w:val="7F643B5C"/>
    <w:rsid w:val="7F7F2B17"/>
    <w:rsid w:val="7F8A3D01"/>
    <w:rsid w:val="7F8B6823"/>
    <w:rsid w:val="7F9B25D3"/>
    <w:rsid w:val="7F9C4EBD"/>
    <w:rsid w:val="7FAD310E"/>
    <w:rsid w:val="7FCD6742"/>
    <w:rsid w:val="7FD83999"/>
    <w:rsid w:val="7FE44850"/>
    <w:rsid w:val="7FE546A7"/>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5"/>
    <w:autoRedefine/>
    <w:qFormat/>
    <w:uiPriority w:val="0"/>
    <w:pPr>
      <w:keepNext/>
      <w:keepLines/>
      <w:spacing w:line="440" w:lineRule="exact"/>
      <w:jc w:val="center"/>
      <w:outlineLvl w:val="0"/>
    </w:pPr>
    <w:rPr>
      <w:b/>
      <w:bCs/>
      <w:kern w:val="44"/>
      <w:sz w:val="44"/>
      <w:szCs w:val="44"/>
    </w:rPr>
  </w:style>
  <w:style w:type="paragraph" w:styleId="4">
    <w:name w:val="heading 2"/>
    <w:basedOn w:val="1"/>
    <w:next w:val="1"/>
    <w:link w:val="198"/>
    <w:autoRedefine/>
    <w:qFormat/>
    <w:uiPriority w:val="0"/>
    <w:pPr>
      <w:keepNext/>
      <w:keepLines/>
      <w:spacing w:line="440" w:lineRule="exact"/>
      <w:jc w:val="left"/>
      <w:outlineLvl w:val="1"/>
    </w:pPr>
    <w:rPr>
      <w:rFonts w:ascii="Arial" w:hAnsi="Arial" w:eastAsia="黑体"/>
      <w:b/>
      <w:bCs/>
      <w:szCs w:val="32"/>
    </w:rPr>
  </w:style>
  <w:style w:type="paragraph" w:styleId="2">
    <w:name w:val="heading 3"/>
    <w:basedOn w:val="1"/>
    <w:next w:val="1"/>
    <w:link w:val="154"/>
    <w:autoRedefine/>
    <w:qFormat/>
    <w:uiPriority w:val="0"/>
    <w:pPr>
      <w:keepNext/>
      <w:keepLines/>
      <w:spacing w:line="415" w:lineRule="auto"/>
      <w:outlineLvl w:val="2"/>
    </w:pPr>
    <w:rPr>
      <w:b/>
      <w:bCs/>
      <w:kern w:val="0"/>
      <w:sz w:val="32"/>
      <w:szCs w:val="32"/>
    </w:rPr>
  </w:style>
  <w:style w:type="paragraph" w:styleId="5">
    <w:name w:val="heading 4"/>
    <w:basedOn w:val="1"/>
    <w:next w:val="1"/>
    <w:autoRedefine/>
    <w:qFormat/>
    <w:uiPriority w:val="0"/>
    <w:pPr>
      <w:keepNext/>
      <w:keepLines/>
      <w:spacing w:line="374" w:lineRule="auto"/>
      <w:outlineLvl w:val="3"/>
    </w:pPr>
    <w:rPr>
      <w:rFonts w:ascii="Arial" w:hAnsi="Arial" w:eastAsia="黑体"/>
      <w:b/>
      <w:bCs/>
      <w:sz w:val="28"/>
      <w:szCs w:val="28"/>
    </w:rPr>
  </w:style>
  <w:style w:type="paragraph" w:styleId="6">
    <w:name w:val="heading 5"/>
    <w:basedOn w:val="1"/>
    <w:next w:val="1"/>
    <w:link w:val="131"/>
    <w:autoRedefine/>
    <w:qFormat/>
    <w:uiPriority w:val="0"/>
    <w:pPr>
      <w:keepNext/>
      <w:keepLines/>
      <w:spacing w:line="376" w:lineRule="auto"/>
      <w:outlineLvl w:val="4"/>
    </w:pPr>
    <w:rPr>
      <w:b/>
      <w:bCs/>
      <w:sz w:val="28"/>
      <w:szCs w:val="28"/>
    </w:rPr>
  </w:style>
  <w:style w:type="paragraph" w:styleId="7">
    <w:name w:val="heading 6"/>
    <w:basedOn w:val="1"/>
    <w:next w:val="1"/>
    <w:autoRedefine/>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8">
    <w:name w:val="heading 7"/>
    <w:basedOn w:val="1"/>
    <w:next w:val="1"/>
    <w:autoRedefine/>
    <w:qFormat/>
    <w:uiPriority w:val="0"/>
    <w:pPr>
      <w:keepNext/>
      <w:keepLines/>
      <w:widowControl/>
      <w:tabs>
        <w:tab w:val="left" w:pos="2520"/>
      </w:tabs>
      <w:spacing w:line="319" w:lineRule="auto"/>
      <w:ind w:left="1296" w:hanging="1296"/>
      <w:jc w:val="left"/>
      <w:outlineLvl w:val="6"/>
    </w:pPr>
    <w:rPr>
      <w:b/>
      <w:bCs/>
      <w:kern w:val="0"/>
      <w:sz w:val="24"/>
    </w:rPr>
  </w:style>
  <w:style w:type="paragraph" w:styleId="9">
    <w:name w:val="heading 8"/>
    <w:basedOn w:val="1"/>
    <w:next w:val="1"/>
    <w:autoRedefine/>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0">
    <w:name w:val="heading 9"/>
    <w:basedOn w:val="1"/>
    <w:next w:val="1"/>
    <w:autoRedefine/>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autoRedefine/>
    <w:qFormat/>
    <w:uiPriority w:val="39"/>
    <w:pPr>
      <w:ind w:left="1260"/>
      <w:jc w:val="left"/>
    </w:pPr>
    <w:rPr>
      <w:sz w:val="18"/>
      <w:szCs w:val="18"/>
    </w:rPr>
  </w:style>
  <w:style w:type="paragraph" w:styleId="12">
    <w:name w:val="table of authorities"/>
    <w:basedOn w:val="1"/>
    <w:next w:val="1"/>
    <w:autoRedefine/>
    <w:unhideWhenUsed/>
    <w:qFormat/>
    <w:uiPriority w:val="0"/>
    <w:pPr>
      <w:ind w:left="420" w:leftChars="200"/>
    </w:pPr>
  </w:style>
  <w:style w:type="paragraph" w:styleId="13">
    <w:name w:val="Normal Indent"/>
    <w:basedOn w:val="1"/>
    <w:next w:val="14"/>
    <w:autoRedefine/>
    <w:qFormat/>
    <w:uiPriority w:val="0"/>
    <w:pPr>
      <w:ind w:firstLine="420" w:firstLineChars="200"/>
    </w:pPr>
  </w:style>
  <w:style w:type="paragraph" w:styleId="14">
    <w:name w:val="Body Text First Indent 2"/>
    <w:basedOn w:val="15"/>
    <w:next w:val="1"/>
    <w:autoRedefine/>
    <w:qFormat/>
    <w:uiPriority w:val="0"/>
    <w:pPr>
      <w:spacing w:line="360" w:lineRule="auto"/>
      <w:ind w:firstLine="200" w:firstLineChars="200"/>
    </w:pPr>
    <w:rPr>
      <w:rFonts w:ascii="宋体"/>
      <w:szCs w:val="20"/>
    </w:rPr>
  </w:style>
  <w:style w:type="paragraph" w:styleId="15">
    <w:name w:val="Body Text Indent"/>
    <w:basedOn w:val="1"/>
    <w:next w:val="16"/>
    <w:autoRedefine/>
    <w:qFormat/>
    <w:uiPriority w:val="0"/>
    <w:pPr>
      <w:ind w:left="420" w:leftChars="200"/>
    </w:pPr>
  </w:style>
  <w:style w:type="paragraph" w:styleId="16">
    <w:name w:val="envelope return"/>
    <w:basedOn w:val="1"/>
    <w:next w:val="11"/>
    <w:autoRedefine/>
    <w:qFormat/>
    <w:uiPriority w:val="0"/>
    <w:pPr>
      <w:snapToGrid w:val="0"/>
    </w:pPr>
    <w:rPr>
      <w:rFonts w:ascii="Arial" w:hAnsi="Arial"/>
    </w:rPr>
  </w:style>
  <w:style w:type="paragraph" w:styleId="17">
    <w:name w:val="Document Map"/>
    <w:basedOn w:val="1"/>
    <w:autoRedefine/>
    <w:qFormat/>
    <w:uiPriority w:val="0"/>
    <w:pPr>
      <w:shd w:val="clear" w:color="auto" w:fill="000080"/>
    </w:pPr>
  </w:style>
  <w:style w:type="paragraph" w:styleId="18">
    <w:name w:val="annotation text"/>
    <w:basedOn w:val="1"/>
    <w:link w:val="115"/>
    <w:autoRedefine/>
    <w:qFormat/>
    <w:uiPriority w:val="0"/>
    <w:pPr>
      <w:jc w:val="left"/>
    </w:pPr>
  </w:style>
  <w:style w:type="paragraph" w:styleId="19">
    <w:name w:val="Body Text 3"/>
    <w:basedOn w:val="1"/>
    <w:autoRedefine/>
    <w:qFormat/>
    <w:uiPriority w:val="0"/>
    <w:rPr>
      <w:rFonts w:ascii="宋体"/>
      <w:sz w:val="24"/>
      <w:szCs w:val="20"/>
    </w:rPr>
  </w:style>
  <w:style w:type="paragraph" w:styleId="20">
    <w:name w:val="Body Text"/>
    <w:basedOn w:val="1"/>
    <w:link w:val="143"/>
    <w:autoRedefine/>
    <w:qFormat/>
    <w:uiPriority w:val="0"/>
  </w:style>
  <w:style w:type="paragraph" w:styleId="21">
    <w:name w:val="Block Text"/>
    <w:basedOn w:val="1"/>
    <w:next w:val="22"/>
    <w:autoRedefine/>
    <w:qFormat/>
    <w:uiPriority w:val="0"/>
    <w:pPr>
      <w:spacing w:line="400" w:lineRule="exact"/>
      <w:ind w:left="-359" w:leftChars="-171" w:right="31" w:rightChars="15" w:firstLine="980" w:firstLineChars="350"/>
    </w:pPr>
    <w:rPr>
      <w:rFonts w:ascii="宋体" w:hAnsi="宋体"/>
      <w:sz w:val="28"/>
      <w:szCs w:val="32"/>
    </w:rPr>
  </w:style>
  <w:style w:type="paragraph" w:styleId="22">
    <w:name w:val="Body Text Indent 3"/>
    <w:basedOn w:val="1"/>
    <w:next w:val="1"/>
    <w:autoRedefine/>
    <w:qFormat/>
    <w:uiPriority w:val="0"/>
    <w:pPr>
      <w:ind w:left="420" w:leftChars="200"/>
    </w:pPr>
    <w:rPr>
      <w:sz w:val="16"/>
      <w:szCs w:val="16"/>
    </w:rPr>
  </w:style>
  <w:style w:type="paragraph" w:styleId="23">
    <w:name w:val="toc 5"/>
    <w:basedOn w:val="1"/>
    <w:next w:val="1"/>
    <w:autoRedefine/>
    <w:qFormat/>
    <w:uiPriority w:val="39"/>
    <w:pPr>
      <w:ind w:left="840"/>
      <w:jc w:val="left"/>
    </w:pPr>
    <w:rPr>
      <w:sz w:val="18"/>
      <w:szCs w:val="18"/>
    </w:rPr>
  </w:style>
  <w:style w:type="paragraph" w:styleId="24">
    <w:name w:val="toc 3"/>
    <w:basedOn w:val="1"/>
    <w:next w:val="1"/>
    <w:autoRedefine/>
    <w:qFormat/>
    <w:uiPriority w:val="39"/>
    <w:pPr>
      <w:ind w:left="420"/>
      <w:jc w:val="left"/>
    </w:pPr>
    <w:rPr>
      <w:i/>
      <w:iCs/>
      <w:sz w:val="20"/>
      <w:szCs w:val="20"/>
    </w:rPr>
  </w:style>
  <w:style w:type="paragraph" w:styleId="25">
    <w:name w:val="Plain Text"/>
    <w:basedOn w:val="1"/>
    <w:next w:val="1"/>
    <w:link w:val="138"/>
    <w:autoRedefine/>
    <w:qFormat/>
    <w:uiPriority w:val="0"/>
    <w:rPr>
      <w:rFonts w:ascii="Courier New" w:hAnsi="Courier New"/>
      <w:szCs w:val="20"/>
    </w:rPr>
  </w:style>
  <w:style w:type="paragraph" w:styleId="26">
    <w:name w:val="toc 8"/>
    <w:basedOn w:val="1"/>
    <w:next w:val="1"/>
    <w:autoRedefine/>
    <w:qFormat/>
    <w:uiPriority w:val="39"/>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autoRedefine/>
    <w:qFormat/>
    <w:uiPriority w:val="0"/>
    <w:pPr>
      <w:spacing w:line="360" w:lineRule="exact"/>
      <w:ind w:firstLine="600" w:firstLineChars="250"/>
      <w:jc w:val="left"/>
    </w:pPr>
    <w:rPr>
      <w:sz w:val="24"/>
    </w:rPr>
  </w:style>
  <w:style w:type="paragraph" w:styleId="29">
    <w:name w:val="Balloon Text"/>
    <w:basedOn w:val="1"/>
    <w:autoRedefine/>
    <w:qFormat/>
    <w:uiPriority w:val="0"/>
    <w:rPr>
      <w:sz w:val="18"/>
      <w:szCs w:val="18"/>
    </w:rPr>
  </w:style>
  <w:style w:type="paragraph" w:styleId="30">
    <w:name w:val="footer"/>
    <w:basedOn w:val="1"/>
    <w:next w:val="1"/>
    <w:autoRedefine/>
    <w:qFormat/>
    <w:uiPriority w:val="0"/>
    <w:pPr>
      <w:tabs>
        <w:tab w:val="center" w:pos="4153"/>
        <w:tab w:val="right" w:pos="8306"/>
      </w:tabs>
      <w:snapToGrid w:val="0"/>
      <w:jc w:val="left"/>
    </w:pPr>
    <w:rPr>
      <w:sz w:val="18"/>
      <w:szCs w:val="18"/>
    </w:rPr>
  </w:style>
  <w:style w:type="paragraph" w:styleId="3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39"/>
    <w:pPr>
      <w:jc w:val="left"/>
    </w:pPr>
    <w:rPr>
      <w:b/>
      <w:bCs/>
      <w:caps/>
      <w:sz w:val="20"/>
      <w:szCs w:val="20"/>
    </w:rPr>
  </w:style>
  <w:style w:type="paragraph" w:styleId="33">
    <w:name w:val="toc 4"/>
    <w:basedOn w:val="1"/>
    <w:next w:val="1"/>
    <w:autoRedefine/>
    <w:qFormat/>
    <w:uiPriority w:val="39"/>
    <w:pPr>
      <w:ind w:left="630"/>
      <w:jc w:val="left"/>
    </w:pPr>
    <w:rPr>
      <w:sz w:val="18"/>
      <w:szCs w:val="18"/>
    </w:rPr>
  </w:style>
  <w:style w:type="paragraph" w:styleId="34">
    <w:name w:val="List"/>
    <w:basedOn w:val="1"/>
    <w:autoRedefine/>
    <w:qFormat/>
    <w:uiPriority w:val="0"/>
    <w:pPr>
      <w:ind w:left="420" w:hanging="420"/>
    </w:pPr>
  </w:style>
  <w:style w:type="paragraph" w:styleId="35">
    <w:name w:val="footnote text"/>
    <w:basedOn w:val="1"/>
    <w:autoRedefine/>
    <w:qFormat/>
    <w:uiPriority w:val="0"/>
    <w:rPr>
      <w:sz w:val="20"/>
      <w:szCs w:val="20"/>
    </w:rPr>
  </w:style>
  <w:style w:type="paragraph" w:styleId="36">
    <w:name w:val="toc 6"/>
    <w:basedOn w:val="1"/>
    <w:next w:val="1"/>
    <w:autoRedefine/>
    <w:qFormat/>
    <w:uiPriority w:val="39"/>
    <w:pPr>
      <w:ind w:left="1050"/>
      <w:jc w:val="left"/>
    </w:pPr>
    <w:rPr>
      <w:sz w:val="18"/>
      <w:szCs w:val="18"/>
    </w:rPr>
  </w:style>
  <w:style w:type="paragraph" w:styleId="37">
    <w:name w:val="table of figures"/>
    <w:basedOn w:val="1"/>
    <w:next w:val="1"/>
    <w:autoRedefine/>
    <w:qFormat/>
    <w:uiPriority w:val="0"/>
    <w:pPr>
      <w:ind w:left="200" w:leftChars="200" w:hanging="200" w:hangingChars="200"/>
    </w:pPr>
  </w:style>
  <w:style w:type="paragraph" w:styleId="38">
    <w:name w:val="toc 2"/>
    <w:basedOn w:val="1"/>
    <w:next w:val="1"/>
    <w:autoRedefine/>
    <w:qFormat/>
    <w:uiPriority w:val="39"/>
    <w:pPr>
      <w:ind w:left="210"/>
      <w:jc w:val="left"/>
    </w:pPr>
    <w:rPr>
      <w:smallCaps/>
      <w:sz w:val="20"/>
      <w:szCs w:val="20"/>
    </w:rPr>
  </w:style>
  <w:style w:type="paragraph" w:styleId="39">
    <w:name w:val="toc 9"/>
    <w:basedOn w:val="1"/>
    <w:next w:val="1"/>
    <w:autoRedefine/>
    <w:qFormat/>
    <w:uiPriority w:val="39"/>
    <w:pPr>
      <w:ind w:left="1680"/>
      <w:jc w:val="left"/>
    </w:pPr>
    <w:rPr>
      <w:sz w:val="18"/>
      <w:szCs w:val="18"/>
    </w:rPr>
  </w:style>
  <w:style w:type="paragraph" w:styleId="40">
    <w:name w:val="Body Text 2"/>
    <w:basedOn w:val="1"/>
    <w:autoRedefine/>
    <w:qFormat/>
    <w:uiPriority w:val="0"/>
    <w:pPr>
      <w:spacing w:line="440" w:lineRule="exact"/>
    </w:pPr>
    <w:rPr>
      <w:sz w:val="28"/>
    </w:rPr>
  </w:style>
  <w:style w:type="paragraph" w:styleId="41">
    <w:name w:val="HTML Preformatted"/>
    <w:basedOn w:val="1"/>
    <w:link w:val="117"/>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2">
    <w:name w:val="Normal (Web)"/>
    <w:basedOn w:val="1"/>
    <w:autoRedefine/>
    <w:qFormat/>
    <w:uiPriority w:val="99"/>
    <w:pPr>
      <w:widowControl/>
      <w:spacing w:beforeAutospacing="1" w:afterAutospacing="1"/>
      <w:jc w:val="left"/>
    </w:pPr>
    <w:rPr>
      <w:rFonts w:ascii="宋体" w:hAnsi="宋体" w:cs="宋体"/>
      <w:kern w:val="0"/>
      <w:sz w:val="24"/>
    </w:rPr>
  </w:style>
  <w:style w:type="paragraph" w:styleId="43">
    <w:name w:val="Title"/>
    <w:basedOn w:val="1"/>
    <w:autoRedefine/>
    <w:qFormat/>
    <w:uiPriority w:val="0"/>
    <w:pPr>
      <w:adjustRightInd w:val="0"/>
      <w:spacing w:line="420" w:lineRule="atLeast"/>
      <w:jc w:val="center"/>
      <w:textAlignment w:val="baseline"/>
      <w:outlineLvl w:val="0"/>
    </w:pPr>
    <w:rPr>
      <w:rFonts w:ascii="Arial" w:hAnsi="Arial"/>
      <w:b/>
      <w:kern w:val="0"/>
      <w:sz w:val="32"/>
      <w:szCs w:val="20"/>
    </w:rPr>
  </w:style>
  <w:style w:type="paragraph" w:styleId="44">
    <w:name w:val="annotation subject"/>
    <w:basedOn w:val="18"/>
    <w:next w:val="18"/>
    <w:autoRedefine/>
    <w:qFormat/>
    <w:uiPriority w:val="0"/>
    <w:rPr>
      <w:b/>
      <w:bCs/>
    </w:rPr>
  </w:style>
  <w:style w:type="paragraph" w:styleId="45">
    <w:name w:val="Body Text First Indent"/>
    <w:basedOn w:val="20"/>
    <w:autoRedefine/>
    <w:qFormat/>
    <w:uiPriority w:val="0"/>
    <w:pPr>
      <w:ind w:firstLine="420" w:firstLineChars="100"/>
    </w:p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basedOn w:val="48"/>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333333"/>
      <w:u w:val="none"/>
    </w:rPr>
  </w:style>
  <w:style w:type="character" w:styleId="52">
    <w:name w:val="Emphasis"/>
    <w:autoRedefine/>
    <w:qFormat/>
    <w:uiPriority w:val="0"/>
    <w:rPr>
      <w:color w:val="CC0033"/>
    </w:rPr>
  </w:style>
  <w:style w:type="character" w:styleId="53">
    <w:name w:val="HTML Definition"/>
    <w:autoRedefine/>
    <w:qFormat/>
    <w:uiPriority w:val="0"/>
  </w:style>
  <w:style w:type="character" w:styleId="54">
    <w:name w:val="HTML Typewriter"/>
    <w:autoRedefine/>
    <w:qFormat/>
    <w:uiPriority w:val="0"/>
    <w:rPr>
      <w:rFonts w:hint="default" w:ascii="monospace" w:hAnsi="monospace" w:eastAsia="monospace" w:cs="monospace"/>
      <w:sz w:val="20"/>
    </w:rPr>
  </w:style>
  <w:style w:type="character" w:styleId="55">
    <w:name w:val="HTML Acronym"/>
    <w:basedOn w:val="48"/>
    <w:autoRedefine/>
    <w:qFormat/>
    <w:uiPriority w:val="0"/>
  </w:style>
  <w:style w:type="character" w:styleId="56">
    <w:name w:val="HTML Variable"/>
    <w:autoRedefine/>
    <w:qFormat/>
    <w:uiPriority w:val="0"/>
  </w:style>
  <w:style w:type="character" w:styleId="57">
    <w:name w:val="Hyperlink"/>
    <w:basedOn w:val="48"/>
    <w:autoRedefine/>
    <w:qFormat/>
    <w:uiPriority w:val="99"/>
    <w:rPr>
      <w:color w:val="333333"/>
      <w:u w:val="none"/>
    </w:rPr>
  </w:style>
  <w:style w:type="character" w:styleId="58">
    <w:name w:val="HTML Code"/>
    <w:autoRedefine/>
    <w:qFormat/>
    <w:uiPriority w:val="0"/>
    <w:rPr>
      <w:rFonts w:hint="default" w:ascii="monospace" w:hAnsi="monospace" w:eastAsia="monospace" w:cs="monospace"/>
      <w:sz w:val="20"/>
    </w:rPr>
  </w:style>
  <w:style w:type="character" w:styleId="59">
    <w:name w:val="annotation reference"/>
    <w:autoRedefine/>
    <w:qFormat/>
    <w:uiPriority w:val="0"/>
    <w:rPr>
      <w:sz w:val="21"/>
      <w:szCs w:val="21"/>
    </w:rPr>
  </w:style>
  <w:style w:type="character" w:styleId="60">
    <w:name w:val="HTML Cite"/>
    <w:autoRedefine/>
    <w:qFormat/>
    <w:uiPriority w:val="0"/>
  </w:style>
  <w:style w:type="character" w:styleId="61">
    <w:name w:val="footnote reference"/>
    <w:autoRedefine/>
    <w:qFormat/>
    <w:uiPriority w:val="0"/>
    <w:rPr>
      <w:vertAlign w:val="superscript"/>
    </w:rPr>
  </w:style>
  <w:style w:type="character" w:styleId="62">
    <w:name w:val="HTML Keyboard"/>
    <w:autoRedefine/>
    <w:qFormat/>
    <w:uiPriority w:val="0"/>
    <w:rPr>
      <w:rFonts w:ascii="monospace" w:hAnsi="monospace" w:eastAsia="monospace" w:cs="monospace"/>
      <w:sz w:val="20"/>
    </w:rPr>
  </w:style>
  <w:style w:type="character" w:styleId="63">
    <w:name w:val="HTML Sample"/>
    <w:autoRedefine/>
    <w:qFormat/>
    <w:uiPriority w:val="0"/>
    <w:rPr>
      <w:rFonts w:hint="default" w:ascii="monospace" w:hAnsi="monospace" w:eastAsia="monospace" w:cs="monospace"/>
    </w:rPr>
  </w:style>
  <w:style w:type="character" w:customStyle="1" w:styleId="64">
    <w:name w:val="标题 2 Char"/>
    <w:autoRedefine/>
    <w:qFormat/>
    <w:uiPriority w:val="0"/>
    <w:rPr>
      <w:rFonts w:ascii="Arial" w:hAnsi="Arial" w:eastAsia="黑体"/>
      <w:b/>
      <w:bCs/>
      <w:kern w:val="2"/>
      <w:sz w:val="21"/>
      <w:szCs w:val="32"/>
      <w:lang w:val="en-US" w:eastAsia="zh-CN" w:bidi="ar-SA"/>
    </w:rPr>
  </w:style>
  <w:style w:type="character" w:customStyle="1" w:styleId="65">
    <w:name w:val="标题 1 Char"/>
    <w:link w:val="3"/>
    <w:autoRedefine/>
    <w:qFormat/>
    <w:uiPriority w:val="0"/>
    <w:rPr>
      <w:rFonts w:eastAsia="宋体"/>
      <w:b/>
      <w:bCs/>
      <w:kern w:val="44"/>
      <w:sz w:val="44"/>
      <w:szCs w:val="44"/>
      <w:lang w:val="en-US" w:eastAsia="zh-CN" w:bidi="ar-SA"/>
    </w:rPr>
  </w:style>
  <w:style w:type="paragraph" w:customStyle="1" w:styleId="66">
    <w:name w:val="正文（缩进）"/>
    <w:basedOn w:val="1"/>
    <w:next w:val="21"/>
    <w:autoRedefine/>
    <w:qFormat/>
    <w:uiPriority w:val="0"/>
    <w:pPr>
      <w:widowControl w:val="0"/>
      <w:spacing w:before="156" w:beforeLines="50" w:after="156" w:afterLines="50" w:line="360" w:lineRule="auto"/>
      <w:ind w:firstLine="480" w:firstLineChars="200"/>
      <w:textAlignment w:val="auto"/>
    </w:pPr>
    <w:rPr>
      <w:color w:val="auto"/>
      <w:kern w:val="2"/>
      <w:sz w:val="24"/>
      <w:szCs w:val="24"/>
      <w:u w:val="none" w:color="auto"/>
    </w:rPr>
  </w:style>
  <w:style w:type="paragraph" w:customStyle="1" w:styleId="67">
    <w:name w:val="正文文字 8"/>
    <w:basedOn w:val="1"/>
    <w:next w:val="1"/>
    <w:autoRedefine/>
    <w:qFormat/>
    <w:uiPriority w:val="0"/>
    <w:pPr>
      <w:ind w:left="240"/>
    </w:pPr>
    <w:rPr>
      <w:sz w:val="16"/>
    </w:rPr>
  </w:style>
  <w:style w:type="paragraph" w:styleId="68">
    <w:name w:val="List Paragraph"/>
    <w:basedOn w:val="1"/>
    <w:autoRedefine/>
    <w:qFormat/>
    <w:uiPriority w:val="34"/>
    <w:pPr>
      <w:ind w:firstLine="420" w:firstLineChars="200"/>
    </w:pPr>
  </w:style>
  <w:style w:type="paragraph" w:customStyle="1" w:styleId="69">
    <w:name w:val="_Style 62"/>
    <w:basedOn w:val="1"/>
    <w:next w:val="1"/>
    <w:autoRedefine/>
    <w:qFormat/>
    <w:uiPriority w:val="0"/>
    <w:pPr>
      <w:pBdr>
        <w:top w:val="single" w:color="auto" w:sz="6" w:space="1"/>
      </w:pBdr>
      <w:jc w:val="center"/>
    </w:pPr>
    <w:rPr>
      <w:rFonts w:ascii="Arial"/>
      <w:vanish/>
      <w:sz w:val="16"/>
    </w:rPr>
  </w:style>
  <w:style w:type="paragraph" w:customStyle="1" w:styleId="70">
    <w:name w:val="Blockquote"/>
    <w:basedOn w:val="1"/>
    <w:autoRedefine/>
    <w:qFormat/>
    <w:uiPriority w:val="0"/>
    <w:pPr>
      <w:autoSpaceDE w:val="0"/>
      <w:autoSpaceDN w:val="0"/>
      <w:adjustRightInd w:val="0"/>
      <w:ind w:left="360" w:right="360"/>
      <w:jc w:val="left"/>
    </w:pPr>
    <w:rPr>
      <w:kern w:val="0"/>
      <w:sz w:val="24"/>
      <w:szCs w:val="20"/>
    </w:rPr>
  </w:style>
  <w:style w:type="paragraph" w:customStyle="1" w:styleId="71">
    <w:name w:val="表格"/>
    <w:basedOn w:val="1"/>
    <w:autoRedefine/>
    <w:qFormat/>
    <w:uiPriority w:val="0"/>
    <w:pPr>
      <w:jc w:val="center"/>
      <w:textAlignment w:val="center"/>
    </w:pPr>
    <w:rPr>
      <w:rFonts w:ascii="华文细黑" w:hAnsi="华文细黑"/>
      <w:kern w:val="0"/>
      <w:szCs w:val="20"/>
    </w:rPr>
  </w:style>
  <w:style w:type="paragraph" w:customStyle="1" w:styleId="72">
    <w:name w:val="表格文字"/>
    <w:basedOn w:val="1"/>
    <w:autoRedefine/>
    <w:qFormat/>
    <w:uiPriority w:val="0"/>
    <w:pPr>
      <w:adjustRightInd w:val="0"/>
      <w:spacing w:line="420" w:lineRule="atLeast"/>
      <w:jc w:val="left"/>
      <w:textAlignment w:val="baseline"/>
    </w:pPr>
    <w:rPr>
      <w:kern w:val="0"/>
      <w:szCs w:val="20"/>
    </w:rPr>
  </w:style>
  <w:style w:type="paragraph" w:customStyle="1" w:styleId="73">
    <w:name w:val="Char"/>
    <w:basedOn w:val="1"/>
    <w:next w:val="1"/>
    <w:autoRedefine/>
    <w:qFormat/>
    <w:uiPriority w:val="0"/>
    <w:pPr>
      <w:widowControl/>
      <w:spacing w:line="360" w:lineRule="auto"/>
      <w:jc w:val="left"/>
    </w:pPr>
    <w:rPr>
      <w:kern w:val="0"/>
      <w:szCs w:val="20"/>
      <w:lang w:eastAsia="en-US"/>
    </w:rPr>
  </w:style>
  <w:style w:type="paragraph" w:customStyle="1" w:styleId="74">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5">
    <w:name w:val="样式2"/>
    <w:basedOn w:val="2"/>
    <w:autoRedefine/>
    <w:qFormat/>
    <w:uiPriority w:val="0"/>
  </w:style>
  <w:style w:type="paragraph" w:customStyle="1" w:styleId="76">
    <w:name w:val="Default Paragraph Char Char Char Char"/>
    <w:basedOn w:val="1"/>
    <w:next w:val="1"/>
    <w:autoRedefine/>
    <w:qFormat/>
    <w:uiPriority w:val="0"/>
    <w:pPr>
      <w:spacing w:line="360" w:lineRule="auto"/>
    </w:pPr>
    <w:rPr>
      <w:szCs w:val="20"/>
    </w:rPr>
  </w:style>
  <w:style w:type="paragraph" w:customStyle="1" w:styleId="77">
    <w:name w:val="节标题"/>
    <w:basedOn w:val="1"/>
    <w:next w:val="1"/>
    <w:autoRedefine/>
    <w:qFormat/>
    <w:uiPriority w:val="0"/>
    <w:pPr>
      <w:widowControl/>
      <w:spacing w:line="289" w:lineRule="atLeast"/>
      <w:jc w:val="center"/>
      <w:textAlignment w:val="baseline"/>
    </w:pPr>
    <w:rPr>
      <w:color w:val="000000"/>
      <w:kern w:val="0"/>
      <w:sz w:val="28"/>
      <w:szCs w:val="20"/>
      <w:u w:color="000000"/>
    </w:rPr>
  </w:style>
  <w:style w:type="paragraph" w:customStyle="1" w:styleId="78">
    <w:name w:val="默认段落字体 Para Char Char Char Char"/>
    <w:basedOn w:val="1"/>
    <w:autoRedefine/>
    <w:qFormat/>
    <w:uiPriority w:val="0"/>
  </w:style>
  <w:style w:type="paragraph" w:customStyle="1" w:styleId="79">
    <w:name w:val="样式 标题 1 + 黑体 五号"/>
    <w:basedOn w:val="3"/>
    <w:autoRedefine/>
    <w:qFormat/>
    <w:uiPriority w:val="0"/>
    <w:pPr>
      <w:jc w:val="left"/>
    </w:pPr>
    <w:rPr>
      <w:rFonts w:ascii="黑体" w:hAnsi="黑体" w:eastAsia="黑体"/>
      <w:sz w:val="21"/>
    </w:rPr>
  </w:style>
  <w:style w:type="paragraph" w:customStyle="1" w:styleId="80">
    <w:name w:val="样式4"/>
    <w:basedOn w:val="2"/>
    <w:autoRedefine/>
    <w:qFormat/>
    <w:uiPriority w:val="0"/>
    <w:rPr>
      <w:rFonts w:eastAsia="Arial"/>
    </w:rPr>
  </w:style>
  <w:style w:type="paragraph" w:customStyle="1" w:styleId="81">
    <w:name w:val="正文1"/>
    <w:autoRedefine/>
    <w:qFormat/>
    <w:uiPriority w:val="0"/>
    <w:pPr>
      <w:widowControl w:val="0"/>
      <w:adjustRightInd w:val="0"/>
      <w:spacing w:line="312" w:lineRule="atLeast"/>
      <w:jc w:val="both"/>
      <w:textAlignment w:val="baseline"/>
    </w:pPr>
    <w:rPr>
      <w:rFonts w:ascii="宋体" w:hAnsi="Times New Roman" w:eastAsia="宋体" w:cs="宋体"/>
      <w:sz w:val="24"/>
      <w:szCs w:val="24"/>
      <w:lang w:val="en-US" w:eastAsia="zh-CN" w:bidi="ar-SA"/>
    </w:rPr>
  </w:style>
  <w:style w:type="paragraph" w:customStyle="1" w:styleId="82">
    <w:name w:val="列出段落1"/>
    <w:basedOn w:val="1"/>
    <w:autoRedefine/>
    <w:qFormat/>
    <w:uiPriority w:val="0"/>
    <w:pPr>
      <w:ind w:firstLine="200" w:firstLineChars="200"/>
    </w:pPr>
  </w:style>
  <w:style w:type="paragraph" w:customStyle="1" w:styleId="83">
    <w:name w:val="p0 New"/>
    <w:basedOn w:val="1"/>
    <w:autoRedefine/>
    <w:qFormat/>
    <w:uiPriority w:val="0"/>
    <w:pPr>
      <w:widowControl/>
      <w:jc w:val="left"/>
    </w:pPr>
    <w:rPr>
      <w:rFonts w:ascii="宋体" w:hAnsi="宋体" w:cs="宋体"/>
      <w:kern w:val="0"/>
      <w:sz w:val="18"/>
      <w:szCs w:val="18"/>
    </w:rPr>
  </w:style>
  <w:style w:type="paragraph" w:customStyle="1" w:styleId="84">
    <w:name w:val="样式 标题 1 + 黑体 三号 非加粗 居中 段前: 6 磅 段后: 6 磅 行距: 固定值 20 磅"/>
    <w:basedOn w:val="3"/>
    <w:autoRedefine/>
    <w:qFormat/>
    <w:uiPriority w:val="0"/>
    <w:pPr>
      <w:spacing w:line="400" w:lineRule="exact"/>
    </w:pPr>
    <w:rPr>
      <w:rFonts w:ascii="黑体" w:hAnsi="黑体" w:eastAsia="黑体" w:cs="宋体"/>
      <w:b w:val="0"/>
      <w:bCs w:val="0"/>
      <w:sz w:val="32"/>
      <w:szCs w:val="20"/>
    </w:rPr>
  </w:style>
  <w:style w:type="paragraph" w:customStyle="1" w:styleId="85">
    <w:name w:val="_Style 78"/>
    <w:basedOn w:val="3"/>
    <w:next w:val="1"/>
    <w:autoRedefine/>
    <w:qFormat/>
    <w:uiPriority w:val="39"/>
    <w:pPr>
      <w:widowControl/>
      <w:spacing w:before="480" w:line="276" w:lineRule="auto"/>
      <w:jc w:val="left"/>
      <w:outlineLvl w:val="9"/>
    </w:pPr>
    <w:rPr>
      <w:rFonts w:ascii="Cambria" w:hAnsi="Cambria"/>
      <w:color w:val="365F91"/>
      <w:kern w:val="0"/>
      <w:sz w:val="28"/>
      <w:szCs w:val="28"/>
    </w:rPr>
  </w:style>
  <w:style w:type="paragraph" w:customStyle="1" w:styleId="86">
    <w:name w:val="Char1"/>
    <w:basedOn w:val="1"/>
    <w:autoRedefine/>
    <w:qFormat/>
    <w:uiPriority w:val="0"/>
    <w:pPr>
      <w:tabs>
        <w:tab w:val="left" w:pos="360"/>
      </w:tabs>
    </w:pPr>
    <w:rPr>
      <w:sz w:val="24"/>
    </w:rPr>
  </w:style>
  <w:style w:type="paragraph" w:customStyle="1" w:styleId="87">
    <w:name w:val="样式1"/>
    <w:basedOn w:val="2"/>
    <w:autoRedefine/>
    <w:qFormat/>
    <w:uiPriority w:val="0"/>
    <w:rPr>
      <w:rFonts w:eastAsia="Arial"/>
    </w:rPr>
  </w:style>
  <w:style w:type="paragraph" w:customStyle="1" w:styleId="88">
    <w:name w:val="Char Char Char Char Char Char Char Char Char Char Char Char Char"/>
    <w:basedOn w:val="1"/>
    <w:autoRedefine/>
    <w:qFormat/>
    <w:uiPriority w:val="0"/>
  </w:style>
  <w:style w:type="paragraph" w:customStyle="1" w:styleId="89">
    <w:name w:val="p"/>
    <w:basedOn w:val="1"/>
    <w:autoRedefine/>
    <w:qFormat/>
    <w:uiPriority w:val="0"/>
    <w:rPr>
      <w:rFonts w:ascii="宋体"/>
      <w:sz w:val="24"/>
    </w:rPr>
  </w:style>
  <w:style w:type="paragraph" w:customStyle="1" w:styleId="90">
    <w:name w:val="Char Char Char Char"/>
    <w:basedOn w:val="1"/>
    <w:autoRedefine/>
    <w:qFormat/>
    <w:uiPriority w:val="0"/>
  </w:style>
  <w:style w:type="paragraph" w:customStyle="1" w:styleId="91">
    <w:name w:val="_Style 84"/>
    <w:basedOn w:val="1"/>
    <w:next w:val="1"/>
    <w:autoRedefine/>
    <w:qFormat/>
    <w:uiPriority w:val="0"/>
    <w:pPr>
      <w:pBdr>
        <w:bottom w:val="single" w:color="auto" w:sz="6" w:space="1"/>
      </w:pBdr>
      <w:jc w:val="center"/>
    </w:pPr>
    <w:rPr>
      <w:rFonts w:ascii="Arial"/>
      <w:vanish/>
      <w:sz w:val="16"/>
    </w:rPr>
  </w:style>
  <w:style w:type="paragraph" w:customStyle="1" w:styleId="92">
    <w:name w:val="1"/>
    <w:basedOn w:val="1"/>
    <w:next w:val="1"/>
    <w:autoRedefine/>
    <w:qFormat/>
    <w:uiPriority w:val="0"/>
  </w:style>
  <w:style w:type="paragraph" w:customStyle="1" w:styleId="93">
    <w:name w:val="p15"/>
    <w:autoRedefine/>
    <w:qFormat/>
    <w:uiPriority w:val="0"/>
    <w:pPr>
      <w:jc w:val="both"/>
    </w:pPr>
    <w:rPr>
      <w:rFonts w:ascii="宋体" w:hAnsi="Times New Roman" w:eastAsia="宋体" w:cs="宋体"/>
      <w:sz w:val="21"/>
      <w:szCs w:val="21"/>
      <w:lang w:val="en-US" w:eastAsia="zh-CN" w:bidi="ar-SA"/>
    </w:rPr>
  </w:style>
  <w:style w:type="paragraph" w:customStyle="1" w:styleId="94">
    <w:name w:val="样式 标题 2 + Times New Roman 四号 非加粗 段前: 5 磅 段后: 0 磅 行距: 固定值 20..."/>
    <w:basedOn w:val="4"/>
    <w:autoRedefine/>
    <w:qFormat/>
    <w:uiPriority w:val="0"/>
    <w:pPr>
      <w:spacing w:line="400" w:lineRule="exact"/>
    </w:pPr>
    <w:rPr>
      <w:rFonts w:ascii="Times New Roman" w:hAnsi="Times New Roman" w:cs="宋体"/>
      <w:b w:val="0"/>
      <w:bCs w:val="0"/>
      <w:sz w:val="28"/>
      <w:szCs w:val="20"/>
    </w:rPr>
  </w:style>
  <w:style w:type="paragraph" w:customStyle="1" w:styleId="95">
    <w:name w:val="Table Paragraph"/>
    <w:basedOn w:val="1"/>
    <w:autoRedefine/>
    <w:qFormat/>
    <w:uiPriority w:val="0"/>
    <w:pPr>
      <w:autoSpaceDE w:val="0"/>
      <w:autoSpaceDN w:val="0"/>
      <w:jc w:val="left"/>
    </w:pPr>
    <w:rPr>
      <w:rFonts w:ascii="宋体" w:hAnsi="宋体" w:cs="宋体"/>
      <w:kern w:val="0"/>
      <w:sz w:val="22"/>
      <w:szCs w:val="22"/>
      <w:lang w:val="zh-CN"/>
    </w:rPr>
  </w:style>
  <w:style w:type="paragraph" w:customStyle="1" w:styleId="96">
    <w:name w:val="p0"/>
    <w:basedOn w:val="1"/>
    <w:autoRedefine/>
    <w:qFormat/>
    <w:uiPriority w:val="99"/>
    <w:pPr>
      <w:widowControl/>
    </w:pPr>
    <w:rPr>
      <w:kern w:val="0"/>
      <w:szCs w:val="21"/>
    </w:rPr>
  </w:style>
  <w:style w:type="paragraph" w:customStyle="1" w:styleId="97">
    <w:name w:val="样式3"/>
    <w:basedOn w:val="2"/>
    <w:autoRedefine/>
    <w:qFormat/>
    <w:uiPriority w:val="0"/>
    <w:rPr>
      <w:rFonts w:eastAsia="Arial"/>
    </w:rPr>
  </w:style>
  <w:style w:type="paragraph" w:customStyle="1" w:styleId="98">
    <w:name w:val="样式 标题 3 + (中文) 黑体 小四 非加粗 段前: 7.8 磅 段后: 0 磅 行距: 固定值 20 磅"/>
    <w:basedOn w:val="2"/>
    <w:autoRedefine/>
    <w:qFormat/>
    <w:uiPriority w:val="0"/>
    <w:pPr>
      <w:spacing w:line="400" w:lineRule="exact"/>
    </w:pPr>
    <w:rPr>
      <w:rFonts w:eastAsia="黑体" w:cs="宋体"/>
      <w:b w:val="0"/>
      <w:bCs w:val="0"/>
      <w:sz w:val="24"/>
      <w:szCs w:val="20"/>
    </w:rPr>
  </w:style>
  <w:style w:type="paragraph" w:customStyle="1" w:styleId="99">
    <w:name w:val="Char Char Char Char Char Char Char Char Char Char Char Char Char1"/>
    <w:basedOn w:val="1"/>
    <w:autoRedefine/>
    <w:qFormat/>
    <w:uiPriority w:val="0"/>
  </w:style>
  <w:style w:type="paragraph" w:customStyle="1" w:styleId="100">
    <w:name w:val="Char4"/>
    <w:basedOn w:val="1"/>
    <w:autoRedefine/>
    <w:qFormat/>
    <w:uiPriority w:val="0"/>
    <w:pPr>
      <w:widowControl/>
      <w:spacing w:line="360" w:lineRule="auto"/>
      <w:ind w:firstLine="200" w:firstLineChars="200"/>
      <w:textAlignment w:val="baseline"/>
    </w:pPr>
    <w:rPr>
      <w:color w:val="000000"/>
      <w:kern w:val="0"/>
      <w:szCs w:val="20"/>
      <w:u w:color="000000"/>
    </w:rPr>
  </w:style>
  <w:style w:type="paragraph" w:customStyle="1" w:styleId="101">
    <w:name w:val="正文2"/>
    <w:autoRedefine/>
    <w:qFormat/>
    <w:uiPriority w:val="0"/>
    <w:pPr>
      <w:widowControl w:val="0"/>
      <w:jc w:val="both"/>
    </w:pPr>
    <w:rPr>
      <w:rFonts w:ascii="Times New Roman" w:hAnsi="Times New Roman" w:eastAsia="宋体" w:cs="Times New Roman"/>
      <w:lang w:val="en-US" w:eastAsia="zh-CN" w:bidi="ar-SA"/>
    </w:rPr>
  </w:style>
  <w:style w:type="character" w:customStyle="1" w:styleId="102">
    <w:name w:val="first-child"/>
    <w:basedOn w:val="48"/>
    <w:autoRedefine/>
    <w:qFormat/>
    <w:uiPriority w:val="0"/>
  </w:style>
  <w:style w:type="character" w:customStyle="1" w:styleId="103">
    <w:name w:val="Char Char Char Char Char Char"/>
    <w:autoRedefine/>
    <w:qFormat/>
    <w:uiPriority w:val="0"/>
    <w:rPr>
      <w:rFonts w:ascii="Arial" w:hAnsi="Arial" w:eastAsia="黑体"/>
      <w:b/>
      <w:bCs/>
      <w:kern w:val="2"/>
      <w:sz w:val="32"/>
      <w:szCs w:val="32"/>
      <w:lang w:val="en-US" w:eastAsia="zh-CN" w:bidi="ar-SA"/>
    </w:rPr>
  </w:style>
  <w:style w:type="character" w:customStyle="1" w:styleId="104">
    <w:name w:val="l11"/>
    <w:autoRedefine/>
    <w:qFormat/>
    <w:uiPriority w:val="0"/>
    <w:rPr>
      <w:color w:val="999999"/>
    </w:rPr>
  </w:style>
  <w:style w:type="character" w:customStyle="1" w:styleId="105">
    <w:name w:val="Char Char"/>
    <w:autoRedefine/>
    <w:qFormat/>
    <w:uiPriority w:val="0"/>
    <w:rPr>
      <w:rFonts w:ascii="Arial" w:hAnsi="Arial" w:eastAsia="黑体"/>
      <w:b/>
      <w:bCs/>
      <w:kern w:val="2"/>
      <w:sz w:val="32"/>
      <w:szCs w:val="32"/>
      <w:lang w:val="en-US" w:eastAsia="zh-CN" w:bidi="ar-SA"/>
    </w:rPr>
  </w:style>
  <w:style w:type="character" w:customStyle="1" w:styleId="106">
    <w:name w:val="Char Char5"/>
    <w:autoRedefine/>
    <w:qFormat/>
    <w:uiPriority w:val="0"/>
    <w:rPr>
      <w:rFonts w:ascii="Arial" w:hAnsi="Arial" w:eastAsia="黑体"/>
      <w:b/>
      <w:bCs/>
      <w:kern w:val="2"/>
      <w:sz w:val="32"/>
      <w:szCs w:val="32"/>
    </w:rPr>
  </w:style>
  <w:style w:type="character" w:customStyle="1" w:styleId="107">
    <w:name w:val="msg-box28"/>
    <w:basedOn w:val="48"/>
    <w:autoRedefine/>
    <w:qFormat/>
    <w:uiPriority w:val="0"/>
  </w:style>
  <w:style w:type="character" w:customStyle="1" w:styleId="108">
    <w:name w:val="img_title6"/>
    <w:autoRedefine/>
    <w:qFormat/>
    <w:uiPriority w:val="0"/>
    <w:rPr>
      <w:vanish/>
    </w:rPr>
  </w:style>
  <w:style w:type="character" w:customStyle="1" w:styleId="109">
    <w:name w:val="tit12"/>
    <w:autoRedefine/>
    <w:qFormat/>
    <w:uiPriority w:val="0"/>
    <w:rPr>
      <w:color w:val="04A06C"/>
    </w:rPr>
  </w:style>
  <w:style w:type="character" w:customStyle="1" w:styleId="110">
    <w:name w:val="Char Char2"/>
    <w:autoRedefine/>
    <w:qFormat/>
    <w:uiPriority w:val="0"/>
    <w:rPr>
      <w:rFonts w:eastAsia="宋体"/>
      <w:kern w:val="2"/>
      <w:sz w:val="21"/>
      <w:szCs w:val="24"/>
      <w:lang w:val="en-US" w:eastAsia="zh-CN" w:bidi="ar-SA"/>
    </w:rPr>
  </w:style>
  <w:style w:type="character" w:customStyle="1" w:styleId="111">
    <w:name w:val="nostart"/>
    <w:autoRedefine/>
    <w:qFormat/>
    <w:uiPriority w:val="0"/>
    <w:rPr>
      <w:color w:val="FF0000"/>
    </w:rPr>
  </w:style>
  <w:style w:type="character" w:customStyle="1" w:styleId="112">
    <w:name w:val="nostart3"/>
    <w:basedOn w:val="48"/>
    <w:autoRedefine/>
    <w:qFormat/>
    <w:uiPriority w:val="0"/>
  </w:style>
  <w:style w:type="character" w:customStyle="1" w:styleId="113">
    <w:name w:val="img4"/>
    <w:basedOn w:val="48"/>
    <w:autoRedefine/>
    <w:qFormat/>
    <w:uiPriority w:val="0"/>
  </w:style>
  <w:style w:type="character" w:customStyle="1" w:styleId="114">
    <w:name w:val="tit11"/>
    <w:autoRedefine/>
    <w:qFormat/>
    <w:uiPriority w:val="0"/>
    <w:rPr>
      <w:color w:val="B60000"/>
    </w:rPr>
  </w:style>
  <w:style w:type="character" w:customStyle="1" w:styleId="115">
    <w:name w:val="批注文字 Char"/>
    <w:link w:val="18"/>
    <w:autoRedefine/>
    <w:qFormat/>
    <w:uiPriority w:val="0"/>
    <w:rPr>
      <w:rFonts w:eastAsia="宋体"/>
      <w:kern w:val="2"/>
      <w:sz w:val="21"/>
      <w:szCs w:val="24"/>
      <w:lang w:val="en-US" w:eastAsia="zh-CN" w:bidi="ar-SA"/>
    </w:rPr>
  </w:style>
  <w:style w:type="character" w:customStyle="1" w:styleId="116">
    <w:name w:val="over"/>
    <w:autoRedefine/>
    <w:qFormat/>
    <w:uiPriority w:val="0"/>
    <w:rPr>
      <w:color w:val="B60000"/>
    </w:rPr>
  </w:style>
  <w:style w:type="character" w:customStyle="1" w:styleId="117">
    <w:name w:val="HTML 预设格式 Char"/>
    <w:link w:val="41"/>
    <w:autoRedefine/>
    <w:qFormat/>
    <w:uiPriority w:val="0"/>
    <w:rPr>
      <w:rFonts w:ascii="宋体" w:hAnsi="宋体" w:cs="宋体"/>
      <w:sz w:val="24"/>
      <w:szCs w:val="24"/>
    </w:rPr>
  </w:style>
  <w:style w:type="character" w:customStyle="1" w:styleId="118">
    <w:name w:val="l6"/>
    <w:autoRedefine/>
    <w:qFormat/>
    <w:uiPriority w:val="0"/>
    <w:rPr>
      <w:color w:val="999999"/>
    </w:rPr>
  </w:style>
  <w:style w:type="character" w:customStyle="1" w:styleId="119">
    <w:name w:val="datetime"/>
    <w:autoRedefine/>
    <w:qFormat/>
    <w:uiPriority w:val="0"/>
    <w:rPr>
      <w:rFonts w:hint="default" w:ascii="Arial" w:hAnsi="Arial" w:cs="Arial"/>
      <w:color w:val="999999"/>
      <w:sz w:val="21"/>
      <w:szCs w:val="21"/>
    </w:rPr>
  </w:style>
  <w:style w:type="character" w:customStyle="1" w:styleId="120">
    <w:name w:val="txt1"/>
    <w:basedOn w:val="48"/>
    <w:autoRedefine/>
    <w:qFormat/>
    <w:uiPriority w:val="0"/>
  </w:style>
  <w:style w:type="character" w:customStyle="1" w:styleId="121">
    <w:name w:val="starting1"/>
    <w:autoRedefine/>
    <w:qFormat/>
    <w:uiPriority w:val="0"/>
    <w:rPr>
      <w:color w:val="339900"/>
    </w:rPr>
  </w:style>
  <w:style w:type="character" w:customStyle="1" w:styleId="122">
    <w:name w:val="starting2"/>
    <w:autoRedefine/>
    <w:qFormat/>
    <w:uiPriority w:val="0"/>
    <w:rPr>
      <w:color w:val="B60000"/>
    </w:rPr>
  </w:style>
  <w:style w:type="character" w:customStyle="1" w:styleId="123">
    <w:name w:val="red"/>
    <w:autoRedefine/>
    <w:qFormat/>
    <w:uiPriority w:val="0"/>
    <w:rPr>
      <w:rFonts w:hint="default" w:ascii="Arial" w:hAnsi="Arial" w:cs="Arial"/>
      <w:color w:val="E50000"/>
    </w:rPr>
  </w:style>
  <w:style w:type="character" w:customStyle="1" w:styleId="124">
    <w:name w:val="Char Char4"/>
    <w:autoRedefine/>
    <w:qFormat/>
    <w:uiPriority w:val="0"/>
    <w:rPr>
      <w:rFonts w:eastAsia="宋体"/>
      <w:b/>
      <w:bCs/>
      <w:kern w:val="44"/>
      <w:sz w:val="44"/>
      <w:szCs w:val="44"/>
      <w:lang w:val="en-US" w:eastAsia="zh-CN" w:bidi="ar-SA"/>
    </w:rPr>
  </w:style>
  <w:style w:type="character" w:customStyle="1" w:styleId="125">
    <w:name w:val="font161"/>
    <w:autoRedefine/>
    <w:qFormat/>
    <w:uiPriority w:val="0"/>
    <w:rPr>
      <w:b/>
      <w:bCs/>
      <w:sz w:val="32"/>
      <w:szCs w:val="32"/>
    </w:rPr>
  </w:style>
  <w:style w:type="character" w:customStyle="1" w:styleId="126">
    <w:name w:val="Char Char8"/>
    <w:autoRedefine/>
    <w:qFormat/>
    <w:uiPriority w:val="0"/>
    <w:rPr>
      <w:rFonts w:ascii="Arial" w:hAnsi="Arial" w:eastAsia="黑体"/>
      <w:b/>
      <w:bCs/>
      <w:kern w:val="2"/>
      <w:sz w:val="32"/>
      <w:szCs w:val="32"/>
      <w:lang w:val="en-US" w:eastAsia="zh-CN" w:bidi="ar-SA"/>
    </w:rPr>
  </w:style>
  <w:style w:type="character" w:customStyle="1" w:styleId="127">
    <w:name w:val="msg-box29"/>
    <w:basedOn w:val="48"/>
    <w:autoRedefine/>
    <w:qFormat/>
    <w:uiPriority w:val="0"/>
  </w:style>
  <w:style w:type="character" w:customStyle="1" w:styleId="128">
    <w:name w:val="over2"/>
    <w:autoRedefine/>
    <w:qFormat/>
    <w:uiPriority w:val="0"/>
    <w:rPr>
      <w:color w:val="999999"/>
    </w:rPr>
  </w:style>
  <w:style w:type="character" w:customStyle="1" w:styleId="129">
    <w:name w:val="img_title7"/>
    <w:autoRedefine/>
    <w:qFormat/>
    <w:uiPriority w:val="0"/>
    <w:rPr>
      <w:vanish/>
    </w:rPr>
  </w:style>
  <w:style w:type="character" w:customStyle="1" w:styleId="130">
    <w:name w:val="l7"/>
    <w:autoRedefine/>
    <w:qFormat/>
    <w:uiPriority w:val="0"/>
    <w:rPr>
      <w:color w:val="999999"/>
    </w:rPr>
  </w:style>
  <w:style w:type="character" w:customStyle="1" w:styleId="131">
    <w:name w:val="标题 5 Char"/>
    <w:link w:val="6"/>
    <w:autoRedefine/>
    <w:qFormat/>
    <w:uiPriority w:val="0"/>
    <w:rPr>
      <w:b/>
      <w:bCs/>
      <w:kern w:val="2"/>
      <w:sz w:val="28"/>
      <w:szCs w:val="28"/>
    </w:rPr>
  </w:style>
  <w:style w:type="character" w:customStyle="1" w:styleId="132">
    <w:name w:val="l51"/>
    <w:autoRedefine/>
    <w:qFormat/>
    <w:uiPriority w:val="0"/>
    <w:rPr>
      <w:color w:val="999999"/>
    </w:rPr>
  </w:style>
  <w:style w:type="character" w:customStyle="1" w:styleId="133">
    <w:name w:val="num81"/>
    <w:basedOn w:val="48"/>
    <w:autoRedefine/>
    <w:qFormat/>
    <w:uiPriority w:val="0"/>
  </w:style>
  <w:style w:type="character" w:customStyle="1" w:styleId="134">
    <w:name w:val="Char Char1"/>
    <w:autoRedefine/>
    <w:qFormat/>
    <w:uiPriority w:val="0"/>
    <w:rPr>
      <w:rFonts w:eastAsia="宋体"/>
      <w:kern w:val="2"/>
      <w:sz w:val="21"/>
      <w:szCs w:val="24"/>
      <w:lang w:val="en-US" w:eastAsia="zh-CN" w:bidi="ar-SA"/>
    </w:rPr>
  </w:style>
  <w:style w:type="character" w:customStyle="1" w:styleId="135">
    <w:name w:val="zs"/>
    <w:autoRedefine/>
    <w:qFormat/>
    <w:uiPriority w:val="0"/>
    <w:rPr>
      <w:color w:val="8D744B"/>
      <w:sz w:val="18"/>
      <w:szCs w:val="18"/>
    </w:rPr>
  </w:style>
  <w:style w:type="character" w:customStyle="1" w:styleId="136">
    <w:name w:val="bigfont"/>
    <w:basedOn w:val="48"/>
    <w:autoRedefine/>
    <w:qFormat/>
    <w:uiPriority w:val="0"/>
  </w:style>
  <w:style w:type="character" w:customStyle="1" w:styleId="137">
    <w:name w:val="txt"/>
    <w:autoRedefine/>
    <w:qFormat/>
    <w:uiPriority w:val="0"/>
    <w:rPr>
      <w:color w:val="C0C0C0"/>
    </w:rPr>
  </w:style>
  <w:style w:type="character" w:customStyle="1" w:styleId="138">
    <w:name w:val="纯文本 Char2"/>
    <w:link w:val="25"/>
    <w:autoRedefine/>
    <w:qFormat/>
    <w:uiPriority w:val="0"/>
    <w:rPr>
      <w:rFonts w:ascii="Courier New" w:hAnsi="Courier New" w:eastAsia="宋体"/>
      <w:kern w:val="2"/>
      <w:sz w:val="21"/>
      <w:lang w:val="en-US" w:eastAsia="zh-CN" w:bidi="ar-SA"/>
    </w:rPr>
  </w:style>
  <w:style w:type="character" w:customStyle="1" w:styleId="139">
    <w:name w:val="jg"/>
    <w:basedOn w:val="48"/>
    <w:autoRedefine/>
    <w:qFormat/>
    <w:uiPriority w:val="0"/>
  </w:style>
  <w:style w:type="character" w:customStyle="1" w:styleId="140">
    <w:name w:val="17"/>
    <w:autoRedefine/>
    <w:qFormat/>
    <w:uiPriority w:val="0"/>
    <w:rPr>
      <w:rFonts w:ascii="仿宋_GB2312" w:eastAsia="仿宋_GB2312"/>
      <w:color w:val="auto"/>
      <w:sz w:val="28"/>
      <w:szCs w:val="28"/>
      <w:u w:val="single"/>
    </w:rPr>
  </w:style>
  <w:style w:type="character" w:customStyle="1" w:styleId="141">
    <w:name w:val="job"/>
    <w:basedOn w:val="48"/>
    <w:autoRedefine/>
    <w:qFormat/>
    <w:uiPriority w:val="0"/>
  </w:style>
  <w:style w:type="character" w:customStyle="1" w:styleId="142">
    <w:name w:val="job1"/>
    <w:basedOn w:val="48"/>
    <w:autoRedefine/>
    <w:qFormat/>
    <w:uiPriority w:val="0"/>
  </w:style>
  <w:style w:type="character" w:customStyle="1" w:styleId="143">
    <w:name w:val="正文文本 Char"/>
    <w:link w:val="20"/>
    <w:autoRedefine/>
    <w:qFormat/>
    <w:uiPriority w:val="0"/>
    <w:rPr>
      <w:rFonts w:eastAsia="宋体"/>
      <w:kern w:val="2"/>
      <w:sz w:val="21"/>
      <w:szCs w:val="24"/>
      <w:lang w:val="en-US" w:eastAsia="zh-CN" w:bidi="ar-SA"/>
    </w:rPr>
  </w:style>
  <w:style w:type="character" w:customStyle="1" w:styleId="144">
    <w:name w:val="p05"/>
    <w:basedOn w:val="48"/>
    <w:autoRedefine/>
    <w:qFormat/>
    <w:uiPriority w:val="0"/>
  </w:style>
  <w:style w:type="character" w:customStyle="1" w:styleId="145">
    <w:name w:val="Char Char7"/>
    <w:autoRedefine/>
    <w:qFormat/>
    <w:uiPriority w:val="0"/>
    <w:rPr>
      <w:rFonts w:ascii="Arial" w:hAnsi="Arial" w:eastAsia="黑体"/>
      <w:b/>
      <w:bCs/>
      <w:kern w:val="2"/>
      <w:sz w:val="32"/>
      <w:szCs w:val="32"/>
      <w:lang w:val="en-US" w:eastAsia="zh-CN" w:bidi="ar-SA"/>
    </w:rPr>
  </w:style>
  <w:style w:type="character" w:customStyle="1" w:styleId="146">
    <w:name w:val="over3"/>
    <w:basedOn w:val="48"/>
    <w:autoRedefine/>
    <w:qFormat/>
    <w:uiPriority w:val="0"/>
  </w:style>
  <w:style w:type="character" w:customStyle="1" w:styleId="147">
    <w:name w:val="Char Char3"/>
    <w:autoRedefine/>
    <w:qFormat/>
    <w:uiPriority w:val="0"/>
    <w:rPr>
      <w:rFonts w:ascii="Arial" w:hAnsi="Arial" w:eastAsia="黑体"/>
      <w:b/>
      <w:bCs/>
      <w:kern w:val="2"/>
      <w:sz w:val="32"/>
      <w:szCs w:val="32"/>
      <w:lang w:val="en-US" w:eastAsia="zh-CN" w:bidi="ar-SA"/>
    </w:rPr>
  </w:style>
  <w:style w:type="character" w:customStyle="1" w:styleId="148">
    <w:name w:val="Char Char71"/>
    <w:autoRedefine/>
    <w:qFormat/>
    <w:uiPriority w:val="0"/>
    <w:rPr>
      <w:rFonts w:ascii="Arial" w:hAnsi="Arial" w:eastAsia="黑体"/>
      <w:b/>
      <w:bCs/>
      <w:kern w:val="2"/>
      <w:sz w:val="32"/>
      <w:szCs w:val="32"/>
      <w:lang w:val="en-US" w:eastAsia="zh-CN" w:bidi="ar-SA"/>
    </w:rPr>
  </w:style>
  <w:style w:type="character" w:customStyle="1" w:styleId="149">
    <w:name w:val="num51"/>
    <w:basedOn w:val="48"/>
    <w:autoRedefine/>
    <w:qFormat/>
    <w:uiPriority w:val="0"/>
  </w:style>
  <w:style w:type="character" w:customStyle="1" w:styleId="150">
    <w:name w:val="Char Char Char"/>
    <w:autoRedefine/>
    <w:qFormat/>
    <w:uiPriority w:val="0"/>
    <w:rPr>
      <w:rFonts w:eastAsia="宋体"/>
      <w:b/>
      <w:bCs/>
      <w:kern w:val="44"/>
      <w:sz w:val="44"/>
      <w:szCs w:val="44"/>
      <w:lang w:val="en-US" w:eastAsia="zh-CN" w:bidi="ar-SA"/>
    </w:rPr>
  </w:style>
  <w:style w:type="character" w:customStyle="1" w:styleId="151">
    <w:name w:val="msg-box31"/>
    <w:basedOn w:val="48"/>
    <w:autoRedefine/>
    <w:qFormat/>
    <w:uiPriority w:val="0"/>
  </w:style>
  <w:style w:type="character" w:customStyle="1" w:styleId="152">
    <w:name w:val="msg-box30"/>
    <w:basedOn w:val="48"/>
    <w:autoRedefine/>
    <w:qFormat/>
    <w:uiPriority w:val="0"/>
  </w:style>
  <w:style w:type="character" w:customStyle="1" w:styleId="153">
    <w:name w:val="标题 1 Char Char"/>
    <w:autoRedefine/>
    <w:qFormat/>
    <w:uiPriority w:val="0"/>
    <w:rPr>
      <w:rFonts w:eastAsia="宋体"/>
      <w:b/>
      <w:bCs/>
      <w:kern w:val="44"/>
      <w:sz w:val="44"/>
      <w:szCs w:val="44"/>
      <w:lang w:val="en-US" w:eastAsia="zh-CN" w:bidi="ar-SA"/>
    </w:rPr>
  </w:style>
  <w:style w:type="character" w:customStyle="1" w:styleId="154">
    <w:name w:val="标题 3 Char"/>
    <w:link w:val="2"/>
    <w:autoRedefine/>
    <w:qFormat/>
    <w:uiPriority w:val="0"/>
    <w:rPr>
      <w:b/>
      <w:bCs/>
      <w:sz w:val="32"/>
      <w:szCs w:val="32"/>
    </w:rPr>
  </w:style>
  <w:style w:type="character" w:customStyle="1" w:styleId="155">
    <w:name w:val="c1"/>
    <w:basedOn w:val="48"/>
    <w:autoRedefine/>
    <w:qFormat/>
    <w:uiPriority w:val="0"/>
  </w:style>
  <w:style w:type="character" w:customStyle="1" w:styleId="156">
    <w:name w:val="纯文本 Char1"/>
    <w:autoRedefine/>
    <w:qFormat/>
    <w:uiPriority w:val="0"/>
    <w:rPr>
      <w:rFonts w:ascii="Courier New" w:hAnsi="Courier New" w:eastAsia="宋体"/>
      <w:kern w:val="2"/>
      <w:sz w:val="21"/>
      <w:lang w:val="en-US" w:eastAsia="zh-CN" w:bidi="ar-SA"/>
    </w:rPr>
  </w:style>
  <w:style w:type="character" w:customStyle="1" w:styleId="157">
    <w:name w:val="Char Char Char1"/>
    <w:autoRedefine/>
    <w:qFormat/>
    <w:uiPriority w:val="0"/>
    <w:rPr>
      <w:rFonts w:ascii="Arial" w:hAnsi="Arial" w:eastAsia="黑体"/>
      <w:b/>
      <w:bCs/>
      <w:kern w:val="2"/>
      <w:sz w:val="32"/>
      <w:szCs w:val="32"/>
      <w:lang w:val="en-US" w:eastAsia="zh-CN" w:bidi="ar-SA"/>
    </w:rPr>
  </w:style>
  <w:style w:type="character" w:customStyle="1" w:styleId="158">
    <w:name w:val="l3"/>
    <w:autoRedefine/>
    <w:qFormat/>
    <w:uiPriority w:val="0"/>
    <w:rPr>
      <w:color w:val="999999"/>
    </w:rPr>
  </w:style>
  <w:style w:type="character" w:customStyle="1" w:styleId="159">
    <w:name w:val="tit14"/>
    <w:autoRedefine/>
    <w:qFormat/>
    <w:uiPriority w:val="0"/>
    <w:rPr>
      <w:color w:val="B60000"/>
    </w:rPr>
  </w:style>
  <w:style w:type="character" w:customStyle="1" w:styleId="160">
    <w:name w:val="tit10"/>
    <w:autoRedefine/>
    <w:qFormat/>
    <w:uiPriority w:val="0"/>
    <w:rPr>
      <w:color w:val="B60000"/>
    </w:rPr>
  </w:style>
  <w:style w:type="character" w:customStyle="1" w:styleId="161">
    <w:name w:val="l21"/>
    <w:autoRedefine/>
    <w:qFormat/>
    <w:uiPriority w:val="0"/>
    <w:rPr>
      <w:color w:val="999999"/>
    </w:rPr>
  </w:style>
  <w:style w:type="character" w:customStyle="1" w:styleId="162">
    <w:name w:val="num71"/>
    <w:basedOn w:val="48"/>
    <w:autoRedefine/>
    <w:qFormat/>
    <w:uiPriority w:val="0"/>
  </w:style>
  <w:style w:type="character" w:customStyle="1" w:styleId="163">
    <w:name w:val="标题 2 Char Char"/>
    <w:autoRedefine/>
    <w:qFormat/>
    <w:uiPriority w:val="0"/>
    <w:rPr>
      <w:rFonts w:ascii="Arial" w:hAnsi="Arial" w:eastAsia="黑体"/>
      <w:b/>
      <w:bCs/>
      <w:kern w:val="2"/>
      <w:sz w:val="32"/>
      <w:szCs w:val="32"/>
      <w:lang w:val="en-US" w:eastAsia="zh-CN" w:bidi="ar-SA"/>
    </w:rPr>
  </w:style>
  <w:style w:type="character" w:customStyle="1" w:styleId="164">
    <w:name w:val="buvis"/>
    <w:autoRedefine/>
    <w:qFormat/>
    <w:uiPriority w:val="0"/>
    <w:rPr>
      <w:color w:val="999999"/>
    </w:rPr>
  </w:style>
  <w:style w:type="character" w:customStyle="1" w:styleId="165">
    <w:name w:val="name"/>
    <w:autoRedefine/>
    <w:qFormat/>
    <w:uiPriority w:val="0"/>
    <w:rPr>
      <w:color w:val="444444"/>
      <w:sz w:val="21"/>
      <w:szCs w:val="21"/>
    </w:rPr>
  </w:style>
  <w:style w:type="character" w:customStyle="1" w:styleId="166">
    <w:name w:val="layui-this"/>
    <w:autoRedefine/>
    <w:qFormat/>
    <w:uiPriority w:val="0"/>
    <w:rPr>
      <w:bdr w:val="single" w:color="EEEEEE" w:sz="6" w:space="0"/>
      <w:shd w:val="clear" w:color="auto" w:fill="FFFFFF"/>
    </w:rPr>
  </w:style>
  <w:style w:type="character" w:customStyle="1" w:styleId="167">
    <w:name w:val="标题 2 Char1"/>
    <w:autoRedefine/>
    <w:qFormat/>
    <w:uiPriority w:val="0"/>
    <w:rPr>
      <w:rFonts w:ascii="Arial" w:hAnsi="Arial" w:eastAsia="黑体"/>
      <w:b/>
      <w:bCs/>
      <w:kern w:val="2"/>
      <w:sz w:val="32"/>
      <w:szCs w:val="32"/>
      <w:lang w:val="en-US" w:eastAsia="zh-CN" w:bidi="ar-SA"/>
    </w:rPr>
  </w:style>
  <w:style w:type="character" w:customStyle="1" w:styleId="168">
    <w:name w:val="zw"/>
    <w:autoRedefine/>
    <w:qFormat/>
    <w:uiPriority w:val="0"/>
    <w:rPr>
      <w:color w:val="BD1E22"/>
      <w:sz w:val="22"/>
      <w:szCs w:val="22"/>
    </w:rPr>
  </w:style>
  <w:style w:type="character" w:customStyle="1" w:styleId="169">
    <w:name w:val="name1"/>
    <w:autoRedefine/>
    <w:qFormat/>
    <w:uiPriority w:val="0"/>
    <w:rPr>
      <w:color w:val="695435"/>
      <w:sz w:val="24"/>
      <w:szCs w:val="24"/>
    </w:rPr>
  </w:style>
  <w:style w:type="character" w:customStyle="1" w:styleId="170">
    <w:name w:val="num61"/>
    <w:basedOn w:val="48"/>
    <w:autoRedefine/>
    <w:qFormat/>
    <w:uiPriority w:val="0"/>
  </w:style>
  <w:style w:type="character" w:customStyle="1" w:styleId="171">
    <w:name w:val="mesg-myd"/>
    <w:autoRedefine/>
    <w:qFormat/>
    <w:uiPriority w:val="0"/>
    <w:rPr>
      <w:color w:val="EE0000"/>
    </w:rPr>
  </w:style>
  <w:style w:type="character" w:customStyle="1" w:styleId="172">
    <w:name w:val="c2"/>
    <w:basedOn w:val="48"/>
    <w:autoRedefine/>
    <w:qFormat/>
    <w:uiPriority w:val="0"/>
  </w:style>
  <w:style w:type="character" w:customStyle="1" w:styleId="173">
    <w:name w:val="c3"/>
    <w:basedOn w:val="48"/>
    <w:autoRedefine/>
    <w:qFormat/>
    <w:uiPriority w:val="0"/>
  </w:style>
  <w:style w:type="character" w:customStyle="1" w:styleId="174">
    <w:name w:val="over1"/>
    <w:autoRedefine/>
    <w:qFormat/>
    <w:uiPriority w:val="0"/>
    <w:rPr>
      <w:color w:val="B60000"/>
    </w:rPr>
  </w:style>
  <w:style w:type="character" w:customStyle="1" w:styleId="175">
    <w:name w:val="tit13"/>
    <w:autoRedefine/>
    <w:qFormat/>
    <w:uiPriority w:val="0"/>
    <w:rPr>
      <w:color w:val="FFFFFF"/>
    </w:rPr>
  </w:style>
  <w:style w:type="character" w:customStyle="1" w:styleId="176">
    <w:name w:val="Char Char21"/>
    <w:autoRedefine/>
    <w:qFormat/>
    <w:uiPriority w:val="0"/>
    <w:rPr>
      <w:rFonts w:eastAsia="宋体"/>
      <w:kern w:val="2"/>
      <w:sz w:val="21"/>
      <w:szCs w:val="24"/>
      <w:lang w:val="en-US" w:eastAsia="zh-CN" w:bidi="ar-SA"/>
    </w:rPr>
  </w:style>
  <w:style w:type="character" w:customStyle="1" w:styleId="177">
    <w:name w:val="l41"/>
    <w:autoRedefine/>
    <w:qFormat/>
    <w:uiPriority w:val="0"/>
    <w:rPr>
      <w:color w:val="999999"/>
    </w:rPr>
  </w:style>
  <w:style w:type="character" w:customStyle="1" w:styleId="178">
    <w:name w:val="16"/>
    <w:autoRedefine/>
    <w:qFormat/>
    <w:uiPriority w:val="0"/>
    <w:rPr>
      <w:rFonts w:ascii="仿宋_GB2312" w:eastAsia="仿宋_GB2312"/>
      <w:color w:val="auto"/>
      <w:sz w:val="28"/>
      <w:szCs w:val="28"/>
    </w:rPr>
  </w:style>
  <w:style w:type="character" w:customStyle="1" w:styleId="179">
    <w:name w:val="num31"/>
    <w:basedOn w:val="48"/>
    <w:autoRedefine/>
    <w:qFormat/>
    <w:uiPriority w:val="0"/>
  </w:style>
  <w:style w:type="character" w:customStyle="1" w:styleId="180">
    <w:name w:val="starting4"/>
    <w:basedOn w:val="48"/>
    <w:autoRedefine/>
    <w:qFormat/>
    <w:uiPriority w:val="0"/>
  </w:style>
  <w:style w:type="character" w:customStyle="1" w:styleId="181">
    <w:name w:val="bsharetext"/>
    <w:basedOn w:val="48"/>
    <w:autoRedefine/>
    <w:qFormat/>
    <w:uiPriority w:val="0"/>
  </w:style>
  <w:style w:type="character" w:customStyle="1" w:styleId="182">
    <w:name w:val="unit"/>
    <w:autoRedefine/>
    <w:qFormat/>
    <w:uiPriority w:val="0"/>
    <w:rPr>
      <w:color w:val="999999"/>
    </w:rPr>
  </w:style>
  <w:style w:type="character" w:customStyle="1" w:styleId="183">
    <w:name w:val="nostart2"/>
    <w:autoRedefine/>
    <w:qFormat/>
    <w:uiPriority w:val="0"/>
    <w:rPr>
      <w:color w:val="B60000"/>
    </w:rPr>
  </w:style>
  <w:style w:type="character" w:customStyle="1" w:styleId="184">
    <w:name w:val="纯文本 Char"/>
    <w:autoRedefine/>
    <w:qFormat/>
    <w:uiPriority w:val="99"/>
    <w:rPr>
      <w:rFonts w:ascii="Courier New" w:hAnsi="Courier New" w:eastAsia="宋体"/>
      <w:kern w:val="2"/>
      <w:sz w:val="21"/>
      <w:lang w:val="en-US" w:eastAsia="zh-CN" w:bidi="ar-SA"/>
    </w:rPr>
  </w:style>
  <w:style w:type="character" w:customStyle="1" w:styleId="185">
    <w:name w:val="Char Char81"/>
    <w:autoRedefine/>
    <w:qFormat/>
    <w:uiPriority w:val="0"/>
    <w:rPr>
      <w:rFonts w:ascii="Arial" w:hAnsi="Arial" w:eastAsia="黑体"/>
      <w:b/>
      <w:bCs/>
      <w:kern w:val="2"/>
      <w:sz w:val="32"/>
      <w:szCs w:val="32"/>
      <w:lang w:val="en-US" w:eastAsia="zh-CN" w:bidi="ar-SA"/>
    </w:rPr>
  </w:style>
  <w:style w:type="character" w:customStyle="1" w:styleId="186">
    <w:name w:val="starting"/>
    <w:autoRedefine/>
    <w:qFormat/>
    <w:uiPriority w:val="0"/>
    <w:rPr>
      <w:color w:val="339900"/>
    </w:rPr>
  </w:style>
  <w:style w:type="character" w:customStyle="1" w:styleId="187">
    <w:name w:val="nostart1"/>
    <w:autoRedefine/>
    <w:qFormat/>
    <w:uiPriority w:val="0"/>
    <w:rPr>
      <w:color w:val="FF0000"/>
    </w:rPr>
  </w:style>
  <w:style w:type="character" w:customStyle="1" w:styleId="188">
    <w:name w:val="num210"/>
    <w:basedOn w:val="48"/>
    <w:autoRedefine/>
    <w:qFormat/>
    <w:uiPriority w:val="0"/>
  </w:style>
  <w:style w:type="character" w:customStyle="1" w:styleId="189">
    <w:name w:val="buvis1"/>
    <w:autoRedefine/>
    <w:qFormat/>
    <w:uiPriority w:val="0"/>
    <w:rPr>
      <w:color w:val="CC0000"/>
    </w:rPr>
  </w:style>
  <w:style w:type="character" w:customStyle="1" w:styleId="190">
    <w:name w:val="starting3"/>
    <w:basedOn w:val="48"/>
    <w:autoRedefine/>
    <w:qFormat/>
    <w:uiPriority w:val="0"/>
  </w:style>
  <w:style w:type="character" w:customStyle="1" w:styleId="191">
    <w:name w:val="textcontents"/>
    <w:basedOn w:val="48"/>
    <w:autoRedefine/>
    <w:qFormat/>
    <w:uiPriority w:val="0"/>
  </w:style>
  <w:style w:type="character" w:customStyle="1" w:styleId="192">
    <w:name w:val="num41"/>
    <w:basedOn w:val="48"/>
    <w:autoRedefine/>
    <w:qFormat/>
    <w:uiPriority w:val="0"/>
  </w:style>
  <w:style w:type="character" w:customStyle="1" w:styleId="193">
    <w:name w:val="tit9"/>
    <w:autoRedefine/>
    <w:qFormat/>
    <w:uiPriority w:val="0"/>
    <w:rPr>
      <w:color w:val="B60000"/>
      <w:sz w:val="27"/>
      <w:szCs w:val="27"/>
      <w:bdr w:val="single" w:color="DFCEB8" w:sz="6" w:space="0"/>
      <w:shd w:val="clear" w:color="auto" w:fill="FFFFFF"/>
    </w:rPr>
  </w:style>
  <w:style w:type="character" w:customStyle="1" w:styleId="194">
    <w:name w:val="name2"/>
    <w:autoRedefine/>
    <w:qFormat/>
    <w:uiPriority w:val="0"/>
    <w:rPr>
      <w:color w:val="000000"/>
      <w:sz w:val="39"/>
      <w:szCs w:val="39"/>
    </w:rPr>
  </w:style>
  <w:style w:type="character" w:customStyle="1" w:styleId="195">
    <w:name w:val="img_title8"/>
    <w:autoRedefine/>
    <w:qFormat/>
    <w:uiPriority w:val="0"/>
    <w:rPr>
      <w:vanish/>
    </w:rPr>
  </w:style>
  <w:style w:type="character" w:customStyle="1" w:styleId="196">
    <w:name w:val="tit15"/>
    <w:autoRedefine/>
    <w:qFormat/>
    <w:uiPriority w:val="0"/>
    <w:rPr>
      <w:b/>
      <w:color w:val="B60000"/>
    </w:rPr>
  </w:style>
  <w:style w:type="character" w:customStyle="1" w:styleId="197">
    <w:name w:val="img_title9"/>
    <w:autoRedefine/>
    <w:qFormat/>
    <w:uiPriority w:val="0"/>
    <w:rPr>
      <w:vanish/>
    </w:rPr>
  </w:style>
  <w:style w:type="character" w:customStyle="1" w:styleId="198">
    <w:name w:val="标题 2 Char2"/>
    <w:link w:val="4"/>
    <w:autoRedefine/>
    <w:qFormat/>
    <w:uiPriority w:val="0"/>
    <w:rPr>
      <w:rFonts w:ascii="Arial" w:hAnsi="Arial" w:eastAsia="黑体"/>
      <w:b/>
      <w:bCs/>
      <w:kern w:val="2"/>
      <w:sz w:val="21"/>
      <w:szCs w:val="32"/>
      <w:lang w:val="en-US" w:eastAsia="zh-CN" w:bidi="ar-SA"/>
    </w:rPr>
  </w:style>
  <w:style w:type="paragraph" w:customStyle="1" w:styleId="199">
    <w:name w:val="正文 New"/>
    <w:autoRedefine/>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character" w:customStyle="1" w:styleId="200">
    <w:name w:val="font12"/>
    <w:basedOn w:val="48"/>
    <w:autoRedefine/>
    <w:qFormat/>
    <w:uiPriority w:val="0"/>
    <w:rPr>
      <w:rFonts w:hint="eastAsia" w:ascii="仿宋" w:hAnsi="仿宋" w:eastAsia="仿宋" w:cs="仿宋"/>
      <w:b/>
      <w:color w:val="000000"/>
      <w:sz w:val="32"/>
      <w:szCs w:val="32"/>
      <w:u w:val="none"/>
    </w:rPr>
  </w:style>
  <w:style w:type="character" w:customStyle="1" w:styleId="201">
    <w:name w:val="font101"/>
    <w:basedOn w:val="48"/>
    <w:autoRedefine/>
    <w:qFormat/>
    <w:uiPriority w:val="0"/>
    <w:rPr>
      <w:rFonts w:hint="default" w:ascii="Times New Roman" w:hAnsi="Times New Roman" w:cs="Times New Roman"/>
      <w:color w:val="000000"/>
      <w:sz w:val="24"/>
      <w:szCs w:val="24"/>
      <w:u w:val="none"/>
    </w:rPr>
  </w:style>
  <w:style w:type="character" w:customStyle="1" w:styleId="202">
    <w:name w:val="font111"/>
    <w:basedOn w:val="48"/>
    <w:autoRedefine/>
    <w:qFormat/>
    <w:uiPriority w:val="0"/>
    <w:rPr>
      <w:rFonts w:ascii="仿宋_GB2312" w:eastAsia="仿宋_GB2312" w:cs="仿宋_GB2312"/>
      <w:color w:val="000000"/>
      <w:sz w:val="24"/>
      <w:szCs w:val="24"/>
      <w:u w:val="none"/>
    </w:rPr>
  </w:style>
  <w:style w:type="character" w:customStyle="1" w:styleId="203">
    <w:name w:val="font91"/>
    <w:basedOn w:val="48"/>
    <w:autoRedefine/>
    <w:qFormat/>
    <w:uiPriority w:val="0"/>
    <w:rPr>
      <w:rFonts w:hint="eastAsia" w:ascii="仿宋" w:hAnsi="仿宋" w:eastAsia="仿宋" w:cs="仿宋"/>
      <w:color w:val="000000"/>
      <w:sz w:val="24"/>
      <w:szCs w:val="24"/>
      <w:u w:val="single"/>
    </w:rPr>
  </w:style>
  <w:style w:type="character" w:customStyle="1" w:styleId="204">
    <w:name w:val="font81"/>
    <w:basedOn w:val="48"/>
    <w:autoRedefine/>
    <w:qFormat/>
    <w:uiPriority w:val="0"/>
    <w:rPr>
      <w:rFonts w:hint="default" w:ascii="Times New Roman" w:hAnsi="Times New Roman" w:cs="Times New Roman"/>
      <w:color w:val="000000"/>
      <w:sz w:val="24"/>
      <w:szCs w:val="24"/>
      <w:u w:val="none"/>
    </w:rPr>
  </w:style>
  <w:style w:type="character" w:customStyle="1" w:styleId="205">
    <w:name w:val="font61"/>
    <w:basedOn w:val="48"/>
    <w:autoRedefine/>
    <w:qFormat/>
    <w:uiPriority w:val="0"/>
    <w:rPr>
      <w:rFonts w:hint="eastAsia" w:ascii="仿宋_GB2312" w:eastAsia="仿宋_GB2312" w:cs="仿宋_GB2312"/>
      <w:color w:val="000000"/>
      <w:sz w:val="24"/>
      <w:szCs w:val="24"/>
      <w:u w:val="none"/>
    </w:rPr>
  </w:style>
  <w:style w:type="character" w:customStyle="1" w:styleId="206">
    <w:name w:val="font21"/>
    <w:basedOn w:val="48"/>
    <w:autoRedefine/>
    <w:qFormat/>
    <w:uiPriority w:val="0"/>
    <w:rPr>
      <w:rFonts w:hint="default" w:ascii="Times New Roman" w:hAnsi="Times New Roman" w:cs="Times New Roman"/>
      <w:color w:val="000000"/>
      <w:sz w:val="24"/>
      <w:szCs w:val="24"/>
      <w:u w:val="none"/>
    </w:rPr>
  </w:style>
  <w:style w:type="character" w:customStyle="1" w:styleId="207">
    <w:name w:val="NormalCharacter"/>
    <w:autoRedefine/>
    <w:semiHidden/>
    <w:qFormat/>
    <w:uiPriority w:val="0"/>
    <w:rPr>
      <w:snapToGrid w:val="0"/>
      <w:kern w:val="0"/>
      <w:sz w:val="32"/>
      <w:szCs w:val="32"/>
      <w:lang w:val="en-US" w:eastAsia="zh-CN" w:bidi="ar-SA"/>
    </w:rPr>
  </w:style>
  <w:style w:type="character" w:customStyle="1" w:styleId="208">
    <w:name w:val="first-child1"/>
    <w:basedOn w:val="48"/>
    <w:autoRedefine/>
    <w:qFormat/>
    <w:uiPriority w:val="0"/>
  </w:style>
  <w:style w:type="character" w:customStyle="1" w:styleId="209">
    <w:name w:val="hover1"/>
    <w:basedOn w:val="48"/>
    <w:autoRedefine/>
    <w:qFormat/>
    <w:uiPriority w:val="0"/>
    <w:rPr>
      <w:color w:val="2590EB"/>
    </w:rPr>
  </w:style>
  <w:style w:type="character" w:customStyle="1" w:styleId="210">
    <w:name w:val="hover2"/>
    <w:basedOn w:val="48"/>
    <w:autoRedefine/>
    <w:qFormat/>
    <w:uiPriority w:val="0"/>
  </w:style>
  <w:style w:type="character" w:customStyle="1" w:styleId="211">
    <w:name w:val="hover3"/>
    <w:basedOn w:val="48"/>
    <w:autoRedefine/>
    <w:qFormat/>
    <w:uiPriority w:val="0"/>
    <w:rPr>
      <w:color w:val="2590EB"/>
    </w:rPr>
  </w:style>
  <w:style w:type="character" w:customStyle="1" w:styleId="212">
    <w:name w:val="hover4"/>
    <w:basedOn w:val="48"/>
    <w:autoRedefine/>
    <w:qFormat/>
    <w:uiPriority w:val="0"/>
    <w:rPr>
      <w:color w:val="2590EB"/>
      <w:shd w:val="clear" w:fill="E9F4FD"/>
    </w:rPr>
  </w:style>
  <w:style w:type="character" w:customStyle="1" w:styleId="213">
    <w:name w:val="mini-outputtext1"/>
    <w:basedOn w:val="48"/>
    <w:autoRedefine/>
    <w:qFormat/>
    <w:uiPriority w:val="0"/>
  </w:style>
  <w:style w:type="character" w:customStyle="1" w:styleId="214">
    <w:name w:val="hover"/>
    <w:basedOn w:val="48"/>
    <w:autoRedefine/>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B6A8AB-B2A1-4B55-8D10-16A16BEFEE1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77</Pages>
  <Words>41536</Words>
  <Characters>43468</Characters>
  <Lines>1</Lines>
  <Paragraphs>1</Paragraphs>
  <TotalTime>168</TotalTime>
  <ScaleCrop>false</ScaleCrop>
  <LinksUpToDate>false</LinksUpToDate>
  <CharactersWithSpaces>48977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2016-05-15T08:29:00Z</dcterms:created>
  <dc:creator>dengxiaochun</dc:creator>
  <cp:lastModifiedBy>这不科学</cp:lastModifiedBy>
  <cp:lastPrinted>2023-06-08T00:43:00Z</cp:lastPrinted>
  <dcterms:modified xsi:type="dcterms:W3CDTF">2024-06-25T03:25:06Z</dcterms:modified>
  <dc:title>标准交易文件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95248C297B074D279B4E083AF9E40C6B_13</vt:lpwstr>
  </property>
</Properties>
</file>