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color w:val="auto"/>
          <w:kern w:val="0"/>
          <w:sz w:val="44"/>
          <w:szCs w:val="44"/>
          <w:highlight w:val="none"/>
        </w:rPr>
      </w:pPr>
      <w:bookmarkStart w:id="0" w:name="_Toc461631222"/>
      <w:bookmarkStart w:id="1" w:name="_Toc247085669"/>
      <w:bookmarkStart w:id="2" w:name="_Toc296602400"/>
      <w:bookmarkStart w:id="3" w:name="_Toc506107265"/>
      <w:bookmarkStart w:id="4" w:name="_Toc246996898"/>
      <w:bookmarkStart w:id="5" w:name="_Toc15058843"/>
      <w:bookmarkStart w:id="6" w:name="_Toc324404811"/>
      <w:bookmarkStart w:id="7" w:name="OLE_LINK5"/>
      <w:bookmarkStart w:id="8" w:name="OLE_LINK4"/>
      <w:bookmarkStart w:id="9" w:name="OLE_LINK1"/>
      <w:bookmarkStart w:id="10" w:name="OLE_LINK3"/>
      <w:bookmarkStart w:id="11" w:name="OLE_LINK2"/>
    </w:p>
    <w:p>
      <w:pPr>
        <w:pStyle w:val="14"/>
        <w:ind w:firstLine="420"/>
        <w:rPr>
          <w:color w:val="auto"/>
          <w:highlight w:val="none"/>
        </w:rPr>
      </w:pPr>
    </w:p>
    <w:p>
      <w:pPr>
        <w:jc w:val="center"/>
        <w:rPr>
          <w:rFonts w:ascii="宋体" w:hAnsi="宋体"/>
          <w:color w:val="auto"/>
          <w:sz w:val="44"/>
          <w:szCs w:val="44"/>
          <w:highlight w:val="none"/>
        </w:rPr>
      </w:pPr>
      <w:r>
        <w:rPr>
          <w:rFonts w:hint="eastAsia" w:hAnsi="宋体" w:cs="宋体"/>
          <w:b/>
          <w:color w:val="auto"/>
          <w:kern w:val="0"/>
          <w:sz w:val="44"/>
          <w:szCs w:val="44"/>
          <w:highlight w:val="none"/>
          <w:lang w:eastAsia="zh-CN"/>
        </w:rPr>
        <w:t>滁州市兴天矿业谕兴矿基建期+20m及+5m平台东南侧排水沟项目</w:t>
      </w:r>
    </w:p>
    <w:p>
      <w:pPr>
        <w:pStyle w:val="14"/>
        <w:rPr>
          <w:color w:val="auto"/>
          <w:highlight w:val="none"/>
        </w:rPr>
      </w:pPr>
    </w:p>
    <w:p>
      <w:pPr>
        <w:jc w:val="center"/>
        <w:rPr>
          <w:rFonts w:hint="eastAsia" w:ascii="宋体" w:hAnsi="宋体"/>
          <w:b/>
          <w:bCs/>
          <w:color w:val="auto"/>
          <w:sz w:val="96"/>
          <w:szCs w:val="96"/>
          <w:highlight w:val="none"/>
        </w:rPr>
      </w:pPr>
    </w:p>
    <w:p>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pPr>
        <w:spacing w:line="400" w:lineRule="exact"/>
        <w:jc w:val="center"/>
        <w:rPr>
          <w:rFonts w:ascii="宋体" w:hAnsi="宋体"/>
          <w:b/>
          <w:color w:val="auto"/>
          <w:sz w:val="39"/>
          <w:highlight w:val="none"/>
        </w:rPr>
      </w:pPr>
    </w:p>
    <w:p>
      <w:pPr>
        <w:spacing w:line="400" w:lineRule="exact"/>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spacing w:line="720" w:lineRule="exact"/>
        <w:rPr>
          <w:b/>
          <w:bCs/>
          <w:color w:val="auto"/>
          <w:sz w:val="28"/>
          <w:szCs w:val="28"/>
          <w:highlight w:val="none"/>
        </w:rPr>
      </w:pPr>
    </w:p>
    <w:p>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2225"/>
      <w:bookmarkStart w:id="14" w:name="_Toc25057"/>
      <w:bookmarkStart w:id="15" w:name="_Toc20499"/>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滁州市兴天矿业</w:t>
      </w:r>
      <w:bookmarkStart w:id="1055" w:name="_GoBack"/>
      <w:bookmarkEnd w:id="1055"/>
      <w:r>
        <w:rPr>
          <w:rFonts w:hint="eastAsia" w:ascii="宋体"/>
          <w:b/>
          <w:color w:val="auto"/>
          <w:sz w:val="32"/>
          <w:szCs w:val="32"/>
          <w:highlight w:val="none"/>
          <w:u w:val="single"/>
          <w:lang w:eastAsia="zh-CN"/>
        </w:rPr>
        <w:t>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8</w:t>
      </w:r>
      <w:r>
        <w:rPr>
          <w:rFonts w:hint="eastAsia" w:ascii="宋体"/>
          <w:b/>
          <w:color w:val="auto"/>
          <w:sz w:val="32"/>
          <w:szCs w:val="32"/>
          <w:highlight w:val="none"/>
        </w:rPr>
        <w:t>月</w:t>
      </w:r>
    </w:p>
    <w:p>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pPr>
        <w:spacing w:line="700" w:lineRule="exact"/>
        <w:jc w:val="center"/>
        <w:rPr>
          <w:rFonts w:hint="eastAsia"/>
          <w:color w:val="auto"/>
          <w:sz w:val="44"/>
          <w:szCs w:val="44"/>
          <w:highlight w:val="none"/>
        </w:rPr>
      </w:pPr>
    </w:p>
    <w:p>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5511"/>
      <w:bookmarkStart w:id="17" w:name="_Toc179632527"/>
      <w:bookmarkStart w:id="18" w:name="_Toc144974479"/>
      <w:bookmarkStart w:id="19" w:name="_Toc152042287"/>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_Toc12261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招标公告信息</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_Toc12261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_Toc18989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第一章  投标人须知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_Toc18989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_Toc5501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第二章  资格审查办法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_Toc5501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_Toc1286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kern w:val="0"/>
          <w:sz w:val="28"/>
          <w:szCs w:val="28"/>
          <w:highlight w:val="none"/>
        </w:rPr>
        <w:t xml:space="preserve">第三章 </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评标办法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_Toc1286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_Toc8750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kern w:val="0"/>
          <w:sz w:val="28"/>
          <w:szCs w:val="28"/>
          <w:highlight w:val="none"/>
        </w:rPr>
        <w:t>第</w:t>
      </w:r>
      <w:r>
        <w:rPr>
          <w:rFonts w:hint="eastAsia" w:ascii="宋体" w:hAnsi="宋体" w:eastAsia="宋体" w:cs="宋体"/>
          <w:b w:val="0"/>
          <w:bCs w:val="0"/>
          <w:kern w:val="0"/>
          <w:sz w:val="28"/>
          <w:szCs w:val="28"/>
          <w:highlight w:val="none"/>
          <w:lang w:val="en-US" w:eastAsia="zh-CN"/>
        </w:rPr>
        <w:t>四</w:t>
      </w:r>
      <w:r>
        <w:rPr>
          <w:rFonts w:hint="eastAsia" w:ascii="宋体" w:hAnsi="宋体" w:eastAsia="宋体" w:cs="宋体"/>
          <w:b w:val="0"/>
          <w:bCs w:val="0"/>
          <w:kern w:val="0"/>
          <w:sz w:val="28"/>
          <w:szCs w:val="28"/>
          <w:highlight w:val="none"/>
        </w:rPr>
        <w:t>章  合同条款及格式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_Toc8750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_Toc3388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 xml:space="preserve">第五章 </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工程量清单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_Toc3388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_Toc25013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 xml:space="preserve">第六章 </w:t>
      </w:r>
      <w:r>
        <w:rPr>
          <w:rFonts w:hint="eastAsia" w:ascii="宋体" w:hAnsi="宋体" w:eastAsia="宋体" w:cs="宋体"/>
          <w:b w:val="0"/>
          <w:bCs w:val="0"/>
          <w:sz w:val="28"/>
          <w:szCs w:val="28"/>
          <w:highlight w:val="none"/>
          <w:lang w:val="en-US" w:eastAsia="zh-CN"/>
        </w:rPr>
        <w:t xml:space="preserve"> 图纸</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_Toc25013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_Toc8272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章  投标文件格式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_Toc8272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_Toc29114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八</w:t>
      </w:r>
      <w:r>
        <w:rPr>
          <w:rFonts w:hint="eastAsia" w:ascii="宋体" w:hAnsi="宋体" w:eastAsia="宋体" w:cs="宋体"/>
          <w:b w:val="0"/>
          <w:bCs w:val="0"/>
          <w:sz w:val="28"/>
          <w:szCs w:val="28"/>
          <w:highlight w:val="none"/>
        </w:rPr>
        <w:t>章  招标单位、招标代理机构对本招标文件的确认</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_Toc29114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75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pPr>
        <w:pStyle w:val="14"/>
        <w:spacing w:line="700" w:lineRule="exact"/>
        <w:ind w:left="0" w:leftChars="0" w:firstLine="480"/>
        <w:jc w:val="left"/>
        <w:rPr>
          <w:color w:val="auto"/>
          <w:sz w:val="24"/>
          <w:szCs w:val="24"/>
          <w:highlight w:val="none"/>
        </w:rPr>
      </w:pPr>
    </w:p>
    <w:p>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21980"/>
      <w:bookmarkStart w:id="22" w:name="_Toc78803320"/>
      <w:bookmarkStart w:id="23" w:name="_Toc179632544"/>
      <w:bookmarkStart w:id="24" w:name="_Toc35425050"/>
      <w:bookmarkStart w:id="25" w:name="_Toc152045527"/>
      <w:bookmarkStart w:id="26" w:name="_Toc506107267"/>
      <w:bookmarkStart w:id="27" w:name="_Toc246996173"/>
      <w:bookmarkStart w:id="28" w:name="_Toc246996916"/>
      <w:bookmarkStart w:id="29" w:name="_Toc152042303"/>
      <w:bookmarkStart w:id="30" w:name="_Toc35424883"/>
      <w:bookmarkStart w:id="31" w:name="_Toc247085687"/>
      <w:bookmarkStart w:id="32" w:name="_Toc324404813"/>
      <w:bookmarkStart w:id="33" w:name="_Toc15058844"/>
      <w:bookmarkStart w:id="34" w:name="_Toc144974495"/>
      <w:r>
        <w:rPr>
          <w:rFonts w:hint="eastAsia"/>
          <w:bCs/>
          <w:color w:val="auto"/>
          <w:szCs w:val="32"/>
          <w:highlight w:val="none"/>
          <w:lang w:eastAsia="zh-CN"/>
        </w:rPr>
        <w:t>滁州市兴天矿业谕兴矿基建期+20m及+5m平台东南侧排水沟项目</w:t>
      </w:r>
      <w:r>
        <w:rPr>
          <w:rFonts w:hint="eastAsia"/>
          <w:bCs/>
          <w:color w:val="auto"/>
          <w:szCs w:val="32"/>
          <w:highlight w:val="none"/>
        </w:rPr>
        <w:t>招标公告信息</w:t>
      </w:r>
      <w:bookmarkEnd w:id="20"/>
      <w:bookmarkEnd w:id="21"/>
      <w:bookmarkEnd w:id="22"/>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481"/>
        <w:gridCol w:w="648"/>
        <w:gridCol w:w="2097"/>
        <w:gridCol w:w="27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kern w:val="1"/>
                <w:sz w:val="21"/>
                <w:szCs w:val="21"/>
                <w:highlight w:val="none"/>
              </w:rPr>
            </w:pPr>
            <w:bookmarkStart w:id="35" w:name="_Toc78803321"/>
            <w:r>
              <w:rPr>
                <w:rFonts w:hint="eastAsia" w:ascii="宋体" w:hAnsi="宋体" w:eastAsia="宋体" w:cs="宋体"/>
                <w:bCs/>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kern w:val="1"/>
                <w:sz w:val="21"/>
                <w:szCs w:val="21"/>
                <w:highlight w:val="none"/>
                <w:lang w:eastAsia="zh-CN"/>
              </w:rPr>
            </w:pPr>
            <w:r>
              <w:rPr>
                <w:rFonts w:hint="eastAsia" w:ascii="宋体" w:hAnsi="宋体" w:cs="宋体"/>
                <w:bCs/>
                <w:kern w:val="1"/>
                <w:sz w:val="21"/>
                <w:szCs w:val="21"/>
                <w:highlight w:val="none"/>
                <w:lang w:eastAsia="zh-CN"/>
              </w:rPr>
              <w:t>滁州市兴天矿业谕兴矿基建期+20m及+5m平台东南侧排水沟项目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公开招标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1、投标人要求：须具备</w:t>
            </w:r>
            <w:r>
              <w:rPr>
                <w:rFonts w:hint="eastAsia" w:ascii="宋体" w:hAnsi="宋体" w:eastAsia="宋体" w:cs="宋体"/>
                <w:bCs/>
                <w:color w:val="auto"/>
                <w:kern w:val="0"/>
                <w:sz w:val="21"/>
                <w:szCs w:val="21"/>
                <w:highlight w:val="none"/>
                <w:lang w:val="en-US" w:eastAsia="zh-CN" w:bidi="ar"/>
              </w:rPr>
              <w:t>矿山工程施工总承包</w:t>
            </w:r>
            <w:r>
              <w:rPr>
                <w:rFonts w:hint="eastAsia" w:ascii="宋体" w:hAnsi="宋体" w:cs="宋体"/>
                <w:bCs/>
                <w:color w:val="auto"/>
                <w:kern w:val="0"/>
                <w:sz w:val="21"/>
                <w:szCs w:val="21"/>
                <w:highlight w:val="none"/>
                <w:lang w:val="en-US" w:eastAsia="zh-CN" w:bidi="ar"/>
              </w:rPr>
              <w:t>三级（或以上）</w:t>
            </w:r>
            <w:r>
              <w:rPr>
                <w:rFonts w:hint="eastAsia" w:ascii="宋体" w:hAnsi="宋体" w:eastAsia="宋体" w:cs="宋体"/>
                <w:bCs/>
                <w:color w:val="auto"/>
                <w:kern w:val="0"/>
                <w:sz w:val="21"/>
                <w:szCs w:val="21"/>
                <w:highlight w:val="none"/>
                <w:lang w:val="en-US" w:eastAsia="zh-CN" w:bidi="ar"/>
              </w:rPr>
              <w:t>资质</w:t>
            </w:r>
            <w:r>
              <w:rPr>
                <w:rFonts w:hint="eastAsia" w:ascii="宋体" w:hAnsi="宋体" w:cs="宋体"/>
                <w:bCs/>
                <w:color w:val="auto"/>
                <w:kern w:val="0"/>
                <w:sz w:val="21"/>
                <w:szCs w:val="21"/>
                <w:highlight w:val="none"/>
                <w:lang w:val="en-US" w:eastAsia="zh-CN" w:bidi="ar"/>
              </w:rPr>
              <w:t>或市政公用工程施工总承包三级（或以上）资质或水利水电工程施工总承包三级（或以上）资质</w:t>
            </w:r>
            <w:r>
              <w:rPr>
                <w:rFonts w:hint="eastAsia" w:ascii="宋体" w:hAnsi="宋体" w:eastAsia="宋体" w:cs="宋体"/>
                <w:bCs/>
                <w:kern w:val="0"/>
                <w:sz w:val="21"/>
                <w:szCs w:val="21"/>
                <w:highlight w:val="none"/>
                <w:lang w:val="en-US" w:eastAsia="zh-CN" w:bidi="ar"/>
              </w:rPr>
              <w:t>；</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2、项目经理（建造师）要求：具有注册在投标单位的</w:t>
            </w:r>
            <w:r>
              <w:rPr>
                <w:rFonts w:hint="eastAsia" w:ascii="宋体" w:hAnsi="宋体" w:cs="宋体"/>
                <w:bCs/>
                <w:kern w:val="0"/>
                <w:sz w:val="21"/>
                <w:szCs w:val="21"/>
                <w:highlight w:val="none"/>
                <w:lang w:val="en-US" w:eastAsia="zh-CN" w:bidi="ar"/>
              </w:rPr>
              <w:t>矿业</w:t>
            </w:r>
            <w:r>
              <w:rPr>
                <w:rFonts w:hint="eastAsia" w:ascii="宋体" w:hAnsi="宋体" w:eastAsia="宋体" w:cs="宋体"/>
                <w:bCs/>
                <w:kern w:val="0"/>
                <w:sz w:val="21"/>
                <w:szCs w:val="21"/>
                <w:highlight w:val="none"/>
                <w:lang w:val="en-US" w:eastAsia="zh-CN" w:bidi="ar"/>
              </w:rPr>
              <w:t>工程</w:t>
            </w:r>
            <w:r>
              <w:rPr>
                <w:rFonts w:hint="eastAsia" w:ascii="宋体" w:hAnsi="宋体" w:cs="宋体"/>
                <w:bCs/>
                <w:kern w:val="0"/>
                <w:sz w:val="21"/>
                <w:szCs w:val="21"/>
                <w:highlight w:val="none"/>
                <w:lang w:val="en-US" w:eastAsia="zh-CN" w:bidi="ar"/>
              </w:rPr>
              <w:t>（或市政公用工程或水利水电工程）</w:t>
            </w:r>
            <w:r>
              <w:rPr>
                <w:rFonts w:hint="eastAsia" w:ascii="宋体" w:hAnsi="宋体" w:eastAsia="宋体" w:cs="宋体"/>
                <w:bCs/>
                <w:kern w:val="0"/>
                <w:sz w:val="21"/>
                <w:szCs w:val="21"/>
                <w:highlight w:val="none"/>
                <w:lang w:val="en-US" w:eastAsia="zh-CN" w:bidi="ar"/>
              </w:rPr>
              <w:t>专业二级（或以上）注册建造师资格，且具备有效的安全生产考核合格(B类)证书。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不接受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估算价约</w:t>
            </w:r>
            <w:r>
              <w:rPr>
                <w:rFonts w:hint="eastAsia" w:ascii="宋体" w:hAnsi="宋体" w:cs="宋体"/>
                <w:kern w:val="0"/>
                <w:sz w:val="21"/>
                <w:szCs w:val="21"/>
                <w:highlight w:val="none"/>
                <w:lang w:val="en-US" w:eastAsia="zh-CN" w:bidi="ar"/>
              </w:rPr>
              <w:t>46</w:t>
            </w:r>
            <w:r>
              <w:rPr>
                <w:rFonts w:hint="eastAsia" w:ascii="宋体" w:hAnsi="宋体" w:eastAsia="宋体" w:cs="宋体"/>
                <w:kern w:val="0"/>
                <w:sz w:val="21"/>
                <w:szCs w:val="21"/>
                <w:highlight w:val="none"/>
                <w:lang w:val="en-US" w:eastAsia="zh-CN" w:bidi="ar"/>
              </w:rPr>
              <w:t>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招标人提供的全套设计施工</w:t>
            </w:r>
            <w:r>
              <w:rPr>
                <w:rFonts w:hint="eastAsia" w:ascii="宋体" w:hAnsi="宋体" w:cs="宋体"/>
                <w:kern w:val="0"/>
                <w:sz w:val="21"/>
                <w:szCs w:val="21"/>
                <w:highlight w:val="none"/>
                <w:lang w:val="en-US" w:eastAsia="zh-CN" w:bidi="ar"/>
              </w:rPr>
              <w:t>方案</w:t>
            </w:r>
            <w:r>
              <w:rPr>
                <w:rFonts w:hint="eastAsia" w:ascii="宋体" w:hAnsi="宋体" w:eastAsia="宋体" w:cs="宋体"/>
                <w:kern w:val="0"/>
                <w:sz w:val="21"/>
                <w:szCs w:val="21"/>
                <w:highlight w:val="none"/>
                <w:lang w:val="en-US" w:eastAsia="zh-CN" w:bidi="ar"/>
              </w:rPr>
              <w:t>中的全部内容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28</w:t>
            </w:r>
            <w:r>
              <w:rPr>
                <w:rFonts w:hint="eastAsia" w:ascii="宋体" w:hAnsi="宋体" w:eastAsia="宋体" w:cs="宋体"/>
                <w:b/>
                <w:bCs/>
                <w:kern w:val="0"/>
                <w:sz w:val="21"/>
                <w:szCs w:val="21"/>
                <w:highlight w:val="none"/>
                <w:lang w:val="en-US" w:eastAsia="zh-CN" w:bidi="ar"/>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9</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w:t>
            </w:r>
            <w:r>
              <w:rPr>
                <w:rFonts w:hint="eastAsia" w:ascii="宋体" w:hAnsi="宋体" w:eastAsia="宋体" w:cs="宋体"/>
                <w:b/>
                <w:bCs/>
                <w:kern w:val="0"/>
                <w:sz w:val="21"/>
                <w:szCs w:val="21"/>
                <w:highlight w:val="none"/>
                <w:lang w:val="en-US" w:eastAsia="zh-CN" w:bidi="ar"/>
              </w:rPr>
              <w:t>日</w:t>
            </w:r>
            <w:r>
              <w:rPr>
                <w:rFonts w:hint="eastAsia" w:ascii="宋体" w:hAnsi="宋体" w:cs="宋体"/>
                <w:b/>
                <w:bCs/>
                <w:kern w:val="0"/>
                <w:sz w:val="21"/>
                <w:szCs w:val="21"/>
                <w:highlight w:val="none"/>
                <w:lang w:val="en-US" w:eastAsia="zh-CN" w:bidi="ar"/>
              </w:rPr>
              <w:t>9</w:t>
            </w:r>
            <w:r>
              <w:rPr>
                <w:rFonts w:hint="eastAsia" w:ascii="宋体" w:hAnsi="宋体" w:eastAsia="宋体" w:cs="宋体"/>
                <w:b/>
                <w:bCs/>
                <w:kern w:val="0"/>
                <w:sz w:val="21"/>
                <w:szCs w:val="21"/>
                <w:highlight w:val="none"/>
                <w:lang w:val="en-US" w:eastAsia="zh-CN" w:bidi="ar"/>
              </w:rPr>
              <w:t>时(北京时间)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投标文件递交的方式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网上递交，发送至电子邮箱：czsctgczx@163.com（滁州市城投工程咨询管理有限公司邮箱）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9</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w:t>
            </w:r>
            <w:r>
              <w:rPr>
                <w:rFonts w:hint="eastAsia" w:ascii="宋体" w:hAnsi="宋体" w:eastAsia="宋体" w:cs="宋体"/>
                <w:b/>
                <w:bCs/>
                <w:kern w:val="0"/>
                <w:sz w:val="21"/>
                <w:szCs w:val="21"/>
                <w:highlight w:val="none"/>
                <w:lang w:val="en-US" w:eastAsia="zh-CN" w:bidi="ar"/>
              </w:rPr>
              <w:t>日</w:t>
            </w:r>
            <w:r>
              <w:rPr>
                <w:rFonts w:hint="eastAsia" w:ascii="宋体" w:hAnsi="宋体" w:cs="宋体"/>
                <w:b/>
                <w:bCs/>
                <w:kern w:val="0"/>
                <w:sz w:val="21"/>
                <w:szCs w:val="21"/>
                <w:highlight w:val="none"/>
                <w:lang w:val="en-US" w:eastAsia="zh-CN" w:bidi="ar"/>
              </w:rPr>
              <w:t>9</w:t>
            </w:r>
            <w:r>
              <w:rPr>
                <w:rFonts w:hint="eastAsia" w:ascii="宋体" w:hAnsi="宋体" w:eastAsia="宋体" w:cs="宋体"/>
                <w:b/>
                <w:bCs/>
                <w:kern w:val="0"/>
                <w:sz w:val="21"/>
                <w:szCs w:val="21"/>
                <w:highlight w:val="none"/>
                <w:lang w:val="en-US" w:eastAsia="zh-CN" w:bidi="ar"/>
              </w:rPr>
              <w:t>时(北京时间)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滁州市龙蟠大道109号房产商务大厦6楼622会议室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0元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信  息  内  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本工程主要内容为：排水沟和巡查步道(跌水)</w:t>
            </w:r>
            <w:r>
              <w:rPr>
                <w:rFonts w:hint="eastAsia" w:ascii="宋体" w:hAnsi="宋体" w:cs="宋体"/>
                <w:bCs/>
                <w:kern w:val="0"/>
                <w:sz w:val="21"/>
                <w:szCs w:val="21"/>
                <w:highlight w:val="none"/>
                <w:lang w:val="en-US" w:eastAsia="zh-CN" w:bidi="ar"/>
              </w:rPr>
              <w:t>施工</w:t>
            </w:r>
            <w:r>
              <w:rPr>
                <w:rFonts w:hint="eastAsia" w:ascii="宋体" w:hAnsi="宋体" w:eastAsia="宋体" w:cs="宋体"/>
                <w:bCs/>
                <w:kern w:val="0"/>
                <w:sz w:val="21"/>
                <w:szCs w:val="21"/>
                <w:highlight w:val="none"/>
                <w:lang w:val="en-US" w:eastAsia="zh-CN" w:bidi="ar"/>
              </w:rPr>
              <w:t>，具体详见设计文件内容等。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一个标段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评标办法</w:t>
            </w:r>
          </w:p>
        </w:tc>
        <w:tc>
          <w:tcPr>
            <w:tcW w:w="253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综合评估法</w:t>
            </w:r>
          </w:p>
        </w:tc>
        <w:tc>
          <w:tcPr>
            <w:tcW w:w="2745"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工程款支付方式</w:t>
            </w:r>
          </w:p>
        </w:tc>
        <w:tc>
          <w:tcPr>
            <w:tcW w:w="2796"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详见招标文件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工程概算</w:t>
            </w:r>
          </w:p>
        </w:tc>
        <w:tc>
          <w:tcPr>
            <w:tcW w:w="253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约</w:t>
            </w:r>
            <w:r>
              <w:rPr>
                <w:rFonts w:hint="eastAsia" w:ascii="宋体" w:hAnsi="宋体" w:cs="宋体"/>
                <w:kern w:val="2"/>
                <w:sz w:val="21"/>
                <w:szCs w:val="21"/>
                <w:highlight w:val="none"/>
                <w:lang w:val="en-US" w:eastAsia="zh-CN" w:bidi="ar"/>
              </w:rPr>
              <w:t>46万</w:t>
            </w:r>
            <w:r>
              <w:rPr>
                <w:rFonts w:hint="eastAsia" w:ascii="宋体" w:hAnsi="宋体" w:eastAsia="宋体" w:cs="宋体"/>
                <w:kern w:val="2"/>
                <w:sz w:val="21"/>
                <w:szCs w:val="21"/>
                <w:highlight w:val="none"/>
                <w:lang w:val="en-US" w:eastAsia="zh-CN" w:bidi="ar"/>
              </w:rPr>
              <w:t>元</w:t>
            </w:r>
          </w:p>
        </w:tc>
        <w:tc>
          <w:tcPr>
            <w:tcW w:w="2745"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计划工期</w:t>
            </w:r>
          </w:p>
        </w:tc>
        <w:tc>
          <w:tcPr>
            <w:tcW w:w="2796"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详见招标文件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资金来源</w:t>
            </w:r>
          </w:p>
        </w:tc>
        <w:tc>
          <w:tcPr>
            <w:tcW w:w="253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自筹资金</w:t>
            </w:r>
          </w:p>
        </w:tc>
        <w:tc>
          <w:tcPr>
            <w:tcW w:w="2745"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spacing w:val="-4"/>
                <w:kern w:val="0"/>
                <w:sz w:val="21"/>
                <w:szCs w:val="21"/>
                <w:highlight w:val="none"/>
              </w:rPr>
            </w:pPr>
            <w:r>
              <w:rPr>
                <w:rFonts w:hint="eastAsia" w:ascii="宋体" w:hAnsi="宋体" w:eastAsia="宋体" w:cs="宋体"/>
                <w:kern w:val="2"/>
                <w:sz w:val="21"/>
                <w:szCs w:val="21"/>
                <w:highlight w:val="none"/>
                <w:lang w:val="en-US" w:eastAsia="zh-CN" w:bidi="ar"/>
              </w:rPr>
              <w:t>招标文件等获取方式</w:t>
            </w:r>
          </w:p>
        </w:tc>
        <w:tc>
          <w:tcPr>
            <w:tcW w:w="2796"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spacing w:val="-4"/>
                <w:kern w:val="0"/>
                <w:sz w:val="21"/>
                <w:szCs w:val="21"/>
                <w:highlight w:val="none"/>
              </w:rPr>
            </w:pPr>
            <w:r>
              <w:rPr>
                <w:rFonts w:hint="eastAsia" w:ascii="宋体" w:hAnsi="宋体" w:eastAsia="宋体" w:cs="宋体"/>
                <w:kern w:val="2"/>
                <w:sz w:val="21"/>
                <w:szCs w:val="21"/>
                <w:highlight w:val="none"/>
                <w:lang w:val="en-US" w:eastAsia="zh-CN" w:bidi="ar"/>
              </w:rPr>
              <w:t>网上下载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是否要求提交投标保证金：</w:t>
            </w:r>
            <w:r>
              <w:rPr>
                <w:rFonts w:hint="eastAsia" w:ascii="宋体" w:hAnsi="宋体" w:cs="宋体"/>
                <w:kern w:val="2"/>
                <w:sz w:val="21"/>
                <w:szCs w:val="21"/>
                <w:highlight w:val="none"/>
                <w:lang w:val="en-US" w:eastAsia="zh-CN" w:bidi="ar"/>
              </w:rPr>
              <w:t>不</w:t>
            </w:r>
            <w:r>
              <w:rPr>
                <w:rFonts w:hint="eastAsia" w:ascii="宋体" w:hAnsi="宋体" w:eastAsia="宋体" w:cs="宋体"/>
                <w:kern w:val="2"/>
                <w:sz w:val="21"/>
                <w:szCs w:val="21"/>
                <w:highlight w:val="none"/>
                <w:lang w:val="en-US" w:eastAsia="zh-CN" w:bidi="ar"/>
              </w:rPr>
              <w:t>要求</w:t>
            </w:r>
            <w:r>
              <w:rPr>
                <w:rFonts w:hint="eastAsia" w:ascii="宋体" w:hAnsi="宋体" w:cs="宋体"/>
                <w:kern w:val="2"/>
                <w:sz w:val="21"/>
                <w:szCs w:val="21"/>
                <w:highlight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招标文件获取方式：投标人从滁州市兴滁矿业投资集团有限公司（http://www.xckytz.com/）下载。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招标文件获取时间：</w:t>
            </w: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28</w:t>
            </w:r>
            <w:r>
              <w:rPr>
                <w:rFonts w:hint="eastAsia" w:ascii="宋体" w:hAnsi="宋体" w:eastAsia="宋体" w:cs="宋体"/>
                <w:b/>
                <w:bCs/>
                <w:kern w:val="0"/>
                <w:sz w:val="21"/>
                <w:szCs w:val="21"/>
                <w:highlight w:val="none"/>
                <w:lang w:val="en-US" w:eastAsia="zh-CN" w:bidi="ar"/>
              </w:rPr>
              <w:t>日17时后</w:t>
            </w:r>
            <w:r>
              <w:rPr>
                <w:rFonts w:hint="eastAsia" w:ascii="宋体" w:hAnsi="宋体" w:eastAsia="宋体" w:cs="宋体"/>
                <w:kern w:val="0"/>
                <w:sz w:val="21"/>
                <w:szCs w:val="21"/>
                <w:highlight w:val="none"/>
                <w:lang w:val="en-US" w:eastAsia="zh-CN" w:bidi="ar"/>
              </w:rPr>
              <w:t>，如投标人不及时下载招标文件，造成后果由投标人自负。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特别提示：</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1.施工场地及周边场地、道路、绿化等，若被施工方损坏，施工方必须无偿按照原貌恢复。</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2.投标人自行勘察施工现场情况，因投标人未勘察现场而造成的损失由投标人自行承担。</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3.中标人在合同履行期内与各方发生各种矛盾、纠纷时，由中标人自主解决。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招标人名称：</w:t>
            </w:r>
            <w:r>
              <w:rPr>
                <w:rFonts w:hint="eastAsia" w:ascii="宋体" w:hAnsi="宋体" w:cs="宋体"/>
                <w:kern w:val="0"/>
                <w:sz w:val="21"/>
                <w:szCs w:val="21"/>
                <w:highlight w:val="none"/>
                <w:lang w:val="en-US" w:eastAsia="zh-CN" w:bidi="ar"/>
              </w:rPr>
              <w:t>滁州市兴天矿业有限公司</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地址：</w:t>
            </w:r>
            <w:r>
              <w:rPr>
                <w:rFonts w:hint="eastAsia" w:ascii="宋体" w:hAnsi="宋体" w:cs="宋体"/>
                <w:kern w:val="0"/>
                <w:sz w:val="21"/>
                <w:szCs w:val="21"/>
                <w:highlight w:val="none"/>
                <w:lang w:val="en-US" w:eastAsia="zh-CN" w:bidi="ar"/>
              </w:rPr>
              <w:t>天长市广陵路南侧平安路东侧金融大楼B-17</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 系 人：</w:t>
            </w:r>
            <w:r>
              <w:rPr>
                <w:rFonts w:hint="eastAsia" w:ascii="宋体" w:hAnsi="宋体" w:cs="宋体"/>
                <w:kern w:val="0"/>
                <w:sz w:val="21"/>
                <w:szCs w:val="21"/>
                <w:highlight w:val="none"/>
                <w:lang w:val="en-US" w:eastAsia="zh-CN" w:bidi="ar"/>
              </w:rPr>
              <w:t>李超</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联系方式：</w:t>
            </w:r>
            <w:r>
              <w:rPr>
                <w:rFonts w:hint="eastAsia" w:ascii="宋体" w:hAnsi="宋体" w:cs="宋体"/>
                <w:kern w:val="0"/>
                <w:sz w:val="21"/>
                <w:szCs w:val="21"/>
                <w:highlight w:val="none"/>
                <w:lang w:val="en-US" w:eastAsia="zh-CN" w:bidi="ar"/>
              </w:rPr>
              <w:t>15056501345</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招标代理机构名称：滁州市城投工程咨询管理有限公司</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地址：滁州市龙蟠大道109号房产商务大厦6楼</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联系人：胡国庆</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lang w:val="en-US" w:eastAsia="zh-CN" w:bidi="ar"/>
              </w:rPr>
              <w:t>联系方式：0550-3519517、18005500950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b/>
                <w:bCs w:val="0"/>
                <w:kern w:val="2"/>
                <w:sz w:val="21"/>
                <w:szCs w:val="21"/>
                <w:highlight w:val="none"/>
                <w:lang w:val="en-US" w:eastAsia="zh-CN" w:bidi="ar"/>
              </w:rPr>
              <w:t>公告发布媒体</w:t>
            </w:r>
            <w:r>
              <w:rPr>
                <w:rFonts w:hint="eastAsia" w:ascii="宋体" w:hAnsi="宋体" w:eastAsia="宋体" w:cs="宋体"/>
                <w:kern w:val="2"/>
                <w:sz w:val="21"/>
                <w:szCs w:val="21"/>
                <w:highlight w:val="none"/>
                <w:lang w:val="en-US" w:eastAsia="zh-CN" w:bidi="ar"/>
              </w:rPr>
              <w:t>：滁州市兴滁矿业投资集团有限公司网站</w:t>
            </w:r>
          </w:p>
        </w:tc>
      </w:tr>
    </w:tbl>
    <w:p>
      <w:pPr>
        <w:pStyle w:val="43"/>
        <w:spacing w:beforeLines="50" w:afterLines="50" w:line="440" w:lineRule="exact"/>
        <w:rPr>
          <w:bCs/>
          <w:color w:val="auto"/>
          <w:szCs w:val="32"/>
          <w:highlight w:val="none"/>
        </w:rPr>
      </w:pPr>
      <w:r>
        <w:rPr>
          <w:rFonts w:hint="eastAsia"/>
          <w:bCs/>
          <w:color w:val="auto"/>
          <w:szCs w:val="32"/>
          <w:highlight w:val="none"/>
        </w:rPr>
        <w:br w:type="page"/>
      </w:r>
      <w:bookmarkStart w:id="36" w:name="_Toc22947"/>
      <w:bookmarkStart w:id="37" w:name="_Toc18989"/>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spacing w:beforeLines="50" w:afterLines="50" w:line="440" w:lineRule="exact"/>
        <w:jc w:val="center"/>
        <w:rPr>
          <w:b/>
          <w:bCs/>
          <w:color w:val="auto"/>
          <w:sz w:val="28"/>
          <w:szCs w:val="28"/>
          <w:highlight w:val="none"/>
        </w:rPr>
      </w:pPr>
      <w:bookmarkStart w:id="38" w:name="_Toc506107268"/>
      <w:bookmarkStart w:id="39" w:name="_Toc15058845"/>
      <w:bookmarkStart w:id="40" w:name="_Toc246996174"/>
      <w:bookmarkStart w:id="41" w:name="_Toc35425051"/>
      <w:bookmarkStart w:id="42" w:name="_Toc179632545"/>
      <w:bookmarkStart w:id="43" w:name="_Toc35424884"/>
      <w:bookmarkStart w:id="44" w:name="_Toc152042304"/>
      <w:bookmarkStart w:id="45" w:name="_Toc247085688"/>
      <w:bookmarkStart w:id="46" w:name="_Toc324404814"/>
      <w:bookmarkStart w:id="47" w:name="_Toc152045528"/>
      <w:bookmarkStart w:id="48" w:name="_Toc246996917"/>
      <w:bookmarkStart w:id="49" w:name="_Toc144974496"/>
      <w:r>
        <w:rPr>
          <w:rFonts w:hint="eastAsia"/>
          <w:b/>
          <w:bCs/>
          <w:color w:val="auto"/>
          <w:sz w:val="28"/>
          <w:szCs w:val="28"/>
          <w:highlight w:val="none"/>
        </w:rPr>
        <w:t>投标人须知前附表</w:t>
      </w:r>
      <w:bookmarkEnd w:id="38"/>
      <w:bookmarkEnd w:id="39"/>
      <w:bookmarkEnd w:id="40"/>
      <w:bookmarkEnd w:id="41"/>
      <w:bookmarkEnd w:id="42"/>
      <w:bookmarkEnd w:id="43"/>
      <w:bookmarkEnd w:id="44"/>
      <w:bookmarkEnd w:id="45"/>
      <w:bookmarkEnd w:id="46"/>
      <w:bookmarkEnd w:id="47"/>
      <w:bookmarkEnd w:id="48"/>
      <w:bookmarkEnd w:id="49"/>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0" w:name="_Toc246996175"/>
            <w:bookmarkStart w:id="51" w:name="_Toc179632546"/>
            <w:bookmarkStart w:id="52" w:name="_Toc152045529"/>
            <w:bookmarkStart w:id="53" w:name="_Toc246996918"/>
            <w:bookmarkStart w:id="54" w:name="_Toc247085689"/>
            <w:bookmarkStart w:id="55" w:name="_Toc144974497"/>
            <w:bookmarkStart w:id="56" w:name="_Toc506107269"/>
            <w:bookmarkStart w:id="57" w:name="_Toc152042305"/>
            <w:bookmarkStart w:id="58" w:name="_Toc32440481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highlight w:val="none"/>
              </w:rPr>
            </w:pPr>
            <w:r>
              <w:rPr>
                <w:rFonts w:hint="eastAsia" w:ascii="宋体" w:hAnsi="宋体" w:cs="宋体"/>
                <w:color w:val="auto"/>
                <w:highlight w:val="none"/>
              </w:rPr>
              <w:t>综合评估法</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30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30</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lang w:val="en-US" w:eastAsia="zh-CN"/>
              </w:rPr>
              <w:t>总价</w:t>
            </w:r>
            <w:r>
              <w:rPr>
                <w:rFonts w:hint="eastAsia" w:ascii="宋体" w:hAnsi="宋体" w:cs="宋体"/>
                <w:color w:val="auto"/>
                <w:sz w:val="21"/>
                <w:szCs w:val="21"/>
                <w:highlight w:val="none"/>
              </w:rPr>
              <w:t>最高限价：</w:t>
            </w:r>
            <w:r>
              <w:rPr>
                <w:rFonts w:hint="eastAsia" w:ascii="宋体" w:hAnsi="宋体" w:cs="宋体"/>
                <w:color w:val="auto"/>
                <w:sz w:val="21"/>
                <w:szCs w:val="21"/>
                <w:highlight w:val="none"/>
                <w:u w:val="single"/>
                <w:lang w:val="en-US" w:eastAsia="zh-CN"/>
              </w:rPr>
              <w:t xml:space="preserve"> 457887.5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，全费用</w:t>
            </w:r>
            <w:r>
              <w:rPr>
                <w:rFonts w:hint="eastAsia" w:ascii="宋体" w:hAnsi="宋体" w:cs="宋体"/>
                <w:color w:val="auto"/>
                <w:sz w:val="21"/>
                <w:szCs w:val="21"/>
                <w:highlight w:val="none"/>
                <w:lang w:val="en-US" w:eastAsia="zh-CN"/>
              </w:rPr>
              <w:t>综合单价最高限价详见工程量清单报价书</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投标人投标报价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或投标单价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不得高于最高限价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或全费用</w:t>
            </w:r>
            <w:r>
              <w:rPr>
                <w:rFonts w:hint="eastAsia" w:ascii="宋体" w:hAnsi="宋体" w:cs="宋体"/>
                <w:b/>
                <w:bCs/>
                <w:color w:val="auto"/>
                <w:sz w:val="21"/>
                <w:szCs w:val="21"/>
                <w:highlight w:val="none"/>
                <w:lang w:eastAsia="zh-CN"/>
              </w:rPr>
              <w:t>综合单价最高限价）</w:t>
            </w:r>
            <w:r>
              <w:rPr>
                <w:rFonts w:hint="eastAsia" w:ascii="宋体" w:hAnsi="宋体" w:cs="宋体"/>
                <w:b/>
                <w:bCs/>
                <w:color w:val="auto"/>
                <w:sz w:val="21"/>
                <w:szCs w:val="21"/>
                <w:highlight w:val="none"/>
              </w:rPr>
              <w:t>，否则按无效标处理。</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份；中标单位领取中标通知书时，一并递交给代理机构）</w:t>
            </w:r>
          </w:p>
        </w:tc>
      </w:tr>
      <w:tr>
        <w:tblPrEx>
          <w:tblCellMar>
            <w:top w:w="0" w:type="dxa"/>
            <w:left w:w="108" w:type="dxa"/>
            <w:bottom w:w="0" w:type="dxa"/>
            <w:right w:w="108" w:type="dxa"/>
          </w:tblCellMar>
        </w:tblPrEx>
        <w:trPr>
          <w:trHeight w:val="0" w:hRule="atLeast"/>
          <w:jc w:val="center"/>
        </w:trPr>
        <w:tc>
          <w:tcPr>
            <w:tcW w:w="86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时00分（北京时间）</w:t>
            </w:r>
          </w:p>
        </w:tc>
      </w:tr>
      <w:tr>
        <w:tblPrEx>
          <w:tblCellMar>
            <w:top w:w="0" w:type="dxa"/>
            <w:left w:w="108" w:type="dxa"/>
            <w:bottom w:w="0" w:type="dxa"/>
            <w:right w:w="108" w:type="dxa"/>
          </w:tblCellMar>
        </w:tblPrEx>
        <w:trPr>
          <w:trHeight w:val="0" w:hRule="atLeast"/>
          <w:jc w:val="center"/>
        </w:trPr>
        <w:tc>
          <w:tcPr>
            <w:tcW w:w="868"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kern w:val="2"/>
                <w:highlight w:val="none"/>
                <w:lang w:val="en-US" w:eastAsia="zh-CN"/>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color w:val="auto"/>
                <w:sz w:val="21"/>
                <w:szCs w:val="21"/>
                <w:highlight w:val="none"/>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1、本项目的投标人无需到达开标现场，投标文件采用加密电子文件（压缩包）在投标截止时间前通过邮箱发送至代理机构邮箱（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命名为“公司名称+项目名称+联系人+联系电话”。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2、各投标人须在投标截止时间后10分钟内，将投标文件解压密码通过邮箱发送至代理机构邮箱（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）。逾期发送或未发送或发送材料无法识别的，投标将被拒绝。</w:t>
            </w:r>
          </w:p>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eastAsia="宋体" w:cs="宋体"/>
                <w:b/>
                <w:bCs/>
                <w:color w:val="auto"/>
                <w:szCs w:val="21"/>
                <w:highlight w:val="none"/>
                <w:u w:val="none"/>
              </w:rPr>
            </w:pPr>
            <w:r>
              <w:rPr>
                <w:rFonts w:hint="eastAsia" w:ascii="宋体" w:hAnsi="宋体" w:cs="宋体"/>
                <w:b/>
                <w:bCs/>
                <w:color w:val="auto"/>
                <w:szCs w:val="21"/>
                <w:highlight w:val="none"/>
              </w:rPr>
              <w:t>注：发送解压密码的邮箱应与加密电子投标文件一致。</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开标时间：同投标截止时间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会议室(滁州市龙蟠大道109号房产大厦六楼)</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中标公示媒介</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 </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color w:val="auto"/>
                <w:szCs w:val="21"/>
                <w:highlight w:val="none"/>
                <w:lang w:val="en-US" w:eastAsia="zh-CN"/>
              </w:rPr>
              <w:t>按月进度付款，当月完成进度计划的合格分部分项工程按85%付进度款；工程竣工验收合格后支付至已完成合格工程量价款的90%；竣工结算且经审核或复核后付至结算总造价的98%，剩余2%作为工程质量保证金，工程缺陷责任期（缺陷责任期</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lang w:val="en-US" w:eastAsia="zh-CN"/>
              </w:rPr>
              <w:t>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p>
        </w:tc>
      </w:tr>
      <w:tr>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约谈制度</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本项目实行法定代表人和项目负责人约谈制度：项目中标公示期满，下发中标通知书前，中标单位必须按照招标人的规定时间参加约谈，中标单位的法定代表人和项目负责人必须参加约谈会议，未按照规定时间要求参加约谈或中标单位的法定代表人和项目负责人没有参加约谈会议的，视为自动放弃中标。</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pPr>
        <w:rPr>
          <w:rFonts w:hint="eastAsia" w:ascii="宋体" w:hAnsi="宋体" w:eastAsia="宋体" w:cs="宋体"/>
          <w:color w:val="auto"/>
          <w:sz w:val="24"/>
          <w:szCs w:val="24"/>
          <w:highlight w:val="none"/>
        </w:rPr>
      </w:pPr>
      <w:bookmarkStart w:id="59" w:name="_Toc35424887"/>
      <w:bookmarkStart w:id="60" w:name="_Toc35425053"/>
      <w:bookmarkStart w:id="61" w:name="_Toc5813"/>
      <w:bookmarkStart w:id="62" w:name="_Toc15058846"/>
      <w:bookmarkStart w:id="63" w:name="_Toc78803322"/>
      <w:r>
        <w:rPr>
          <w:rFonts w:hint="eastAsia" w:ascii="宋体" w:hAnsi="宋体" w:eastAsia="宋体" w:cs="宋体"/>
          <w:color w:val="auto"/>
          <w:sz w:val="24"/>
          <w:szCs w:val="24"/>
          <w:highlight w:val="none"/>
        </w:rPr>
        <w:br w:type="page"/>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4" w:name="_Toc246996176"/>
      <w:bookmarkStart w:id="65" w:name="_Toc15058847"/>
      <w:bookmarkStart w:id="66" w:name="_Toc324404816"/>
      <w:bookmarkStart w:id="67" w:name="_Toc246996919"/>
      <w:bookmarkStart w:id="68" w:name="_Toc152045530"/>
      <w:bookmarkStart w:id="69" w:name="_Toc4678"/>
      <w:bookmarkStart w:id="70" w:name="_Toc78803323"/>
      <w:bookmarkStart w:id="71" w:name="_Toc296602421"/>
      <w:bookmarkStart w:id="72" w:name="_Toc506107270"/>
      <w:bookmarkStart w:id="73" w:name="_Toc35424888"/>
      <w:bookmarkStart w:id="74" w:name="_Toc179632547"/>
      <w:bookmarkStart w:id="75" w:name="_Toc35425054"/>
      <w:bookmarkStart w:id="76" w:name="_Toc144974498"/>
      <w:bookmarkStart w:id="77" w:name="_Toc247085690"/>
      <w:bookmarkStart w:id="78" w:name="_Toc152042306"/>
      <w:r>
        <w:rPr>
          <w:rFonts w:hint="eastAsia" w:ascii="宋体" w:hAnsi="宋体" w:eastAsia="宋体" w:cs="宋体"/>
          <w:color w:val="auto"/>
          <w:kern w:val="44"/>
          <w:highlight w:val="none"/>
        </w:rPr>
        <w:t>1.1 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9" w:name="_Toc35425055"/>
      <w:bookmarkStart w:id="80" w:name="_Toc144974499"/>
      <w:bookmarkStart w:id="81" w:name="_Toc152042307"/>
      <w:bookmarkStart w:id="82" w:name="_Toc246996177"/>
      <w:bookmarkStart w:id="83" w:name="_Toc179632548"/>
      <w:bookmarkStart w:id="84" w:name="_Toc35424889"/>
      <w:bookmarkStart w:id="85" w:name="_Toc78803324"/>
      <w:bookmarkStart w:id="86" w:name="_Toc506107271"/>
      <w:bookmarkStart w:id="87" w:name="_Toc15058848"/>
      <w:bookmarkStart w:id="88" w:name="_Toc247085691"/>
      <w:bookmarkStart w:id="89" w:name="_Toc246996920"/>
      <w:bookmarkStart w:id="90" w:name="_Toc324404817"/>
      <w:bookmarkStart w:id="91" w:name="_Toc7142"/>
      <w:bookmarkStart w:id="92" w:name="_Toc152045531"/>
      <w:bookmarkStart w:id="93" w:name="_Toc296602422"/>
      <w:r>
        <w:rPr>
          <w:rFonts w:hint="eastAsia" w:ascii="宋体" w:hAnsi="宋体" w:eastAsia="宋体" w:cs="宋体"/>
          <w:color w:val="auto"/>
          <w:highlight w:val="none"/>
        </w:rPr>
        <w:t>1.2 资金来源和落实情况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4" w:name="_Toc152042308"/>
      <w:bookmarkStart w:id="95" w:name="_Toc179632549"/>
      <w:bookmarkStart w:id="96" w:name="_Toc246996921"/>
      <w:bookmarkStart w:id="97" w:name="_Toc6330"/>
      <w:bookmarkStart w:id="98" w:name="_Toc246996178"/>
      <w:bookmarkStart w:id="99" w:name="_Toc15058849"/>
      <w:bookmarkStart w:id="100" w:name="_Toc296602423"/>
      <w:bookmarkStart w:id="101" w:name="_Toc324404818"/>
      <w:bookmarkStart w:id="102" w:name="_Toc247085692"/>
      <w:bookmarkStart w:id="103" w:name="_Toc35424890"/>
      <w:bookmarkStart w:id="104" w:name="_Toc78803325"/>
      <w:bookmarkStart w:id="105" w:name="_Toc506107272"/>
      <w:bookmarkStart w:id="106" w:name="_Toc35425056"/>
      <w:bookmarkStart w:id="107" w:name="_Toc144974500"/>
      <w:bookmarkStart w:id="108" w:name="_Toc152045532"/>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9" w:name="_Toc506107273"/>
      <w:bookmarkStart w:id="110" w:name="_Toc26897"/>
      <w:bookmarkStart w:id="111" w:name="_Toc247085693"/>
      <w:bookmarkStart w:id="112" w:name="_Toc152042310"/>
      <w:bookmarkStart w:id="113" w:name="_Toc179632551"/>
      <w:bookmarkStart w:id="114" w:name="_Toc324404819"/>
      <w:bookmarkStart w:id="115" w:name="_Toc246996922"/>
      <w:bookmarkStart w:id="116" w:name="_Toc152045534"/>
      <w:bookmarkStart w:id="117" w:name="_Toc296602424"/>
      <w:bookmarkStart w:id="118" w:name="_Toc35425057"/>
      <w:bookmarkStart w:id="119" w:name="_Toc78803326"/>
      <w:bookmarkStart w:id="120" w:name="_Toc35424891"/>
      <w:bookmarkStart w:id="121" w:name="_Toc246996179"/>
      <w:bookmarkStart w:id="122" w:name="_Toc15058850"/>
      <w:bookmarkStart w:id="123" w:name="_Toc144974502"/>
      <w:r>
        <w:rPr>
          <w:rFonts w:hint="eastAsia" w:ascii="宋体" w:hAnsi="宋体" w:eastAsia="宋体" w:cs="宋体"/>
          <w:color w:val="auto"/>
          <w:highlight w:val="none"/>
        </w:rPr>
        <w:t>1.4 投标人资格要求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4" w:name="_Toc35424892"/>
      <w:bookmarkStart w:id="125" w:name="_Toc152045535"/>
      <w:bookmarkStart w:id="126" w:name="_Toc152042311"/>
      <w:bookmarkStart w:id="127" w:name="_Toc179632552"/>
      <w:bookmarkStart w:id="128" w:name="_Toc15058851"/>
      <w:bookmarkStart w:id="129" w:name="_Toc324404820"/>
      <w:bookmarkStart w:id="130" w:name="_Toc35425058"/>
      <w:bookmarkStart w:id="131" w:name="_Toc246996923"/>
      <w:bookmarkStart w:id="132" w:name="_Toc78803327"/>
      <w:bookmarkStart w:id="133" w:name="_Toc144974503"/>
      <w:bookmarkStart w:id="134" w:name="_Toc246996180"/>
      <w:bookmarkStart w:id="135" w:name="_Toc247085694"/>
      <w:bookmarkStart w:id="136" w:name="_Toc10179"/>
      <w:bookmarkStart w:id="137" w:name="_Toc506107274"/>
      <w:bookmarkStart w:id="138" w:name="_Toc296602425"/>
      <w:r>
        <w:rPr>
          <w:rFonts w:hint="eastAsia" w:ascii="宋体" w:hAnsi="宋体" w:eastAsia="宋体" w:cs="宋体"/>
          <w:color w:val="auto"/>
          <w:highlight w:val="none"/>
        </w:rPr>
        <w:t>1.5 费用承担</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9" w:name="_Toc296602426"/>
      <w:bookmarkStart w:id="140" w:name="_Toc78803328"/>
      <w:bookmarkStart w:id="141" w:name="_Toc506107275"/>
      <w:bookmarkStart w:id="142" w:name="_Toc35425059"/>
      <w:bookmarkStart w:id="143" w:name="_Toc179632553"/>
      <w:bookmarkStart w:id="144" w:name="_Toc246996924"/>
      <w:bookmarkStart w:id="145" w:name="_Toc4092"/>
      <w:bookmarkStart w:id="146" w:name="_Toc246996181"/>
      <w:bookmarkStart w:id="147" w:name="_Toc15058852"/>
      <w:bookmarkStart w:id="148" w:name="_Toc35424893"/>
      <w:bookmarkStart w:id="149" w:name="_Toc247085695"/>
      <w:bookmarkStart w:id="150" w:name="_Toc152045536"/>
      <w:bookmarkStart w:id="151" w:name="_Toc324404821"/>
      <w:bookmarkStart w:id="152" w:name="_Toc144974504"/>
      <w:bookmarkStart w:id="153" w:name="_Toc152042312"/>
      <w:r>
        <w:rPr>
          <w:rFonts w:hint="eastAsia" w:ascii="宋体" w:hAnsi="宋体" w:eastAsia="宋体" w:cs="宋体"/>
          <w:color w:val="auto"/>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4" w:name="_Toc144974505"/>
      <w:bookmarkStart w:id="155" w:name="_Toc35424894"/>
      <w:bookmarkStart w:id="156" w:name="_Toc152042313"/>
      <w:bookmarkStart w:id="157" w:name="_Toc247085696"/>
      <w:bookmarkStart w:id="158" w:name="_Toc296602427"/>
      <w:bookmarkStart w:id="159" w:name="_Toc179632554"/>
      <w:bookmarkStart w:id="160" w:name="_Toc15058853"/>
      <w:bookmarkStart w:id="161" w:name="_Toc246996182"/>
      <w:bookmarkStart w:id="162" w:name="_Toc35425060"/>
      <w:bookmarkStart w:id="163" w:name="_Toc506107276"/>
      <w:bookmarkStart w:id="164" w:name="_Toc4119"/>
      <w:bookmarkStart w:id="165" w:name="_Toc246996925"/>
      <w:bookmarkStart w:id="166" w:name="_Toc78803329"/>
      <w:bookmarkStart w:id="167" w:name="_Toc324404822"/>
      <w:bookmarkStart w:id="168" w:name="_Toc152045537"/>
      <w:r>
        <w:rPr>
          <w:rFonts w:hint="eastAsia" w:ascii="宋体" w:hAnsi="宋体" w:eastAsia="宋体" w:cs="宋体"/>
          <w:color w:val="auto"/>
          <w:highlight w:val="none"/>
        </w:rPr>
        <w:t>1.7 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9" w:name="_Toc246996926"/>
      <w:bookmarkStart w:id="170" w:name="_Toc247085697"/>
      <w:bookmarkStart w:id="171" w:name="_Toc152042314"/>
      <w:bookmarkStart w:id="172" w:name="_Toc179632555"/>
      <w:bookmarkStart w:id="173" w:name="_Toc144974506"/>
      <w:bookmarkStart w:id="174" w:name="_Toc152045538"/>
      <w:bookmarkStart w:id="175" w:name="_Toc246996183"/>
      <w:r>
        <w:rPr>
          <w:rFonts w:hint="eastAsia" w:ascii="宋体" w:hAnsi="宋体" w:cs="宋体"/>
          <w:color w:val="auto"/>
          <w:szCs w:val="21"/>
          <w:highlight w:val="none"/>
        </w:rPr>
        <w:t>招标投标文件使用的语言文字为中文。专用术语使用外文的，应附有中文注释。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6" w:name="_Toc296602428"/>
      <w:bookmarkStart w:id="177" w:name="_Toc35424895"/>
      <w:bookmarkStart w:id="178" w:name="_Toc35425061"/>
      <w:bookmarkStart w:id="179" w:name="_Toc324404823"/>
      <w:bookmarkStart w:id="180" w:name="_Toc78803330"/>
      <w:bookmarkStart w:id="181" w:name="_Toc13408"/>
      <w:bookmarkStart w:id="182" w:name="_Toc506107277"/>
      <w:bookmarkStart w:id="183" w:name="_Toc15058854"/>
      <w:r>
        <w:rPr>
          <w:rFonts w:hint="eastAsia" w:ascii="宋体" w:hAnsi="宋体" w:eastAsia="宋体" w:cs="宋体"/>
          <w:color w:val="auto"/>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4" w:name="_Toc152045539"/>
      <w:bookmarkStart w:id="185" w:name="_Toc35425062"/>
      <w:bookmarkStart w:id="186" w:name="_Toc78803331"/>
      <w:bookmarkStart w:id="187" w:name="_Toc152042315"/>
      <w:bookmarkStart w:id="188" w:name="_Toc247592876"/>
      <w:bookmarkStart w:id="189" w:name="_Toc35424896"/>
      <w:bookmarkStart w:id="190" w:name="_Toc247513962"/>
      <w:bookmarkStart w:id="191" w:name="_Toc15058855"/>
      <w:bookmarkStart w:id="192" w:name="_Toc296602429"/>
      <w:bookmarkStart w:id="193" w:name="_Toc144974507"/>
      <w:bookmarkStart w:id="194" w:name="_Toc506107278"/>
      <w:bookmarkStart w:id="195" w:name="_Toc11493"/>
      <w:bookmarkStart w:id="196" w:name="_Toc324404824"/>
      <w:bookmarkStart w:id="197" w:name="_Toc247527563"/>
      <w:r>
        <w:rPr>
          <w:rFonts w:hint="eastAsia" w:ascii="宋体" w:hAnsi="宋体" w:eastAsia="宋体" w:cs="宋体"/>
          <w:color w:val="auto"/>
          <w:highlight w:val="none"/>
        </w:rPr>
        <w:t>1.9 踏勘现场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8" w:name="_Toc78803332"/>
      <w:bookmarkStart w:id="199" w:name="_Toc22954"/>
      <w:bookmarkStart w:id="200" w:name="_Toc506107279"/>
      <w:bookmarkStart w:id="201" w:name="_Toc152045540"/>
      <w:bookmarkStart w:id="202" w:name="_Toc15058856"/>
      <w:bookmarkStart w:id="203" w:name="_Toc247527564"/>
      <w:bookmarkStart w:id="204" w:name="_Toc296602430"/>
      <w:bookmarkStart w:id="205" w:name="_Toc247513963"/>
      <w:bookmarkStart w:id="206" w:name="_Toc247592877"/>
      <w:bookmarkStart w:id="207" w:name="_Toc144974508"/>
      <w:bookmarkStart w:id="208" w:name="_Toc35425063"/>
      <w:bookmarkStart w:id="209" w:name="_Toc152042316"/>
      <w:bookmarkStart w:id="210" w:name="_Toc324404825"/>
      <w:bookmarkStart w:id="211" w:name="_Toc35424897"/>
      <w:r>
        <w:rPr>
          <w:rFonts w:hint="eastAsia" w:ascii="宋体" w:hAnsi="宋体" w:eastAsia="宋体" w:cs="宋体"/>
          <w:color w:val="auto"/>
          <w:highlight w:val="none"/>
        </w:rPr>
        <w:t>1.10 投标预备会</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2" w:name="_Toc296602431"/>
      <w:bookmarkStart w:id="213" w:name="_Toc324404826"/>
      <w:bookmarkStart w:id="214" w:name="_Toc506107280"/>
      <w:bookmarkStart w:id="215" w:name="_Toc15058857"/>
      <w:bookmarkStart w:id="216" w:name="_Toc83301699"/>
      <w:bookmarkStart w:id="217" w:name="_Toc60061444"/>
      <w:bookmarkStart w:id="218" w:name="_Toc95223347"/>
      <w:bookmarkStart w:id="219" w:name="_Toc35425065"/>
      <w:bookmarkStart w:id="220" w:name="_Toc324404827"/>
      <w:bookmarkStart w:id="221" w:name="_Toc246996187"/>
      <w:bookmarkStart w:id="222" w:name="_Toc152042318"/>
      <w:bookmarkStart w:id="223" w:name="_Toc246996930"/>
      <w:bookmarkStart w:id="224" w:name="_Toc78803334"/>
      <w:bookmarkStart w:id="225" w:name="_Toc144974510"/>
      <w:bookmarkStart w:id="226" w:name="_Toc35424899"/>
      <w:bookmarkStart w:id="227" w:name="_Toc15058858"/>
      <w:bookmarkStart w:id="228" w:name="_Toc4012"/>
      <w:bookmarkStart w:id="229" w:name="_Toc179632560"/>
      <w:bookmarkStart w:id="230" w:name="_Toc506107281"/>
      <w:bookmarkStart w:id="231" w:name="_Toc152045542"/>
      <w:bookmarkStart w:id="232" w:name="_Toc247085701"/>
      <w:r>
        <w:rPr>
          <w:rFonts w:hint="eastAsia" w:ascii="宋体" w:hAnsi="宋体" w:eastAsia="宋体" w:cs="宋体"/>
          <w:color w:val="auto"/>
          <w:highlight w:val="none"/>
        </w:rPr>
        <w:t xml:space="preserve">1.11 </w:t>
      </w:r>
      <w:bookmarkEnd w:id="212"/>
      <w:bookmarkEnd w:id="213"/>
      <w:bookmarkEnd w:id="214"/>
      <w:bookmarkEnd w:id="215"/>
      <w:r>
        <w:rPr>
          <w:rFonts w:hint="eastAsia" w:ascii="宋体" w:hAnsi="宋体" w:eastAsia="宋体" w:cs="宋体"/>
          <w:color w:val="auto"/>
          <w:highlight w:val="none"/>
        </w:rPr>
        <w:t>分包</w:t>
      </w:r>
      <w:bookmarkEnd w:id="216"/>
      <w:bookmarkEnd w:id="217"/>
      <w:bookmarkEnd w:id="21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3" w:name="_Toc60061445"/>
      <w:bookmarkStart w:id="234" w:name="_Toc95223348"/>
      <w:bookmarkStart w:id="235" w:name="_Toc83301700"/>
      <w:r>
        <w:rPr>
          <w:rFonts w:hint="eastAsia" w:ascii="宋体" w:hAnsi="宋体" w:eastAsia="宋体" w:cs="宋体"/>
          <w:color w:val="auto"/>
          <w:highlight w:val="none"/>
        </w:rPr>
        <w:t>1.12 偏离</w:t>
      </w:r>
      <w:bookmarkEnd w:id="233"/>
      <w:bookmarkEnd w:id="234"/>
      <w:bookmarkEnd w:id="23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6" w:name="_Toc144974511"/>
      <w:bookmarkStart w:id="237" w:name="_Toc78803335"/>
      <w:bookmarkStart w:id="238" w:name="_Toc247085702"/>
      <w:bookmarkStart w:id="239" w:name="_Toc246996188"/>
      <w:bookmarkStart w:id="240" w:name="_Toc296602433"/>
      <w:bookmarkStart w:id="241" w:name="_Toc15058859"/>
      <w:bookmarkStart w:id="242" w:name="_Toc152045543"/>
      <w:bookmarkStart w:id="243" w:name="_Toc35425066"/>
      <w:bookmarkStart w:id="244" w:name="_Toc13213"/>
      <w:bookmarkStart w:id="245" w:name="_Toc179632561"/>
      <w:bookmarkStart w:id="246" w:name="_Toc324404828"/>
      <w:bookmarkStart w:id="247" w:name="_Toc246996931"/>
      <w:bookmarkStart w:id="248" w:name="_Toc506107282"/>
      <w:bookmarkStart w:id="249" w:name="_Toc152042319"/>
      <w:bookmarkStart w:id="250" w:name="_Toc35424900"/>
      <w:r>
        <w:rPr>
          <w:rFonts w:hint="eastAsia" w:ascii="宋体" w:hAnsi="宋体" w:eastAsia="宋体" w:cs="宋体"/>
          <w:color w:val="auto"/>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1" w:name="_Toc78803336"/>
      <w:bookmarkStart w:id="252" w:name="_Toc152045544"/>
      <w:bookmarkStart w:id="253" w:name="_Toc247085703"/>
      <w:bookmarkStart w:id="254" w:name="_Toc246996189"/>
      <w:bookmarkStart w:id="255" w:name="_Toc35425067"/>
      <w:bookmarkStart w:id="256" w:name="_Toc506107283"/>
      <w:bookmarkStart w:id="257" w:name="_Toc32239"/>
      <w:bookmarkStart w:id="258" w:name="_Toc15058860"/>
      <w:bookmarkStart w:id="259" w:name="_Toc152042320"/>
      <w:bookmarkStart w:id="260" w:name="_Toc296602434"/>
      <w:bookmarkStart w:id="261" w:name="_Toc35424901"/>
      <w:bookmarkStart w:id="262" w:name="_Toc246996932"/>
      <w:bookmarkStart w:id="263" w:name="_Toc179632562"/>
      <w:bookmarkStart w:id="264" w:name="_Toc324404829"/>
      <w:bookmarkStart w:id="265" w:name="_Toc144974512"/>
      <w:r>
        <w:rPr>
          <w:rFonts w:hint="eastAsia" w:ascii="宋体" w:hAnsi="宋体" w:eastAsia="宋体" w:cs="宋体"/>
          <w:color w:val="auto"/>
          <w:highlight w:val="none"/>
        </w:rPr>
        <w:t>2.2 招标文件的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eastAsia="宋体" w:cs="宋体"/>
          <w:color w:val="auto"/>
          <w:highlight w:val="none"/>
          <w:lang w:val="en-US" w:eastAsia="zh-CN"/>
        </w:rPr>
        <w:t>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6" w:name="_Toc144974513"/>
      <w:bookmarkStart w:id="267" w:name="_Toc179632563"/>
      <w:bookmarkStart w:id="268" w:name="_Toc35424902"/>
      <w:bookmarkStart w:id="269" w:name="_Toc15058861"/>
      <w:bookmarkStart w:id="270" w:name="_Toc324404830"/>
      <w:bookmarkStart w:id="271" w:name="_Toc506107284"/>
      <w:bookmarkStart w:id="272" w:name="_Toc246996190"/>
      <w:bookmarkStart w:id="273" w:name="_Toc152045545"/>
      <w:bookmarkStart w:id="274" w:name="_Toc246996933"/>
      <w:bookmarkStart w:id="275" w:name="_Toc78803337"/>
      <w:bookmarkStart w:id="276" w:name="_Toc247085704"/>
      <w:bookmarkStart w:id="277" w:name="_Toc24633"/>
      <w:bookmarkStart w:id="278" w:name="_Toc35425068"/>
      <w:bookmarkStart w:id="279" w:name="_Toc296602435"/>
      <w:bookmarkStart w:id="280" w:name="_Toc152042321"/>
      <w:r>
        <w:rPr>
          <w:rFonts w:hint="eastAsia" w:ascii="宋体" w:hAnsi="宋体" w:eastAsia="宋体" w:cs="宋体"/>
          <w:color w:val="auto"/>
          <w:highlight w:val="none"/>
        </w:rPr>
        <w:t>2.3 招标文件的</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color w:val="auto"/>
          <w:highlight w:val="none"/>
          <w:lang w:val="en-US" w:eastAsia="zh-CN"/>
        </w:rPr>
        <w:t>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lang w:eastAsia="zh-CN"/>
        </w:rPr>
        <w:t>“滁州市兴滁矿业投资集团有限公司”（http://www.xckytz.com/）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1" w:name="_Toc6464"/>
      <w:bookmarkStart w:id="282" w:name="_Toc78803339"/>
      <w:bookmarkStart w:id="283" w:name="_Toc179632564"/>
      <w:bookmarkStart w:id="284" w:name="_Toc247085705"/>
      <w:bookmarkStart w:id="285" w:name="_Toc35425070"/>
      <w:bookmarkStart w:id="286" w:name="_Toc144974514"/>
      <w:bookmarkStart w:id="287" w:name="_Toc324404832"/>
      <w:bookmarkStart w:id="288" w:name="_Toc152045546"/>
      <w:bookmarkStart w:id="289" w:name="_Toc246996934"/>
      <w:bookmarkStart w:id="290" w:name="_Toc15058863"/>
      <w:bookmarkStart w:id="291" w:name="_Toc35424904"/>
      <w:bookmarkStart w:id="292" w:name="_Toc152042322"/>
      <w:bookmarkStart w:id="293" w:name="_Toc506107285"/>
      <w:bookmarkStart w:id="294" w:name="_Toc246996191"/>
      <w:r>
        <w:rPr>
          <w:rFonts w:hint="eastAsia" w:ascii="宋体" w:hAnsi="宋体" w:eastAsia="宋体" w:cs="宋体"/>
          <w:color w:val="auto"/>
          <w:sz w:val="24"/>
          <w:szCs w:val="24"/>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5" w:name="_Toc78803340"/>
      <w:bookmarkStart w:id="296" w:name="_Toc157"/>
      <w:bookmarkStart w:id="297" w:name="_Toc15058864"/>
      <w:bookmarkStart w:id="298" w:name="_Toc35425071"/>
      <w:bookmarkStart w:id="299" w:name="_Toc152042323"/>
      <w:bookmarkStart w:id="300" w:name="_Toc296602437"/>
      <w:bookmarkStart w:id="301" w:name="_Toc144974515"/>
      <w:bookmarkStart w:id="302" w:name="_Toc246996935"/>
      <w:bookmarkStart w:id="303" w:name="_Toc35424905"/>
      <w:bookmarkStart w:id="304" w:name="_Toc247085706"/>
      <w:bookmarkStart w:id="305" w:name="_Toc179632565"/>
      <w:bookmarkStart w:id="306" w:name="_Toc324404833"/>
      <w:bookmarkStart w:id="307" w:name="_Toc506107286"/>
      <w:bookmarkStart w:id="308" w:name="_Toc246996192"/>
      <w:bookmarkStart w:id="309" w:name="_Toc152045547"/>
      <w:r>
        <w:rPr>
          <w:rFonts w:hint="eastAsia" w:ascii="宋体" w:hAnsi="宋体" w:eastAsia="宋体" w:cs="宋体"/>
          <w:color w:val="auto"/>
          <w:highlight w:val="none"/>
        </w:rPr>
        <w:t>3.1 投标文件的组成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0" w:name="_Toc246996936"/>
      <w:bookmarkStart w:id="311" w:name="_Toc35424906"/>
      <w:bookmarkStart w:id="312" w:name="_Toc247085707"/>
      <w:bookmarkStart w:id="313" w:name="_Toc6829"/>
      <w:bookmarkStart w:id="314" w:name="_Toc324404834"/>
      <w:bookmarkStart w:id="315" w:name="_Toc78803341"/>
      <w:bookmarkStart w:id="316" w:name="_Toc246996193"/>
      <w:bookmarkStart w:id="317" w:name="_Toc506107287"/>
      <w:bookmarkStart w:id="318" w:name="_Toc144974516"/>
      <w:bookmarkStart w:id="319" w:name="_Toc35425072"/>
      <w:bookmarkStart w:id="320" w:name="_Toc15058865"/>
      <w:bookmarkStart w:id="321" w:name="_Toc152045548"/>
      <w:bookmarkStart w:id="322" w:name="_Toc179632566"/>
      <w:bookmarkStart w:id="323" w:name="_Toc296602438"/>
      <w:bookmarkStart w:id="324" w:name="_Toc152042324"/>
      <w:r>
        <w:rPr>
          <w:rFonts w:hint="eastAsia" w:ascii="宋体" w:hAnsi="宋体" w:eastAsia="宋体" w:cs="宋体"/>
          <w:color w:val="auto"/>
          <w:highlight w:val="none"/>
        </w:rPr>
        <w:t>3.2 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5" w:name="_Toc35424907"/>
      <w:bookmarkStart w:id="326" w:name="_Toc35425073"/>
      <w:bookmarkStart w:id="327" w:name="_Toc152045549"/>
      <w:bookmarkStart w:id="328" w:name="_Toc324404835"/>
      <w:bookmarkStart w:id="329" w:name="_Toc179632567"/>
      <w:bookmarkStart w:id="330" w:name="_Toc78803342"/>
      <w:bookmarkStart w:id="331" w:name="_Toc152042325"/>
      <w:bookmarkStart w:id="332" w:name="_Toc31735"/>
      <w:bookmarkStart w:id="333" w:name="_Toc296602439"/>
      <w:bookmarkStart w:id="334" w:name="_Toc246996937"/>
      <w:bookmarkStart w:id="335" w:name="_Toc15058866"/>
      <w:bookmarkStart w:id="336" w:name="_Toc246996194"/>
      <w:bookmarkStart w:id="337" w:name="_Toc247085708"/>
      <w:bookmarkStart w:id="338" w:name="_Toc144974517"/>
      <w:bookmarkStart w:id="339" w:name="_Toc506107288"/>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0" w:name="_Toc247085709"/>
      <w:bookmarkStart w:id="341" w:name="_Toc10714"/>
      <w:bookmarkStart w:id="342" w:name="_Toc506107289"/>
      <w:bookmarkStart w:id="343" w:name="_Toc296602440"/>
      <w:bookmarkStart w:id="344" w:name="_Toc246996195"/>
      <w:bookmarkStart w:id="345" w:name="_Toc152045550"/>
      <w:bookmarkStart w:id="346" w:name="_Toc35424908"/>
      <w:bookmarkStart w:id="347" w:name="_Toc179632568"/>
      <w:bookmarkStart w:id="348" w:name="_Toc144974518"/>
      <w:bookmarkStart w:id="349" w:name="_Toc246996938"/>
      <w:bookmarkStart w:id="350" w:name="_Toc324404836"/>
      <w:bookmarkStart w:id="351" w:name="_Toc152042326"/>
      <w:bookmarkStart w:id="352" w:name="_Toc78803343"/>
      <w:bookmarkStart w:id="353" w:name="_Toc35425074"/>
      <w:bookmarkStart w:id="354" w:name="_Toc15058867"/>
      <w:r>
        <w:rPr>
          <w:rFonts w:hint="eastAsia" w:ascii="宋体" w:hAnsi="宋体" w:eastAsia="宋体" w:cs="宋体"/>
          <w:color w:val="auto"/>
          <w:highlight w:val="none"/>
        </w:rPr>
        <w:t>3.4 投标保证金</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5" w:name="_Toc506107290"/>
      <w:bookmarkStart w:id="356" w:name="_Toc296602442"/>
      <w:bookmarkStart w:id="357" w:name="_Toc35425075"/>
      <w:bookmarkStart w:id="358" w:name="_Toc78803344"/>
      <w:bookmarkStart w:id="359" w:name="_Toc19037"/>
      <w:bookmarkStart w:id="360" w:name="_Toc324404837"/>
      <w:bookmarkStart w:id="361" w:name="_Toc35424909"/>
      <w:bookmarkStart w:id="362" w:name="_Toc15058868"/>
      <w:bookmarkStart w:id="363" w:name="_Toc246996197"/>
      <w:bookmarkStart w:id="364" w:name="_Toc152045553"/>
      <w:bookmarkStart w:id="365" w:name="_Toc152042329"/>
      <w:bookmarkStart w:id="366" w:name="_Toc179632571"/>
      <w:bookmarkStart w:id="367" w:name="_Toc144974521"/>
      <w:bookmarkStart w:id="368" w:name="_Toc247085711"/>
      <w:bookmarkStart w:id="369" w:name="_Toc246996940"/>
      <w:r>
        <w:rPr>
          <w:rFonts w:hint="eastAsia" w:ascii="宋体" w:hAnsi="宋体" w:eastAsia="宋体" w:cs="宋体"/>
          <w:color w:val="auto"/>
          <w:highlight w:val="none"/>
        </w:rPr>
        <w:t>3.5投标文件的编制</w:t>
      </w:r>
      <w:bookmarkEnd w:id="355"/>
      <w:bookmarkEnd w:id="356"/>
      <w:bookmarkEnd w:id="357"/>
      <w:bookmarkEnd w:id="358"/>
      <w:bookmarkEnd w:id="359"/>
      <w:bookmarkEnd w:id="360"/>
      <w:bookmarkEnd w:id="361"/>
      <w:bookmarkEnd w:id="36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3"/>
    <w:bookmarkEnd w:id="364"/>
    <w:bookmarkEnd w:id="365"/>
    <w:bookmarkEnd w:id="366"/>
    <w:bookmarkEnd w:id="367"/>
    <w:bookmarkEnd w:id="368"/>
    <w:bookmarkEnd w:id="369"/>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70" w:name="_Toc179632573"/>
      <w:bookmarkStart w:id="371" w:name="_Toc247085713"/>
      <w:bookmarkStart w:id="372" w:name="_Toc246996942"/>
      <w:bookmarkStart w:id="373" w:name="_Toc152045555"/>
      <w:bookmarkStart w:id="374" w:name="_Toc324404838"/>
      <w:bookmarkStart w:id="375" w:name="_Toc144974523"/>
      <w:bookmarkStart w:id="376" w:name="_Toc246996199"/>
      <w:bookmarkStart w:id="377" w:name="_Toc152042331"/>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8" w:name="_Toc15058869"/>
      <w:bookmarkStart w:id="379" w:name="_Toc506107291"/>
      <w:bookmarkStart w:id="380" w:name="_Toc19455"/>
      <w:bookmarkStart w:id="381" w:name="_Toc35424910"/>
      <w:bookmarkStart w:id="382" w:name="_Toc35425076"/>
      <w:bookmarkStart w:id="383" w:name="_Toc78803345"/>
      <w:r>
        <w:rPr>
          <w:rFonts w:hint="eastAsia" w:ascii="宋体" w:hAnsi="宋体" w:eastAsia="宋体" w:cs="宋体"/>
          <w:color w:val="auto"/>
          <w:sz w:val="24"/>
          <w:szCs w:val="24"/>
          <w:highlight w:val="none"/>
        </w:rPr>
        <w:t>4.投标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4" w:name="_Toc78803346"/>
      <w:bookmarkStart w:id="385" w:name="_Toc15058870"/>
      <w:bookmarkStart w:id="386" w:name="_Toc14473"/>
      <w:bookmarkStart w:id="387" w:name="_Toc35424911"/>
      <w:bookmarkStart w:id="388" w:name="_Toc35425077"/>
      <w:r>
        <w:rPr>
          <w:rFonts w:hint="eastAsia" w:ascii="宋体" w:hAnsi="宋体" w:eastAsia="宋体" w:cs="宋体"/>
          <w:color w:val="auto"/>
          <w:highlight w:val="none"/>
        </w:rPr>
        <w:t>4.1投标文件</w:t>
      </w:r>
      <w:bookmarkEnd w:id="384"/>
      <w:bookmarkEnd w:id="385"/>
      <w:bookmarkEnd w:id="386"/>
      <w:bookmarkEnd w:id="387"/>
      <w:bookmarkEnd w:id="388"/>
      <w:r>
        <w:rPr>
          <w:rFonts w:hint="eastAsia" w:ascii="宋体" w:hAnsi="宋体" w:eastAsia="宋体" w:cs="宋体"/>
          <w:color w:val="auto"/>
          <w:highlight w:val="none"/>
          <w:lang w:val="en-US" w:eastAsia="zh-CN"/>
        </w:rPr>
        <w:t>的提交</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val="en-US" w:eastAsia="zh-CN"/>
        </w:rPr>
        <w:t>具体要求详见投标须知前附表</w:t>
      </w:r>
      <w:r>
        <w:rPr>
          <w:rFonts w:hint="eastAsia" w:ascii="宋体" w:hAnsi="宋体" w:eastAsia="宋体" w:cs="宋体"/>
          <w:color w:val="auto"/>
          <w:szCs w:val="21"/>
          <w:highlight w:val="none"/>
          <w:u w:val="none"/>
          <w:lang w:val="en-US" w:eastAsia="zh-CN"/>
        </w:rPr>
        <w:t>。</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9" w:name="_Toc144974526"/>
      <w:bookmarkStart w:id="390" w:name="_Toc296602446"/>
      <w:bookmarkStart w:id="391" w:name="_Toc247085716"/>
      <w:bookmarkStart w:id="392" w:name="_Toc506107294"/>
      <w:bookmarkStart w:id="393" w:name="_Toc246996202"/>
      <w:bookmarkStart w:id="394" w:name="_Toc179632576"/>
      <w:bookmarkStart w:id="395" w:name="_Toc19572"/>
      <w:bookmarkStart w:id="396" w:name="_Toc246996945"/>
      <w:bookmarkStart w:id="397" w:name="_Toc324404841"/>
      <w:bookmarkStart w:id="398" w:name="_Toc78803347"/>
      <w:bookmarkStart w:id="399" w:name="_Toc15058873"/>
      <w:bookmarkStart w:id="400" w:name="_Toc152042334"/>
      <w:bookmarkStart w:id="401" w:name="_Toc152045558"/>
      <w:bookmarkStart w:id="402" w:name="_Toc35425080"/>
      <w:bookmarkStart w:id="403" w:name="_Toc35424914"/>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4" w:name="_Toc179632577"/>
      <w:bookmarkStart w:id="405" w:name="_Toc152045559"/>
      <w:bookmarkStart w:id="406" w:name="_Toc246996203"/>
      <w:bookmarkStart w:id="407" w:name="_Toc152042335"/>
      <w:bookmarkStart w:id="408" w:name="_Toc15058874"/>
      <w:bookmarkStart w:id="409" w:name="_Toc29639"/>
      <w:bookmarkStart w:id="410" w:name="_Toc247085717"/>
      <w:bookmarkStart w:id="411" w:name="_Toc246996946"/>
      <w:bookmarkStart w:id="412" w:name="_Toc35425081"/>
      <w:bookmarkStart w:id="413" w:name="_Toc324404842"/>
      <w:bookmarkStart w:id="414" w:name="_Toc78803348"/>
      <w:bookmarkStart w:id="415" w:name="_Toc506107295"/>
      <w:bookmarkStart w:id="416" w:name="_Toc144974527"/>
      <w:bookmarkStart w:id="417" w:name="_Toc35424915"/>
      <w:r>
        <w:rPr>
          <w:rFonts w:hint="eastAsia" w:ascii="宋体" w:hAnsi="宋体" w:eastAsia="宋体" w:cs="宋体"/>
          <w:color w:val="auto"/>
          <w:sz w:val="24"/>
          <w:szCs w:val="24"/>
          <w:highlight w:val="none"/>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8" w:name="_Toc152045560"/>
      <w:bookmarkStart w:id="419" w:name="_Toc506107296"/>
      <w:bookmarkStart w:id="420" w:name="_Toc144974528"/>
      <w:bookmarkStart w:id="421" w:name="_Toc13691"/>
      <w:bookmarkStart w:id="422" w:name="_Toc35424916"/>
      <w:bookmarkStart w:id="423" w:name="_Toc15058875"/>
      <w:bookmarkStart w:id="424" w:name="_Toc296602448"/>
      <w:bookmarkStart w:id="425" w:name="_Toc78803349"/>
      <w:bookmarkStart w:id="426" w:name="_Toc247085718"/>
      <w:bookmarkStart w:id="427" w:name="_Toc324404843"/>
      <w:bookmarkStart w:id="428" w:name="_Toc152042336"/>
      <w:bookmarkStart w:id="429" w:name="_Toc35425082"/>
      <w:bookmarkStart w:id="430" w:name="_Toc246996204"/>
      <w:bookmarkStart w:id="431" w:name="_Toc246996947"/>
      <w:bookmarkStart w:id="432" w:name="_Toc179632578"/>
      <w:r>
        <w:rPr>
          <w:rFonts w:hint="eastAsia" w:ascii="宋体" w:hAnsi="宋体" w:eastAsia="宋体" w:cs="宋体"/>
          <w:color w:val="auto"/>
          <w:highlight w:val="none"/>
        </w:rPr>
        <w:t>5.1 开标时间和地点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3" w:name="_Toc35424917"/>
      <w:bookmarkStart w:id="434" w:name="_Toc152042337"/>
      <w:bookmarkStart w:id="435" w:name="_Toc78803350"/>
      <w:bookmarkStart w:id="436" w:name="_Toc152045561"/>
      <w:bookmarkStart w:id="437" w:name="_Toc15058876"/>
      <w:bookmarkStart w:id="438" w:name="_Toc324404844"/>
      <w:bookmarkStart w:id="439" w:name="_Toc506107297"/>
      <w:bookmarkStart w:id="440" w:name="_Toc246996948"/>
      <w:bookmarkStart w:id="441" w:name="_Toc32451"/>
      <w:bookmarkStart w:id="442" w:name="_Toc179632579"/>
      <w:bookmarkStart w:id="443" w:name="_Toc296602449"/>
      <w:bookmarkStart w:id="444" w:name="_Toc247085719"/>
      <w:bookmarkStart w:id="445" w:name="_Toc246996205"/>
      <w:bookmarkStart w:id="446" w:name="_Toc144974529"/>
      <w:bookmarkStart w:id="447" w:name="_Toc35425083"/>
      <w:r>
        <w:rPr>
          <w:rFonts w:hint="eastAsia" w:ascii="宋体" w:hAnsi="宋体" w:eastAsia="宋体" w:cs="宋体"/>
          <w:color w:val="auto"/>
          <w:highlight w:val="none"/>
        </w:rPr>
        <w:t>5.2 开标程序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8" w:name="_Toc324404845"/>
      <w:bookmarkStart w:id="449" w:name="_Toc296602450"/>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0" w:name="_Toc15058877"/>
      <w:bookmarkStart w:id="451" w:name="_Toc506107298"/>
      <w:r>
        <w:rPr>
          <w:rFonts w:hint="eastAsia" w:ascii="宋体" w:hAnsi="宋体" w:cs="宋体"/>
          <w:color w:val="auto"/>
          <w:szCs w:val="21"/>
          <w:highlight w:val="none"/>
        </w:rPr>
        <w:t>（1）宣布开标纪律；</w:t>
      </w:r>
      <w:bookmarkEnd w:id="450"/>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2" w:name="_Toc15058878"/>
      <w:r>
        <w:rPr>
          <w:rFonts w:hint="eastAsia" w:ascii="宋体" w:hAnsi="宋体" w:cs="宋体"/>
          <w:color w:val="auto"/>
          <w:szCs w:val="21"/>
          <w:highlight w:val="none"/>
        </w:rPr>
        <w:t>（2）宣布招标人、代理机构主持人等有关人员姓名；</w:t>
      </w:r>
      <w:bookmarkEnd w:id="45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3"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5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4"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54"/>
    </w:p>
    <w:bookmarkEnd w:id="448"/>
    <w:bookmarkEnd w:id="449"/>
    <w:bookmarkEnd w:id="451"/>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506107299"/>
      <w:bookmarkStart w:id="456" w:name="_Toc144974530"/>
      <w:bookmarkStart w:id="457" w:name="_Toc179632580"/>
      <w:bookmarkStart w:id="458" w:name="_Toc35424919"/>
      <w:bookmarkStart w:id="459" w:name="_Toc20689"/>
      <w:bookmarkStart w:id="460" w:name="_Toc152042338"/>
      <w:bookmarkStart w:id="461" w:name="_Toc246996949"/>
      <w:bookmarkStart w:id="462" w:name="_Toc15058884"/>
      <w:bookmarkStart w:id="463" w:name="_Toc78803352"/>
      <w:bookmarkStart w:id="464" w:name="_Toc324404846"/>
      <w:bookmarkStart w:id="465" w:name="_Toc247085720"/>
      <w:bookmarkStart w:id="466" w:name="_Toc152045562"/>
      <w:bookmarkStart w:id="467" w:name="_Toc35425085"/>
      <w:bookmarkStart w:id="468" w:name="_Toc246996206"/>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44974531"/>
      <w:bookmarkStart w:id="470" w:name="_Toc506107300"/>
      <w:bookmarkStart w:id="471" w:name="_Toc247085721"/>
      <w:bookmarkStart w:id="472" w:name="_Toc152045563"/>
      <w:bookmarkStart w:id="473" w:name="_Toc296602452"/>
      <w:bookmarkStart w:id="474" w:name="_Toc14249"/>
      <w:bookmarkStart w:id="475" w:name="_Toc324404847"/>
      <w:bookmarkStart w:id="476" w:name="_Toc78803353"/>
      <w:bookmarkStart w:id="477" w:name="_Toc35425086"/>
      <w:bookmarkStart w:id="478" w:name="_Toc246996950"/>
      <w:bookmarkStart w:id="479" w:name="_Toc179632581"/>
      <w:bookmarkStart w:id="480" w:name="_Toc15058885"/>
      <w:bookmarkStart w:id="481" w:name="_Toc35424920"/>
      <w:bookmarkStart w:id="482" w:name="_Toc246996207"/>
      <w:bookmarkStart w:id="483" w:name="_Toc152042339"/>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152045564"/>
      <w:bookmarkStart w:id="485" w:name="_Toc152042340"/>
      <w:bookmarkStart w:id="486" w:name="_Toc506107301"/>
      <w:bookmarkStart w:id="487" w:name="_Toc179632582"/>
      <w:bookmarkStart w:id="488" w:name="_Toc35424921"/>
      <w:bookmarkStart w:id="489" w:name="_Toc12948"/>
      <w:bookmarkStart w:id="490" w:name="_Toc296602453"/>
      <w:bookmarkStart w:id="491" w:name="_Toc78803354"/>
      <w:bookmarkStart w:id="492" w:name="_Toc246996208"/>
      <w:bookmarkStart w:id="493" w:name="_Toc35425087"/>
      <w:bookmarkStart w:id="494" w:name="_Toc247085722"/>
      <w:bookmarkStart w:id="495" w:name="_Toc324404848"/>
      <w:bookmarkStart w:id="496" w:name="_Toc246996951"/>
      <w:bookmarkStart w:id="497" w:name="_Toc15058886"/>
      <w:bookmarkStart w:id="498" w:name="_Toc144974532"/>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4892"/>
      <w:bookmarkStart w:id="500" w:name="_Toc296602454"/>
      <w:bookmarkStart w:id="501" w:name="_Toc35424922"/>
      <w:bookmarkStart w:id="502" w:name="_Toc324404849"/>
      <w:bookmarkStart w:id="503" w:name="_Toc246996209"/>
      <w:bookmarkStart w:id="504" w:name="_Toc152045565"/>
      <w:bookmarkStart w:id="505" w:name="_Toc246996952"/>
      <w:bookmarkStart w:id="506" w:name="_Toc152042341"/>
      <w:bookmarkStart w:id="507" w:name="_Toc144974533"/>
      <w:bookmarkStart w:id="508" w:name="_Toc506107302"/>
      <w:bookmarkStart w:id="509" w:name="_Toc78803355"/>
      <w:bookmarkStart w:id="510" w:name="_Toc179632583"/>
      <w:bookmarkStart w:id="511" w:name="_Toc247085723"/>
      <w:bookmarkStart w:id="512" w:name="_Toc15058887"/>
      <w:bookmarkStart w:id="513" w:name="_Toc35425088"/>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246996210"/>
      <w:bookmarkStart w:id="515" w:name="_Toc152045566"/>
      <w:bookmarkStart w:id="516" w:name="_Toc247085724"/>
      <w:bookmarkStart w:id="517" w:name="_Toc246996953"/>
      <w:bookmarkStart w:id="518" w:name="_Toc324404850"/>
      <w:bookmarkStart w:id="519" w:name="_Toc152042342"/>
      <w:bookmarkStart w:id="520" w:name="_Toc179632584"/>
      <w:bookmarkStart w:id="521" w:name="_Toc14497453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15058888"/>
      <w:bookmarkStart w:id="523" w:name="_Toc35424923"/>
      <w:bookmarkStart w:id="524" w:name="_Toc35425089"/>
      <w:bookmarkStart w:id="525" w:name="_Toc26182"/>
      <w:bookmarkStart w:id="526" w:name="_Toc78803356"/>
      <w:bookmarkStart w:id="527" w:name="_Toc50610730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324404852"/>
      <w:bookmarkStart w:id="529" w:name="_Toc296602457"/>
      <w:bookmarkStart w:id="530" w:name="_Toc83301726"/>
      <w:bookmarkStart w:id="531" w:name="_Toc95223374"/>
      <w:bookmarkStart w:id="532" w:name="_Toc506107305"/>
      <w:bookmarkStart w:id="533" w:name="_Toc60061472"/>
      <w:bookmarkStart w:id="534" w:name="_Toc15058890"/>
      <w:bookmarkStart w:id="535" w:name="_Toc4204"/>
      <w:bookmarkStart w:id="536" w:name="_Toc35424927"/>
      <w:bookmarkStart w:id="537" w:name="_Toc78803360"/>
      <w:bookmarkStart w:id="538" w:name="_Toc152045568"/>
      <w:bookmarkStart w:id="539" w:name="_Toc246996212"/>
      <w:bookmarkStart w:id="540" w:name="_Toc247085726"/>
      <w:bookmarkStart w:id="541" w:name="_Toc35425093"/>
      <w:bookmarkStart w:id="542" w:name="_Toc296602458"/>
      <w:bookmarkStart w:id="543" w:name="_Toc152042344"/>
      <w:bookmarkStart w:id="544" w:name="_Toc506107306"/>
      <w:bookmarkStart w:id="545" w:name="_Toc144974536"/>
      <w:bookmarkStart w:id="546" w:name="_Toc14692"/>
      <w:bookmarkStart w:id="547" w:name="_Toc179632586"/>
      <w:bookmarkStart w:id="548" w:name="_Toc246996955"/>
      <w:bookmarkStart w:id="549" w:name="_Toc15058891"/>
      <w:bookmarkStart w:id="550" w:name="_Toc324404853"/>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152042346"/>
      <w:bookmarkStart w:id="555" w:name="_Toc35424930"/>
      <w:bookmarkStart w:id="556" w:name="_Toc324404855"/>
      <w:bookmarkStart w:id="557" w:name="_Toc11010"/>
      <w:bookmarkStart w:id="558" w:name="_Toc296602460"/>
      <w:bookmarkStart w:id="559" w:name="_Toc246996957"/>
      <w:bookmarkStart w:id="560" w:name="_Toc15058893"/>
      <w:bookmarkStart w:id="561" w:name="_Toc179632588"/>
      <w:bookmarkStart w:id="562" w:name="_Toc78803363"/>
      <w:bookmarkStart w:id="563" w:name="_Toc152045570"/>
      <w:bookmarkStart w:id="564" w:name="_Toc144974538"/>
      <w:bookmarkStart w:id="565" w:name="_Toc506107308"/>
      <w:bookmarkStart w:id="566" w:name="_Toc246996214"/>
      <w:bookmarkStart w:id="567" w:name="_Toc35425096"/>
      <w:bookmarkStart w:id="568" w:name="_Toc247085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247085727"/>
      <w:bookmarkStart w:id="573" w:name="_Toc296602459"/>
      <w:bookmarkStart w:id="574" w:name="_Toc15058892"/>
      <w:bookmarkStart w:id="575" w:name="_Toc152045569"/>
      <w:bookmarkStart w:id="576" w:name="_Toc83301730"/>
      <w:bookmarkStart w:id="577" w:name="_Toc246996213"/>
      <w:bookmarkStart w:id="578" w:name="_Toc506107307"/>
      <w:bookmarkStart w:id="579" w:name="_Toc95223378"/>
      <w:bookmarkStart w:id="580" w:name="_Toc144974537"/>
      <w:bookmarkStart w:id="581" w:name="_Toc60061476"/>
      <w:bookmarkStart w:id="582" w:name="_Toc246996956"/>
      <w:bookmarkStart w:id="583" w:name="_Toc179632587"/>
      <w:bookmarkStart w:id="584" w:name="_Toc152042345"/>
      <w:bookmarkStart w:id="585" w:name="_Toc324404854"/>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95223379"/>
      <w:bookmarkStart w:id="587" w:name="_Toc60061477"/>
      <w:bookmarkStart w:id="588" w:name="_Toc83301731"/>
      <w:r>
        <w:rPr>
          <w:rFonts w:hint="eastAsia" w:ascii="宋体" w:hAnsi="宋体" w:eastAsia="宋体" w:cs="宋体"/>
          <w:color w:val="auto"/>
          <w:highlight w:val="none"/>
        </w:rPr>
        <w:t>7.9 签订合同</w:t>
      </w:r>
      <w:bookmarkEnd w:id="586"/>
      <w:bookmarkEnd w:id="587"/>
      <w:bookmarkEnd w:id="58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44974539"/>
      <w:bookmarkStart w:id="590" w:name="_Toc95223381"/>
      <w:bookmarkStart w:id="591" w:name="_Toc60061478"/>
      <w:bookmarkStart w:id="592" w:name="_Toc152045571"/>
      <w:bookmarkStart w:id="593" w:name="_Toc83301732"/>
      <w:bookmarkStart w:id="594" w:name="_Toc152042347"/>
      <w:bookmarkStart w:id="595" w:name="_Toc179632589"/>
      <w:bookmarkStart w:id="596" w:name="_Toc26974"/>
      <w:bookmarkStart w:id="597" w:name="_Toc78803367"/>
      <w:bookmarkStart w:id="598" w:name="_Toc35425097"/>
      <w:bookmarkStart w:id="599" w:name="_Toc25375"/>
      <w:bookmarkStart w:id="600" w:name="_Toc31686"/>
      <w:bookmarkStart w:id="601" w:name="_Toc35424931"/>
      <w:bookmarkStart w:id="602" w:name="_Toc324404864"/>
      <w:bookmarkStart w:id="603" w:name="_Toc35425105"/>
      <w:bookmarkStart w:id="604" w:name="_Toc35424939"/>
      <w:bookmarkStart w:id="605" w:name="_Toc15058902"/>
      <w:bookmarkStart w:id="606" w:name="_Toc506107317"/>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83301733"/>
      <w:bookmarkStart w:id="609" w:name="_Toc144974540"/>
      <w:bookmarkStart w:id="610" w:name="_Toc179632590"/>
      <w:bookmarkStart w:id="611" w:name="_Toc95223382"/>
      <w:bookmarkStart w:id="612" w:name="_Toc152045572"/>
      <w:bookmarkStart w:id="613" w:name="_Toc152042348"/>
      <w:bookmarkStart w:id="614" w:name="_Toc60061479"/>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52042349"/>
      <w:bookmarkStart w:id="616" w:name="_Toc95223383"/>
      <w:bookmarkStart w:id="617" w:name="_Toc60061480"/>
      <w:bookmarkStart w:id="618" w:name="_Toc179632591"/>
      <w:bookmarkStart w:id="619" w:name="_Toc144974541"/>
      <w:bookmarkStart w:id="620" w:name="_Toc83301734"/>
      <w:bookmarkStart w:id="621" w:name="_Toc15204557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2045575"/>
      <w:bookmarkStart w:id="623" w:name="_Toc246996962"/>
      <w:bookmarkStart w:id="624" w:name="_Toc152042351"/>
      <w:bookmarkStart w:id="625" w:name="_Toc506107310"/>
      <w:bookmarkStart w:id="626" w:name="_Toc35425098"/>
      <w:bookmarkStart w:id="627" w:name="_Toc179632593"/>
      <w:bookmarkStart w:id="628" w:name="_Toc15058895"/>
      <w:bookmarkStart w:id="629" w:name="_Toc2855"/>
      <w:bookmarkStart w:id="630" w:name="_Toc296602462"/>
      <w:bookmarkStart w:id="631" w:name="_Toc144974543"/>
      <w:bookmarkStart w:id="632" w:name="_Toc15607"/>
      <w:bookmarkStart w:id="633" w:name="_Toc78803368"/>
      <w:bookmarkStart w:id="634" w:name="_Toc35424932"/>
      <w:bookmarkStart w:id="635" w:name="_Toc296590983"/>
      <w:bookmarkStart w:id="636" w:name="_Toc247085733"/>
      <w:bookmarkStart w:id="637" w:name="_Toc324404857"/>
      <w:bookmarkStart w:id="638" w:name="_Toc246996219"/>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144974544"/>
      <w:bookmarkStart w:id="640" w:name="_Toc506107311"/>
      <w:bookmarkStart w:id="641" w:name="_Toc35425099"/>
      <w:bookmarkStart w:id="642" w:name="_Toc179632594"/>
      <w:bookmarkStart w:id="643" w:name="_Toc246996220"/>
      <w:bookmarkStart w:id="644" w:name="_Toc152045576"/>
      <w:bookmarkStart w:id="645" w:name="_Toc15058896"/>
      <w:bookmarkStart w:id="646" w:name="_Toc35424933"/>
      <w:bookmarkStart w:id="647" w:name="_Toc32177"/>
      <w:bookmarkStart w:id="648" w:name="_Toc247085734"/>
      <w:bookmarkStart w:id="649" w:name="_Toc246996963"/>
      <w:bookmarkStart w:id="650" w:name="_Toc152042352"/>
      <w:bookmarkStart w:id="651" w:name="_Toc296602463"/>
      <w:bookmarkStart w:id="652" w:name="_Toc324404858"/>
      <w:bookmarkStart w:id="653" w:name="_Toc19779"/>
      <w:bookmarkStart w:id="654" w:name="_Toc78803369"/>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52045577"/>
      <w:bookmarkStart w:id="656" w:name="_Toc247085735"/>
      <w:bookmarkStart w:id="657" w:name="_Toc35425100"/>
      <w:bookmarkStart w:id="658" w:name="_Toc246996964"/>
      <w:bookmarkStart w:id="659" w:name="_Toc78803370"/>
      <w:bookmarkStart w:id="660" w:name="_Toc246996221"/>
      <w:bookmarkStart w:id="661" w:name="_Toc179632595"/>
      <w:bookmarkStart w:id="662" w:name="_Toc152042353"/>
      <w:bookmarkStart w:id="663" w:name="_Toc13043"/>
      <w:bookmarkStart w:id="664" w:name="_Toc15058897"/>
      <w:bookmarkStart w:id="665" w:name="_Toc324404859"/>
      <w:bookmarkStart w:id="666" w:name="_Toc144974545"/>
      <w:bookmarkStart w:id="667" w:name="_Toc296602464"/>
      <w:bookmarkStart w:id="668" w:name="_Toc506107312"/>
      <w:bookmarkStart w:id="669" w:name="_Toc12564"/>
      <w:bookmarkStart w:id="670" w:name="_Toc35424934"/>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152042354"/>
      <w:bookmarkStart w:id="672" w:name="_Toc152045578"/>
      <w:bookmarkStart w:id="673" w:name="_Toc246996965"/>
      <w:bookmarkStart w:id="674" w:name="_Toc246996222"/>
      <w:bookmarkStart w:id="675" w:name="_Toc296602465"/>
      <w:bookmarkStart w:id="676" w:name="_Toc15058898"/>
      <w:bookmarkStart w:id="677" w:name="_Toc18329"/>
      <w:bookmarkStart w:id="678" w:name="_Toc35425101"/>
      <w:bookmarkStart w:id="679" w:name="_Toc247085736"/>
      <w:bookmarkStart w:id="680" w:name="_Toc32214"/>
      <w:bookmarkStart w:id="681" w:name="_Toc324404860"/>
      <w:bookmarkStart w:id="682" w:name="_Toc506107313"/>
      <w:bookmarkStart w:id="683" w:name="_Toc179632596"/>
      <w:bookmarkStart w:id="684" w:name="_Toc78803371"/>
      <w:bookmarkStart w:id="685" w:name="_Toc35424935"/>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296602466"/>
      <w:bookmarkStart w:id="689" w:name="_Toc35424936"/>
      <w:bookmarkStart w:id="690" w:name="_Toc324404861"/>
      <w:bookmarkStart w:id="691" w:name="_Toc2811"/>
      <w:bookmarkStart w:id="692" w:name="_Toc15058899"/>
      <w:bookmarkStart w:id="693" w:name="_Toc152042356"/>
      <w:bookmarkStart w:id="694" w:name="_Toc247085737"/>
      <w:bookmarkStart w:id="695" w:name="_Toc35425102"/>
      <w:bookmarkStart w:id="696" w:name="_Toc246996223"/>
      <w:bookmarkStart w:id="697" w:name="_Toc152045579"/>
      <w:bookmarkStart w:id="698" w:name="_Toc179632597"/>
      <w:bookmarkStart w:id="699" w:name="_Toc506107314"/>
      <w:bookmarkStart w:id="700" w:name="_Toc23607"/>
      <w:bookmarkStart w:id="701" w:name="_Toc246996966"/>
      <w:bookmarkStart w:id="702" w:name="_Toc78803372"/>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144974547"/>
      <w:bookmarkStart w:id="704" w:name="_Toc246996967"/>
      <w:bookmarkStart w:id="705" w:name="_Toc179632598"/>
      <w:bookmarkStart w:id="706" w:name="_Toc15058900"/>
      <w:bookmarkStart w:id="707" w:name="_Toc246996224"/>
      <w:bookmarkStart w:id="708" w:name="_Toc35424937"/>
      <w:bookmarkStart w:id="709" w:name="_Toc247085738"/>
      <w:bookmarkStart w:id="710" w:name="_Toc31643"/>
      <w:bookmarkStart w:id="711" w:name="_Toc324404862"/>
      <w:bookmarkStart w:id="712" w:name="_Toc506107315"/>
      <w:bookmarkStart w:id="713" w:name="_Toc78803373"/>
      <w:bookmarkStart w:id="714" w:name="_Toc152042357"/>
      <w:bookmarkStart w:id="715" w:name="_Toc152045580"/>
      <w:bookmarkStart w:id="716" w:name="_Toc20669"/>
      <w:bookmarkStart w:id="717" w:name="_Toc35425103"/>
      <w:bookmarkStart w:id="718" w:name="_Toc1646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pPr>
        <w:spacing w:line="440" w:lineRule="exact"/>
        <w:jc w:val="left"/>
        <w:rPr>
          <w:rFonts w:ascii="宋体" w:hAnsi="宋体" w:cs="宋体"/>
          <w:color w:val="auto"/>
          <w:szCs w:val="21"/>
          <w:highlight w:val="none"/>
        </w:rPr>
      </w:pPr>
    </w:p>
    <w:p>
      <w:pPr>
        <w:pageBreakBefore/>
        <w:spacing w:beforeLines="80" w:afterLines="80" w:line="440" w:lineRule="exact"/>
        <w:jc w:val="center"/>
        <w:outlineLvl w:val="0"/>
        <w:rPr>
          <w:rFonts w:ascii="宋体"/>
          <w:b/>
          <w:color w:val="auto"/>
          <w:sz w:val="32"/>
          <w:szCs w:val="32"/>
          <w:highlight w:val="none"/>
        </w:rPr>
      </w:pPr>
      <w:bookmarkStart w:id="720" w:name="_Toc78803375"/>
      <w:bookmarkStart w:id="721"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p>
    <w:p>
      <w:pPr>
        <w:spacing w:beforeLines="50" w:afterLines="50" w:line="440" w:lineRule="exact"/>
        <w:jc w:val="center"/>
        <w:rPr>
          <w:rFonts w:ascii="宋体" w:hAnsi="宋体" w:cs="宋体"/>
          <w:b/>
          <w:bCs/>
          <w:color w:val="auto"/>
          <w:sz w:val="28"/>
          <w:szCs w:val="22"/>
          <w:highlight w:val="none"/>
        </w:rPr>
      </w:pPr>
      <w:bookmarkStart w:id="722" w:name="_Toc15058903"/>
      <w:bookmarkStart w:id="723" w:name="_Toc35424940"/>
      <w:bookmarkStart w:id="724" w:name="_Toc35425106"/>
      <w:bookmarkStart w:id="725" w:name="_Toc506107318"/>
      <w:bookmarkStart w:id="726" w:name="_Toc324404865"/>
      <w:r>
        <w:rPr>
          <w:rFonts w:hint="eastAsia" w:ascii="宋体" w:hAnsi="宋体" w:cs="宋体"/>
          <w:b/>
          <w:bCs/>
          <w:color w:val="auto"/>
          <w:sz w:val="28"/>
          <w:szCs w:val="22"/>
          <w:highlight w:val="none"/>
        </w:rPr>
        <w:t>资格审查办法前附表</w:t>
      </w:r>
      <w:bookmarkEnd w:id="722"/>
      <w:bookmarkEnd w:id="723"/>
      <w:bookmarkEnd w:id="724"/>
      <w:bookmarkEnd w:id="725"/>
      <w:bookmarkEnd w:id="726"/>
    </w:p>
    <w:p>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pPr>
              <w:keepNext w:val="0"/>
              <w:keepLines w:val="0"/>
              <w:suppressLineNumbers w:val="0"/>
              <w:spacing w:before="0" w:beforeAutospacing="0" w:after="0" w:afterAutospacing="0" w:line="440" w:lineRule="exact"/>
              <w:ind w:left="0" w:right="0"/>
              <w:rPr>
                <w:rFonts w:hint="default"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pPr>
        <w:pStyle w:val="4"/>
        <w:spacing w:beforeLines="50" w:afterLines="50"/>
        <w:ind w:firstLine="422" w:firstLineChars="200"/>
        <w:rPr>
          <w:rFonts w:ascii="宋体" w:hAnsi="宋体" w:eastAsia="宋体" w:cs="宋体"/>
          <w:color w:val="auto"/>
          <w:highlight w:val="none"/>
        </w:rPr>
      </w:pPr>
      <w:bookmarkStart w:id="727" w:name="_Toc12549"/>
      <w:bookmarkStart w:id="728" w:name="_Toc78803377"/>
      <w:bookmarkStart w:id="729" w:name="_Toc35424942"/>
      <w:bookmarkStart w:id="730" w:name="_Toc506107320"/>
      <w:bookmarkStart w:id="731" w:name="_Toc15058909"/>
      <w:bookmarkStart w:id="732" w:name="_Toc324404867"/>
      <w:bookmarkStart w:id="733" w:name="_Toc35425108"/>
      <w:r>
        <w:rPr>
          <w:rFonts w:hint="eastAsia" w:ascii="宋体" w:hAnsi="宋体" w:eastAsia="宋体" w:cs="宋体"/>
          <w:color w:val="auto"/>
          <w:highlight w:val="none"/>
        </w:rPr>
        <w:t>2.审查办法</w:t>
      </w:r>
      <w:bookmarkEnd w:id="727"/>
      <w:bookmarkEnd w:id="728"/>
      <w:bookmarkEnd w:id="729"/>
      <w:bookmarkEnd w:id="730"/>
      <w:bookmarkEnd w:id="731"/>
      <w:bookmarkEnd w:id="732"/>
      <w:bookmarkEnd w:id="733"/>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pPr>
        <w:pStyle w:val="4"/>
        <w:spacing w:beforeLines="50" w:afterLines="50"/>
        <w:ind w:firstLine="422" w:firstLineChars="200"/>
        <w:rPr>
          <w:rFonts w:ascii="宋体" w:hAnsi="宋体" w:eastAsia="宋体" w:cs="宋体"/>
          <w:color w:val="auto"/>
          <w:highlight w:val="none"/>
        </w:rPr>
      </w:pPr>
      <w:bookmarkStart w:id="734" w:name="_Toc35425109"/>
      <w:bookmarkStart w:id="735" w:name="_Toc78803378"/>
      <w:bookmarkStart w:id="736" w:name="_Toc15626"/>
      <w:bookmarkStart w:id="737" w:name="_Toc506107321"/>
      <w:bookmarkStart w:id="738" w:name="_Toc324404868"/>
      <w:bookmarkStart w:id="739" w:name="_Toc15058910"/>
      <w:bookmarkStart w:id="740" w:name="_Toc35424943"/>
      <w:r>
        <w:rPr>
          <w:rFonts w:hint="eastAsia" w:ascii="宋体" w:hAnsi="宋体" w:eastAsia="宋体" w:cs="宋体"/>
          <w:color w:val="auto"/>
          <w:highlight w:val="none"/>
        </w:rPr>
        <w:t>3.资格审查委员会和审查标准</w:t>
      </w:r>
      <w:bookmarkEnd w:id="734"/>
      <w:bookmarkEnd w:id="735"/>
      <w:bookmarkEnd w:id="736"/>
      <w:bookmarkEnd w:id="737"/>
      <w:bookmarkEnd w:id="738"/>
      <w:bookmarkEnd w:id="739"/>
      <w:bookmarkEnd w:id="740"/>
    </w:p>
    <w:p>
      <w:pPr>
        <w:spacing w:line="440" w:lineRule="exact"/>
        <w:ind w:firstLine="420" w:firstLineChars="200"/>
        <w:jc w:val="left"/>
        <w:rPr>
          <w:rFonts w:hint="eastAsia" w:ascii="宋体" w:hAnsi="宋体" w:eastAsia="宋体" w:cs="宋体"/>
          <w:color w:val="auto"/>
          <w:szCs w:val="21"/>
          <w:highlight w:val="none"/>
        </w:rPr>
      </w:pPr>
      <w:bookmarkStart w:id="741" w:name="_Toc15058911"/>
      <w:bookmarkStart w:id="742" w:name="_Toc324404869"/>
      <w:bookmarkStart w:id="743" w:name="_Toc35424944"/>
      <w:bookmarkStart w:id="744" w:name="_Toc506107322"/>
      <w:bookmarkStart w:id="745" w:name="_Toc78803379"/>
      <w:bookmarkStart w:id="746" w:name="_Toc10330"/>
      <w:bookmarkStart w:id="747" w:name="_Toc3542511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1"/>
      <w:bookmarkEnd w:id="742"/>
      <w:bookmarkEnd w:id="743"/>
      <w:bookmarkEnd w:id="744"/>
      <w:bookmarkEnd w:id="745"/>
      <w:bookmarkEnd w:id="746"/>
      <w:bookmarkEnd w:id="747"/>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8" w:name="_Toc506107323"/>
    </w:p>
    <w:p>
      <w:pPr>
        <w:pStyle w:val="3"/>
        <w:numPr>
          <w:ilvl w:val="0"/>
          <w:numId w:val="3"/>
        </w:numPr>
        <w:spacing w:beforeLines="50" w:afterLines="50"/>
        <w:rPr>
          <w:rFonts w:hint="eastAsia" w:ascii="Arial" w:hAnsi="Arial"/>
          <w:color w:val="auto"/>
          <w:kern w:val="0"/>
          <w:sz w:val="32"/>
          <w:szCs w:val="32"/>
          <w:highlight w:val="none"/>
        </w:rPr>
      </w:pPr>
      <w:bookmarkStart w:id="749" w:name="_Toc35425111"/>
      <w:bookmarkStart w:id="750" w:name="_Toc35424945"/>
      <w:bookmarkStart w:id="751" w:name="_Toc15058912"/>
      <w:r>
        <w:rPr>
          <w:rFonts w:hint="eastAsia"/>
          <w:color w:val="auto"/>
          <w:highlight w:val="none"/>
        </w:rPr>
        <w:br w:type="page"/>
      </w:r>
      <w:bookmarkStart w:id="752" w:name="_Toc78803380"/>
      <w:r>
        <w:rPr>
          <w:rFonts w:hint="eastAsia" w:ascii="Arial" w:hAnsi="Arial"/>
          <w:color w:val="auto"/>
          <w:kern w:val="0"/>
          <w:sz w:val="32"/>
          <w:szCs w:val="32"/>
          <w:highlight w:val="none"/>
        </w:rPr>
        <w:t xml:space="preserve"> </w:t>
      </w:r>
      <w:bookmarkStart w:id="753" w:name="_Toc1286"/>
      <w:bookmarkStart w:id="754" w:name="_Toc32602"/>
      <w:r>
        <w:rPr>
          <w:rFonts w:hint="eastAsia" w:ascii="Arial" w:hAnsi="Arial"/>
          <w:color w:val="auto"/>
          <w:kern w:val="0"/>
          <w:sz w:val="32"/>
          <w:szCs w:val="32"/>
          <w:highlight w:val="none"/>
        </w:rPr>
        <w:t>评标办法</w:t>
      </w:r>
      <w:bookmarkEnd w:id="607"/>
      <w:bookmarkEnd w:id="748"/>
      <w:bookmarkEnd w:id="749"/>
      <w:bookmarkEnd w:id="750"/>
      <w:bookmarkEnd w:id="751"/>
      <w:bookmarkEnd w:id="752"/>
      <w:bookmarkEnd w:id="753"/>
      <w:bookmarkEnd w:id="754"/>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一</w:t>
      </w:r>
      <w:r>
        <w:rPr>
          <w:rFonts w:hint="eastAsia" w:ascii="Times New Roman" w:hAnsi="Times New Roman" w:eastAsia="宋体" w:cs="Times New Roman"/>
          <w:b/>
          <w:color w:val="auto"/>
          <w:sz w:val="28"/>
          <w:szCs w:val="21"/>
          <w:highlight w:val="none"/>
          <w:lang w:val="en-US" w:eastAsia="zh-CN"/>
        </w:rPr>
        <w:t>）资信标评分细则（5分）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29" w:type="dxa"/>
            <w:gridSpan w:val="2"/>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符合第</w:t>
            </w:r>
            <w:r>
              <w:rPr>
                <w:rFonts w:hint="eastAsia" w:ascii="Times New Roman" w:hAnsi="Times New Roman" w:eastAsia="宋体" w:cs="Times New Roman"/>
                <w:color w:val="auto"/>
                <w:highlight w:val="none"/>
                <w:lang w:val="en-US" w:eastAsia="zh-CN"/>
              </w:rPr>
              <w:t>七</w:t>
            </w:r>
            <w:r>
              <w:rPr>
                <w:rFonts w:hint="eastAsia" w:ascii="Times New Roman" w:hAnsi="Times New Roman" w:eastAsia="宋体" w:cs="Times New Roman"/>
                <w:color w:val="auto"/>
                <w:highlight w:val="none"/>
              </w:rPr>
              <w:t>章“投标文件格式”的要求，</w:t>
            </w:r>
          </w:p>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否则经评委会一致认定后</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资信</w:t>
            </w:r>
            <w:r>
              <w:rPr>
                <w:rFonts w:hint="eastAsia" w:ascii="宋体" w:hAnsi="宋体" w:eastAsia="宋体" w:cs="宋体"/>
                <w:color w:val="auto"/>
                <w:sz w:val="21"/>
                <w:szCs w:val="21"/>
                <w:highlight w:val="none"/>
              </w:rPr>
              <w:t>标评分标准</w:t>
            </w:r>
          </w:p>
        </w:tc>
        <w:tc>
          <w:tcPr>
            <w:tcW w:w="2610"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企业业绩</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（5分）</w:t>
            </w:r>
          </w:p>
        </w:tc>
        <w:tc>
          <w:tcPr>
            <w:tcW w:w="5614" w:type="dxa"/>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2021年1月1日以来，投标人具有单项合同金额30万元及以上的矿山工程（或市政道路工程或水利工程）施工业绩的，提供一项得5分，满分5分。</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同时提供下列资料复印件：</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中标通知书、②施工合同、③竣工验收报告（或竣工验收证明或竣工验收记录或竣工验收备案证）。三者缺一不可。时间以竣工验收报告（或竣工验收证明或竣工验收记录件或竣工验收备案证）日期为准，工程类型和造价以合同为准（合同中无法体现的应提供有建设单位盖章其他证明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firstLine="703" w:firstLineChars="250"/>
        <w:jc w:val="center"/>
        <w:textAlignment w:val="auto"/>
        <w:rPr>
          <w:rFonts w:hint="eastAsia" w:ascii="Times New Roman" w:hAnsi="Times New Roman" w:eastAsia="宋体" w:cs="Times New Roman"/>
          <w:b/>
          <w:color w:val="auto"/>
          <w:kern w:val="2"/>
          <w:sz w:val="28"/>
          <w:szCs w:val="21"/>
          <w:highlight w:val="none"/>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kern w:val="2"/>
          <w:sz w:val="28"/>
          <w:szCs w:val="21"/>
          <w:highlight w:val="none"/>
          <w:lang w:val="en-US" w:eastAsia="zh-CN" w:bidi="ar-SA"/>
        </w:rPr>
        <w:t>（二）</w:t>
      </w:r>
      <w:r>
        <w:rPr>
          <w:rFonts w:hint="eastAsia" w:ascii="Times New Roman" w:hAnsi="Times New Roman" w:eastAsia="宋体" w:cs="Times New Roman"/>
          <w:b/>
          <w:color w:val="auto"/>
          <w:sz w:val="28"/>
          <w:szCs w:val="21"/>
          <w:highlight w:val="none"/>
          <w:lang w:val="en-US" w:eastAsia="zh-CN"/>
        </w:rPr>
        <w:t>技术标评分细则（</w:t>
      </w:r>
      <w:r>
        <w:rPr>
          <w:rFonts w:hint="eastAsia" w:cs="Times New Roman"/>
          <w:b/>
          <w:color w:val="auto"/>
          <w:sz w:val="28"/>
          <w:szCs w:val="21"/>
          <w:highlight w:val="none"/>
          <w:lang w:val="en-US" w:eastAsia="zh-CN"/>
        </w:rPr>
        <w:t>20</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技术标评分标准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施工组织设计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总体施工组织布置及规划</w:t>
            </w:r>
            <w:r>
              <w:rPr>
                <w:rFonts w:hint="eastAsia"/>
                <w:color w:val="auto"/>
                <w:highlight w:val="none"/>
                <w:lang w:val="en-US" w:eastAsia="zh-CN"/>
              </w:rPr>
              <w:t>（4分）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结合本工程特点，依据投标人提出的总体施工组织布置及规划进行评审。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优秀：4分，良好：3.6分，一般：3.2分，合格：2.8分。明显不合理的、错误的或者未提供的不得分。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主要工程项目的施工方案、方法与技术措施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依据各分部分项工程的主要工程项目的施工方案、方法与技术措施进行评审。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项目施工过程重难点分析、针对重难点的相关措施（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结合本工程施工内容，依据投标人的相关情况，对施工过程中的重难点逐条分析，并对重难点实施措施进行评审。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工期保证体系及保证措施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结合本工程特点，依据投标人提出的工期保证体系及保证措施进行评审。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工程质量管理体系及保证措施（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结合本工程特点，依据投标人提出的工程质量管理体系及保证措施进行评审。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安全生产管理体系及保证措施（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结合本工程特点，依据投标人提出的安全生产管理体系及保证措施进行评审。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环境保护、水土保持保证体系及保证措施（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结合本工程特点，依据投标人提出的环境保护、水土保持保证体系及保证措施进行评审。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文明施工保证体系及保证措施（2分）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结合本工程特点，依据投标人提出的文明施工保证体系及保证措施进行评审。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eastAsia="宋体"/>
                <w:color w:val="auto"/>
                <w:highlight w:val="none"/>
                <w:lang w:val="en-US" w:eastAsia="zh-CN"/>
              </w:rPr>
            </w:pPr>
            <w:r>
              <w:rPr>
                <w:rFonts w:hint="eastAsia" w:eastAsia="宋体"/>
                <w:color w:val="auto"/>
                <w:highlight w:val="none"/>
                <w:lang w:val="en-US" w:eastAsia="zh-CN"/>
              </w:rPr>
              <w:t>项目风险预测与防范，事故应急预案（2分）</w:t>
            </w:r>
          </w:p>
        </w:tc>
        <w:tc>
          <w:tcPr>
            <w:tcW w:w="5614" w:type="dxa"/>
            <w:shd w:val="clear" w:color="auto" w:fill="auto"/>
            <w:noWrap w:val="0"/>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结合本工程特点，依据投标人的项目风险预测与防范，事故应急预案进行评审。</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优秀：2分，良好：1.8分，一般：1.6分，合格：1.4分。明显不合理的、错误的或者未提供的不得分。</w:t>
            </w:r>
          </w:p>
        </w:tc>
      </w:tr>
    </w:tbl>
    <w:p>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备注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三</w:t>
      </w:r>
      <w:r>
        <w:rPr>
          <w:rFonts w:hint="eastAsia" w:ascii="Times New Roman" w:hAnsi="Times New Roman" w:eastAsia="宋体" w:cs="Times New Roman"/>
          <w:b/>
          <w:color w:val="auto"/>
          <w:sz w:val="28"/>
          <w:szCs w:val="21"/>
          <w:highlight w:val="none"/>
          <w:lang w:val="en-US" w:eastAsia="zh-CN"/>
        </w:rPr>
        <w:t>）商务标评审</w:t>
      </w:r>
      <w:r>
        <w:rPr>
          <w:rFonts w:hint="eastAsia" w:cs="Times New Roman"/>
          <w:b/>
          <w:color w:val="auto"/>
          <w:sz w:val="28"/>
          <w:szCs w:val="21"/>
          <w:highlight w:val="none"/>
          <w:lang w:val="en-US" w:eastAsia="zh-CN"/>
        </w:rPr>
        <w:t>（75分）</w:t>
      </w:r>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1"/>
        <w:gridCol w:w="915"/>
        <w:gridCol w:w="945"/>
        <w:gridCol w:w="3802"/>
        <w:gridCol w:w="5"/>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b/>
                <w:bCs/>
                <w:kern w:val="2"/>
                <w:sz w:val="21"/>
                <w:szCs w:val="21"/>
                <w:highlight w:val="none"/>
              </w:rPr>
            </w:pPr>
            <w:bookmarkStart w:id="755" w:name="_Toc6491"/>
            <w:bookmarkStart w:id="756" w:name="_Toc506107324"/>
            <w:bookmarkStart w:id="757" w:name="_Toc152042366"/>
            <w:bookmarkStart w:id="758" w:name="_Toc35425113"/>
            <w:bookmarkStart w:id="759" w:name="_Toc246996975"/>
            <w:bookmarkStart w:id="760" w:name="_Toc247085747"/>
            <w:bookmarkStart w:id="761" w:name="_Toc152045589"/>
            <w:bookmarkStart w:id="762" w:name="_Toc78803381"/>
            <w:bookmarkStart w:id="763" w:name="_Toc179632607"/>
            <w:bookmarkStart w:id="764" w:name="_Toc15058913"/>
            <w:bookmarkStart w:id="765" w:name="_Toc144974556"/>
            <w:bookmarkStart w:id="766" w:name="_Toc246996232"/>
            <w:bookmarkStart w:id="767" w:name="_Toc324404872"/>
            <w:bookmarkStart w:id="768" w:name="_Toc35424947"/>
            <w:r>
              <w:rPr>
                <w:rFonts w:hint="eastAsia" w:ascii="宋体" w:hAnsi="宋体" w:eastAsia="宋体" w:cs="宋体"/>
                <w:b/>
                <w:bCs/>
                <w:kern w:val="2"/>
                <w:sz w:val="21"/>
                <w:szCs w:val="21"/>
                <w:highlight w:val="none"/>
                <w:lang w:val="en-US" w:eastAsia="zh-CN" w:bidi="ar"/>
              </w:rPr>
              <w:t>序号</w:t>
            </w: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评审因素</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186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形式评审标准</w:t>
            </w: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投标函签字盖章</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有投标人及其法定代表人签字或盖章。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投标文件格式</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符合第七章“投标文件格式”的要求。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商务标签字盖章</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报价唯一</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p>
        </w:tc>
        <w:tc>
          <w:tcPr>
            <w:tcW w:w="186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响应性评审标准</w:t>
            </w: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工期</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811"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工程质量</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投标有效期</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已标价工程量清单</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与招标人发布的招标工程量清单（含需评审材料清单）排序一致。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投标</w:t>
            </w:r>
            <w:r>
              <w:rPr>
                <w:rFonts w:hint="eastAsia" w:ascii="宋体" w:hAnsi="宋体" w:cs="宋体"/>
                <w:kern w:val="2"/>
                <w:sz w:val="21"/>
                <w:szCs w:val="21"/>
                <w:highlight w:val="none"/>
                <w:lang w:val="en-US" w:eastAsia="zh-CN" w:bidi="ar"/>
              </w:rPr>
              <w:t>报</w:t>
            </w:r>
            <w:r>
              <w:rPr>
                <w:rFonts w:hint="eastAsia" w:ascii="宋体" w:hAnsi="宋体" w:eastAsia="宋体" w:cs="宋体"/>
                <w:kern w:val="2"/>
                <w:sz w:val="21"/>
                <w:szCs w:val="21"/>
                <w:highlight w:val="none"/>
                <w:lang w:val="en-US" w:eastAsia="zh-CN" w:bidi="ar"/>
              </w:rPr>
              <w:t>价评审</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left"/>
              <w:rPr>
                <w:rFonts w:hint="eastAsia" w:ascii="宋体" w:hAnsi="宋体" w:eastAsia="宋体" w:cs="Times New Roman"/>
                <w:kern w:val="2"/>
                <w:sz w:val="21"/>
                <w:szCs w:val="21"/>
                <w:highlight w:val="none"/>
              </w:rPr>
            </w:pPr>
            <w:r>
              <w:rPr>
                <w:rFonts w:hint="eastAsia" w:ascii="宋体" w:hAnsi="宋体" w:eastAsia="宋体" w:cs="宋体"/>
                <w:spacing w:val="-6"/>
                <w:kern w:val="2"/>
                <w:sz w:val="21"/>
                <w:szCs w:val="21"/>
                <w:highlight w:val="none"/>
                <w:lang w:val="en-US" w:eastAsia="zh-CN" w:bidi="ar"/>
              </w:rPr>
              <w:t>不得高于最高限价，也不得低于工程成本价。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暂列金额、专业工程暂估价、分部分项工程材料及设备暂估价</w:t>
            </w:r>
          </w:p>
        </w:tc>
        <w:tc>
          <w:tcPr>
            <w:tcW w:w="30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与招标人发布的招标工程量清单一致。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1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p>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商务评分</w:t>
            </w:r>
          </w:p>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bCs/>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cs="宋体"/>
                <w:kern w:val="2"/>
                <w:sz w:val="21"/>
                <w:szCs w:val="21"/>
                <w:highlight w:val="none"/>
                <w:lang w:val="en-US" w:eastAsia="zh-CN" w:bidi="ar"/>
              </w:rPr>
              <w:t>75</w:t>
            </w:r>
            <w:r>
              <w:rPr>
                <w:rFonts w:hint="eastAsia" w:ascii="宋体" w:hAnsi="宋体" w:eastAsia="宋体" w:cs="宋体"/>
                <w:kern w:val="2"/>
                <w:sz w:val="21"/>
                <w:szCs w:val="21"/>
                <w:highlight w:val="none"/>
                <w:lang w:val="en-US" w:eastAsia="zh-CN" w:bidi="ar"/>
              </w:rPr>
              <w:t>分）</w:t>
            </w:r>
          </w:p>
        </w:tc>
        <w:tc>
          <w:tcPr>
            <w:tcW w:w="475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42"/>
              <w:keepNext w:val="0"/>
              <w:keepLines w:val="0"/>
              <w:widowControl w:val="0"/>
              <w:suppressLineNumbers w:val="0"/>
              <w:autoSpaceDE w:val="0"/>
              <w:autoSpaceDN/>
              <w:adjustRightInd w:val="0"/>
              <w:snapToGrid w:val="0"/>
              <w:spacing w:before="0" w:beforeAutospacing="0" w:after="0" w:afterAutospacing="0" w:line="440" w:lineRule="exact"/>
              <w:ind w:left="0" w:leftChars="0" w:right="0" w:firstLine="0" w:firstLineChars="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一、报价偏差率计算。</w:t>
            </w:r>
          </w:p>
          <w:p>
            <w:pPr>
              <w:pStyle w:val="42"/>
              <w:keepNext w:val="0"/>
              <w:keepLines w:val="0"/>
              <w:widowControl w:val="0"/>
              <w:suppressLineNumbers w:val="0"/>
              <w:autoSpaceDE w:val="0"/>
              <w:autoSpaceDN/>
              <w:adjustRightInd w:val="0"/>
              <w:snapToGrid w:val="0"/>
              <w:spacing w:before="0" w:beforeAutospacing="0" w:after="0" w:afterAutospacing="0" w:line="440" w:lineRule="exact"/>
              <w:ind w:left="0" w:leftChars="0" w:right="0" w:firstLine="0" w:firstLineChars="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偏差率=|（投标报价-评标基准价）/评标基准价|×100%</w:t>
            </w:r>
          </w:p>
          <w:p>
            <w:pPr>
              <w:pStyle w:val="42"/>
              <w:keepNext w:val="0"/>
              <w:keepLines w:val="0"/>
              <w:widowControl w:val="0"/>
              <w:suppressLineNumbers w:val="0"/>
              <w:autoSpaceDE w:val="0"/>
              <w:autoSpaceDN/>
              <w:adjustRightInd w:val="0"/>
              <w:snapToGrid w:val="0"/>
              <w:spacing w:before="0" w:beforeAutospacing="0" w:after="0" w:afterAutospacing="0" w:line="440" w:lineRule="exact"/>
              <w:ind w:left="0" w:leftChars="0" w:right="0" w:firstLine="0" w:firstLineChars="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二、报价得分计算。</w:t>
            </w:r>
          </w:p>
          <w:p>
            <w:pPr>
              <w:pStyle w:val="42"/>
              <w:keepNext w:val="0"/>
              <w:keepLines w:val="0"/>
              <w:widowControl w:val="0"/>
              <w:suppressLineNumbers w:val="0"/>
              <w:autoSpaceDE w:val="0"/>
              <w:autoSpaceDN/>
              <w:adjustRightInd w:val="0"/>
              <w:snapToGrid w:val="0"/>
              <w:spacing w:before="0" w:beforeAutospacing="0" w:after="0" w:afterAutospacing="0" w:line="440" w:lineRule="exact"/>
              <w:ind w:left="0" w:leftChars="0" w:right="0" w:firstLine="0" w:firstLineChars="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投标报价等于评标基准价的得满分，其余投标人的报价得分按照下列公示计算：</w:t>
            </w:r>
          </w:p>
          <w:p>
            <w:pPr>
              <w:pStyle w:val="42"/>
              <w:keepNext w:val="0"/>
              <w:keepLines w:val="0"/>
              <w:widowControl w:val="0"/>
              <w:suppressLineNumbers w:val="0"/>
              <w:autoSpaceDE w:val="0"/>
              <w:autoSpaceDN/>
              <w:adjustRightInd w:val="0"/>
              <w:snapToGrid w:val="0"/>
              <w:spacing w:before="0" w:beforeAutospacing="0" w:after="0" w:afterAutospacing="0" w:line="440" w:lineRule="exact"/>
              <w:ind w:left="0" w:leftChars="0" w:right="0" w:firstLine="0" w:firstLineChars="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①投标报价高于评标基准价的，投标报价得分=报价满分值-偏差率×100×1</w:t>
            </w:r>
          </w:p>
          <w:p>
            <w:pPr>
              <w:pStyle w:val="42"/>
              <w:keepNext w:val="0"/>
              <w:keepLines w:val="0"/>
              <w:widowControl w:val="0"/>
              <w:suppressLineNumbers w:val="0"/>
              <w:autoSpaceDE w:val="0"/>
              <w:autoSpaceDN/>
              <w:adjustRightInd w:val="0"/>
              <w:snapToGrid w:val="0"/>
              <w:spacing w:before="0" w:beforeAutospacing="0" w:after="0" w:afterAutospacing="0" w:line="440" w:lineRule="exact"/>
              <w:ind w:left="0" w:leftChars="0" w:right="0" w:firstLine="0" w:firstLineChars="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②投标报价低于评标基准价的，投标报价得分=报价满分值-偏差率×100×0.5</w:t>
            </w:r>
          </w:p>
          <w:p>
            <w:pPr>
              <w:pStyle w:val="42"/>
              <w:keepNext w:val="0"/>
              <w:keepLines w:val="0"/>
              <w:widowControl w:val="0"/>
              <w:suppressLineNumbers w:val="0"/>
              <w:autoSpaceDE w:val="0"/>
              <w:autoSpaceDN/>
              <w:adjustRightInd w:val="0"/>
              <w:snapToGrid w:val="0"/>
              <w:spacing w:before="0" w:beforeAutospacing="0" w:after="0" w:afterAutospacing="0" w:line="440" w:lineRule="exact"/>
              <w:ind w:left="0" w:leftChars="0" w:right="0" w:firstLine="0" w:firstLineChars="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注：1、偏差率=|（投标报价-评标基准价）/评标基准价|×100%</w:t>
            </w:r>
          </w:p>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2、计算过程中，B值、评标基准价（F值）、偏差率、报价得分均保留两位小数，小数点后第三位四舍五入。</w:t>
            </w:r>
          </w:p>
        </w:tc>
        <w:tc>
          <w:tcPr>
            <w:tcW w:w="3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评标基准价F=B×（1-K）其中：K为调整系数，K的取值为-0.5%（1号），0%（2号），0.5%（3号），1.0%（4号），1.5%（5号）。</w:t>
            </w:r>
          </w:p>
          <w:p>
            <w:pPr>
              <w:keepNext w:val="0"/>
              <w:keepLines w:val="0"/>
              <w:widowControl w:val="0"/>
              <w:suppressLineNumbers w:val="0"/>
              <w:autoSpaceDE w:val="0"/>
              <w:autoSpaceDN/>
              <w:adjustRightInd w:val="0"/>
              <w:snapToGrid w:val="0"/>
              <w:spacing w:before="0" w:beforeAutospacing="0" w:after="0" w:afterAutospacing="0" w:line="44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0"/>
                <w:sz w:val="21"/>
                <w:szCs w:val="21"/>
                <w:highlight w:val="none"/>
                <w:lang w:val="en-US" w:eastAsia="zh-CN" w:bidi="ar"/>
              </w:rPr>
              <w:t>值</w:t>
            </w:r>
            <w:r>
              <w:rPr>
                <w:rFonts w:hint="eastAsia" w:ascii="宋体" w:hAnsi="宋体" w:eastAsia="宋体" w:cs="宋体"/>
                <w:kern w:val="2"/>
                <w:sz w:val="21"/>
                <w:szCs w:val="21"/>
                <w:highlight w:val="none"/>
                <w:lang w:val="en-US" w:eastAsia="zh-CN" w:bidi="ar"/>
              </w:rPr>
              <w:t>为计算范围内有效投标人报价的算术平均值。</w:t>
            </w: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b/>
          <w:bCs/>
          <w:color w:val="auto"/>
          <w:szCs w:val="21"/>
          <w:highlight w:val="none"/>
          <w:lang w:eastAsia="zh-CN"/>
        </w:rPr>
        <w:t>投标人总报价</w:t>
      </w:r>
      <w:r>
        <w:rPr>
          <w:rFonts w:hint="eastAsia" w:ascii="宋体" w:hAnsi="宋体" w:cs="宋体"/>
          <w:b/>
          <w:bCs/>
          <w:color w:val="auto"/>
          <w:szCs w:val="21"/>
          <w:highlight w:val="none"/>
          <w:lang w:val="en-US" w:eastAsia="zh-CN"/>
        </w:rPr>
        <w:t>不得</w:t>
      </w:r>
      <w:r>
        <w:rPr>
          <w:rFonts w:hint="eastAsia" w:ascii="宋体" w:hAnsi="宋体" w:cs="宋体"/>
          <w:b/>
          <w:bCs/>
          <w:color w:val="auto"/>
          <w:szCs w:val="21"/>
          <w:highlight w:val="none"/>
          <w:lang w:eastAsia="zh-CN"/>
        </w:rPr>
        <w:t>超过A值，A值=最高限价×（1-J）（其中J=1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全费用综合单价最高限价按同比例下浮执行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否</w:t>
      </w:r>
      <w:r>
        <w:rPr>
          <w:rFonts w:hint="eastAsia" w:ascii="宋体" w:hAnsi="宋体" w:cs="宋体"/>
          <w:b/>
          <w:bCs/>
          <w:color w:val="auto"/>
          <w:szCs w:val="21"/>
          <w:highlight w:val="none"/>
          <w:lang w:eastAsia="zh-CN"/>
        </w:rPr>
        <w:t>则商务标不得分，且该投标报价不参与B值计算。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bCs/>
          <w:color w:val="auto"/>
          <w:szCs w:val="21"/>
          <w:highlight w:val="none"/>
          <w:lang w:eastAsia="zh-CN"/>
        </w:rPr>
      </w:pPr>
      <w:r>
        <w:rPr>
          <w:rFonts w:hint="eastAsia" w:ascii="宋体" w:hAnsi="宋体" w:cs="宋体"/>
          <w:color w:val="auto"/>
          <w:szCs w:val="21"/>
          <w:highlight w:val="none"/>
          <w:lang w:eastAsia="zh-CN"/>
        </w:rPr>
        <w:t>（2）只有通过详细评审的有效投标人才能参加商务报价评分。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）本表所称投标报价是指按招标文件规定修正后的投标总报价（多算投标报价、多报费用不扣减）。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）B值计算方法：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B值为通过（资信、技术、商务）详细评审的投标人的有效投标报价的算术平均值</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eastAsia="宋体" w:cs="宋体"/>
          <w:kern w:val="2"/>
          <w:sz w:val="21"/>
          <w:szCs w:val="21"/>
          <w:highlight w:val="none"/>
          <w:lang w:val="en-US" w:eastAsia="zh-CN" w:bidi="ar"/>
        </w:rPr>
        <w:t>（5）K值的抽取：资信标、技术标、商务标详细评审完成后，招标人抽取K值，并根据抽取的K值计算F值。评标办法中的评标基准价计算出来后，除数字计算错误外，其他情况均不再调整。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p>
      <w:pPr>
        <w:pStyle w:val="4"/>
        <w:keepNext/>
        <w:keepLines/>
        <w:pageBreakBefore w:val="0"/>
        <w:widowControl w:val="0"/>
        <w:kinsoku/>
        <w:wordWrap/>
        <w:overflowPunct/>
        <w:topLinePunct w:val="0"/>
        <w:autoSpaceDE/>
        <w:autoSpaceDN/>
        <w:bidi w:val="0"/>
        <w:adjustRightInd/>
        <w:snapToGrid/>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769" w:name="_Toc78803382"/>
      <w:bookmarkStart w:id="770" w:name="_Toc506107325"/>
      <w:bookmarkStart w:id="771" w:name="_Toc324404873"/>
      <w:bookmarkStart w:id="772" w:name="_Toc35425114"/>
      <w:bookmarkStart w:id="773" w:name="_Toc35424948"/>
      <w:bookmarkStart w:id="774" w:name="_Toc11945"/>
      <w:bookmarkStart w:id="775" w:name="_Toc15058914"/>
      <w:bookmarkStart w:id="776" w:name="_Toc246996233"/>
      <w:bookmarkStart w:id="777" w:name="_Toc247085748"/>
      <w:bookmarkStart w:id="778" w:name="_Toc144974557"/>
      <w:bookmarkStart w:id="779" w:name="_Toc296602478"/>
      <w:bookmarkStart w:id="780" w:name="_Toc179632608"/>
      <w:bookmarkStart w:id="781" w:name="_Toc152042367"/>
      <w:bookmarkStart w:id="782" w:name="_Toc246996976"/>
      <w:bookmarkStart w:id="783" w:name="_Toc152045590"/>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9"/>
      <w:bookmarkEnd w:id="770"/>
      <w:bookmarkEnd w:id="771"/>
      <w:bookmarkEnd w:id="772"/>
      <w:bookmarkEnd w:id="773"/>
      <w:bookmarkEnd w:id="774"/>
      <w:bookmarkEnd w:id="775"/>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4" w:name="_Toc15058915"/>
      <w:bookmarkStart w:id="785" w:name="_Toc17377"/>
      <w:bookmarkStart w:id="786" w:name="_Toc506107326"/>
      <w:bookmarkStart w:id="787" w:name="_Toc324404874"/>
      <w:bookmarkStart w:id="788" w:name="_Toc78803384"/>
      <w:bookmarkStart w:id="789" w:name="_Toc35424949"/>
      <w:bookmarkStart w:id="790"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84"/>
      <w:bookmarkEnd w:id="785"/>
      <w:bookmarkEnd w:id="786"/>
      <w:bookmarkEnd w:id="787"/>
      <w:bookmarkEnd w:id="788"/>
      <w:bookmarkEnd w:id="789"/>
      <w:bookmarkEnd w:id="790"/>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1" w:name="_Toc35425116"/>
      <w:bookmarkStart w:id="792" w:name="_Toc35424950"/>
      <w:bookmarkStart w:id="793" w:name="_Toc27389"/>
      <w:bookmarkStart w:id="794" w:name="_Toc78803385"/>
      <w:bookmarkStart w:id="795" w:name="_Toc15058916"/>
      <w:r>
        <w:rPr>
          <w:rFonts w:hint="eastAsia" w:ascii="宋体" w:hAnsi="宋体" w:eastAsia="宋体" w:cs="宋体"/>
          <w:color w:val="auto"/>
          <w:highlight w:val="none"/>
        </w:rPr>
        <w:t>3.1评标准备工作</w:t>
      </w:r>
      <w:bookmarkEnd w:id="791"/>
      <w:bookmarkEnd w:id="792"/>
      <w:bookmarkEnd w:id="793"/>
      <w:bookmarkEnd w:id="794"/>
      <w:bookmarkEnd w:id="795"/>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6" w:name="_Toc24650"/>
      <w:bookmarkStart w:id="797" w:name="_Toc35425117"/>
      <w:bookmarkStart w:id="798" w:name="_Toc1299"/>
      <w:bookmarkStart w:id="799" w:name="_Toc15058917"/>
      <w:bookmarkStart w:id="800" w:name="_Toc78803386"/>
      <w:bookmarkStart w:id="801" w:name="_Toc35424951"/>
      <w:bookmarkStart w:id="802" w:name="_Toc324404875"/>
      <w:bookmarkStart w:id="803" w:name="_Toc12200"/>
      <w:bookmarkStart w:id="804" w:name="_Toc15058919"/>
      <w:bookmarkStart w:id="805" w:name="_Toc506107327"/>
      <w:bookmarkStart w:id="806" w:name="_Toc35424954"/>
      <w:bookmarkStart w:id="807" w:name="_Toc35425120"/>
      <w:r>
        <w:rPr>
          <w:rFonts w:hint="eastAsia" w:ascii="宋体" w:hAnsi="宋体" w:eastAsia="宋体" w:cs="宋体"/>
          <w:color w:val="auto"/>
          <w:highlight w:val="none"/>
        </w:rPr>
        <w:t>3.2技术标评审</w:t>
      </w:r>
      <w:bookmarkEnd w:id="796"/>
      <w:bookmarkEnd w:id="797"/>
      <w:bookmarkEnd w:id="798"/>
      <w:bookmarkEnd w:id="799"/>
      <w:bookmarkEnd w:id="800"/>
      <w:bookmarkEnd w:id="801"/>
    </w:p>
    <w:p>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8" w:name="_Toc17468"/>
      <w:bookmarkStart w:id="809" w:name="_Toc15058918"/>
      <w:bookmarkStart w:id="810" w:name="_Toc35425118"/>
      <w:bookmarkStart w:id="811" w:name="_Toc78803387"/>
      <w:bookmarkStart w:id="812" w:name="_Toc35424952"/>
      <w:bookmarkStart w:id="813" w:name="_Toc11990"/>
      <w:r>
        <w:rPr>
          <w:rFonts w:hint="eastAsia" w:ascii="宋体" w:hAnsi="宋体" w:eastAsia="宋体" w:cs="宋体"/>
          <w:color w:val="auto"/>
          <w:highlight w:val="none"/>
        </w:rPr>
        <w:t>3.3商务标评审</w:t>
      </w:r>
      <w:bookmarkEnd w:id="808"/>
      <w:bookmarkEnd w:id="809"/>
      <w:bookmarkEnd w:id="810"/>
      <w:bookmarkEnd w:id="811"/>
      <w:bookmarkEnd w:id="812"/>
      <w:bookmarkEnd w:id="813"/>
    </w:p>
    <w:p>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4" w:name="_Toc35425119"/>
      <w:bookmarkStart w:id="815" w:name="_Toc35424953"/>
      <w:bookmarkStart w:id="816" w:name="_Toc26895"/>
      <w:bookmarkStart w:id="817" w:name="_Toc18087"/>
      <w:bookmarkStart w:id="818" w:name="_Toc78803388"/>
      <w:r>
        <w:rPr>
          <w:rStyle w:val="198"/>
          <w:rFonts w:hint="eastAsia" w:ascii="宋体" w:hAnsi="宋体" w:eastAsia="宋体" w:cs="宋体"/>
          <w:color w:val="auto"/>
          <w:highlight w:val="none"/>
        </w:rPr>
        <w:t>3.4推荐中标候选人</w:t>
      </w:r>
      <w:bookmarkEnd w:id="814"/>
      <w:bookmarkEnd w:id="815"/>
      <w:bookmarkEnd w:id="816"/>
      <w:bookmarkEnd w:id="817"/>
      <w:bookmarkEnd w:id="818"/>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9" w:name="_Toc78803389"/>
      <w:r>
        <w:rPr>
          <w:rFonts w:hint="eastAsia" w:ascii="宋体" w:hAnsi="宋体" w:eastAsia="宋体" w:cs="宋体"/>
          <w:color w:val="auto"/>
          <w:highlight w:val="none"/>
        </w:rPr>
        <w:t>4.评审内容</w:t>
      </w:r>
      <w:bookmarkEnd w:id="802"/>
      <w:bookmarkEnd w:id="803"/>
      <w:bookmarkEnd w:id="804"/>
      <w:bookmarkEnd w:id="805"/>
      <w:bookmarkEnd w:id="806"/>
      <w:bookmarkEnd w:id="807"/>
      <w:bookmarkEnd w:id="819"/>
    </w:p>
    <w:p>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20" w:name="_Toc9630"/>
      <w:bookmarkStart w:id="821" w:name="_Toc78803390"/>
      <w:r>
        <w:rPr>
          <w:rFonts w:hint="eastAsia" w:ascii="宋体" w:hAnsi="宋体" w:eastAsia="宋体" w:cs="宋体"/>
          <w:color w:val="auto"/>
          <w:highlight w:val="none"/>
        </w:rPr>
        <w:t>4.1</w:t>
      </w:r>
      <w:bookmarkEnd w:id="820"/>
      <w:bookmarkEnd w:id="821"/>
      <w:bookmarkStart w:id="822" w:name="_Toc3531"/>
      <w:bookmarkStart w:id="823" w:name="_Toc78803391"/>
      <w:bookmarkStart w:id="824" w:name="_Toc35425122"/>
      <w:bookmarkStart w:id="825" w:name="_Toc15058921"/>
      <w:bookmarkStart w:id="826" w:name="_Toc35424956"/>
      <w:bookmarkStart w:id="827" w:name="_Toc324404876"/>
      <w:r>
        <w:rPr>
          <w:rFonts w:hint="eastAsia" w:ascii="宋体" w:hAnsi="宋体" w:eastAsia="宋体" w:cs="宋体"/>
          <w:color w:val="auto"/>
          <w:highlight w:val="none"/>
        </w:rPr>
        <w:t>商务标评审</w:t>
      </w:r>
      <w:bookmarkEnd w:id="822"/>
      <w:bookmarkEnd w:id="823"/>
      <w:bookmarkEnd w:id="824"/>
      <w:bookmarkEnd w:id="825"/>
      <w:bookmarkEnd w:id="826"/>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bookmarkStart w:id="828" w:name="_Toc506107328"/>
      <w:bookmarkStart w:id="829" w:name="_Toc13125"/>
      <w:bookmarkStart w:id="830" w:name="_Toc15058922"/>
      <w:bookmarkStart w:id="831" w:name="_Toc35425123"/>
      <w:bookmarkStart w:id="832" w:name="_Toc78803392"/>
      <w:bookmarkStart w:id="833" w:name="_Toc35424957"/>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（3）工程量清单报价表中综合单价与工程量清单项目价格分析表相对应综合单价不一致时，以工程量清单项目价格分析表中标出的综合单价为准。</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7"/>
      <w:bookmarkEnd w:id="828"/>
      <w:bookmarkEnd w:id="829"/>
      <w:bookmarkEnd w:id="830"/>
      <w:bookmarkEnd w:id="831"/>
      <w:bookmarkEnd w:id="832"/>
      <w:bookmarkEnd w:id="833"/>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34" w:name="_Toc35424958"/>
      <w:bookmarkStart w:id="835" w:name="_Toc35425124"/>
      <w:bookmarkStart w:id="836" w:name="_Toc27846"/>
      <w:bookmarkStart w:id="837" w:name="_Toc78803393"/>
      <w:bookmarkStart w:id="838" w:name="_Toc15058923"/>
      <w:bookmarkStart w:id="839" w:name="_Toc324404877"/>
      <w:bookmarkStart w:id="840" w:name="_Toc506107329"/>
      <w:r>
        <w:rPr>
          <w:rFonts w:hint="eastAsia" w:ascii="宋体" w:hAnsi="宋体" w:eastAsia="宋体" w:cs="宋体"/>
          <w:color w:val="auto"/>
          <w:highlight w:val="none"/>
        </w:rPr>
        <w:t>6.投标文件的澄清和补正</w:t>
      </w:r>
      <w:bookmarkEnd w:id="834"/>
      <w:bookmarkEnd w:id="835"/>
      <w:bookmarkEnd w:id="836"/>
      <w:bookmarkEnd w:id="837"/>
      <w:bookmarkEnd w:id="838"/>
      <w:bookmarkEnd w:id="839"/>
      <w:bookmarkEnd w:id="840"/>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1" w:name="_Toc78803394"/>
      <w:bookmarkStart w:id="842" w:name="_Toc35425125"/>
      <w:bookmarkStart w:id="843" w:name="_Toc324404878"/>
      <w:bookmarkStart w:id="844" w:name="_Toc35424959"/>
      <w:bookmarkStart w:id="845" w:name="_Toc13990"/>
      <w:bookmarkStart w:id="846" w:name="_Toc15058924"/>
      <w:bookmarkStart w:id="847" w:name="_Toc506107330"/>
      <w:r>
        <w:rPr>
          <w:rFonts w:hint="eastAsia" w:ascii="宋体" w:hAnsi="宋体" w:eastAsia="宋体" w:cs="宋体"/>
          <w:color w:val="auto"/>
          <w:highlight w:val="none"/>
        </w:rPr>
        <w:t>7.评分标准</w:t>
      </w:r>
      <w:bookmarkEnd w:id="841"/>
      <w:bookmarkEnd w:id="842"/>
      <w:bookmarkEnd w:id="843"/>
      <w:bookmarkEnd w:id="844"/>
      <w:bookmarkEnd w:id="845"/>
      <w:bookmarkEnd w:id="846"/>
      <w:bookmarkEnd w:id="847"/>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8" w:name="_Toc35424960"/>
      <w:bookmarkStart w:id="849" w:name="_Toc506107331"/>
      <w:bookmarkStart w:id="850" w:name="_Toc324404879"/>
      <w:bookmarkStart w:id="851" w:name="_Toc15058925"/>
      <w:bookmarkStart w:id="852" w:name="_Toc78803395"/>
      <w:bookmarkStart w:id="853" w:name="_Toc22863"/>
      <w:bookmarkStart w:id="854" w:name="_Toc35425126"/>
      <w:r>
        <w:rPr>
          <w:rFonts w:hint="eastAsia" w:ascii="宋体" w:hAnsi="宋体" w:eastAsia="宋体" w:cs="宋体"/>
          <w:color w:val="auto"/>
          <w:highlight w:val="none"/>
        </w:rPr>
        <w:t>8.评审结果</w:t>
      </w:r>
      <w:bookmarkEnd w:id="848"/>
      <w:bookmarkEnd w:id="849"/>
      <w:bookmarkEnd w:id="850"/>
      <w:bookmarkEnd w:id="851"/>
      <w:bookmarkEnd w:id="852"/>
      <w:bookmarkEnd w:id="853"/>
      <w:bookmarkEnd w:id="854"/>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55" w:name="_Toc506107332"/>
      <w:bookmarkStart w:id="856" w:name="_Toc78803396"/>
      <w:bookmarkStart w:id="857" w:name="_Toc15058926"/>
      <w:bookmarkStart w:id="858" w:name="_Toc35425127"/>
      <w:bookmarkStart w:id="859" w:name="_Toc324404880"/>
      <w:bookmarkStart w:id="860" w:name="_Toc35424961"/>
      <w:bookmarkStart w:id="861" w:name="_Toc1576"/>
      <w:r>
        <w:rPr>
          <w:rFonts w:hint="eastAsia" w:ascii="宋体" w:hAnsi="宋体" w:eastAsia="宋体" w:cs="宋体"/>
          <w:color w:val="auto"/>
          <w:highlight w:val="none"/>
        </w:rPr>
        <w:t>9.其他</w:t>
      </w:r>
      <w:bookmarkEnd w:id="855"/>
      <w:bookmarkEnd w:id="856"/>
      <w:bookmarkEnd w:id="857"/>
      <w:bookmarkEnd w:id="858"/>
      <w:bookmarkEnd w:id="859"/>
      <w:bookmarkEnd w:id="860"/>
      <w:bookmarkEnd w:id="861"/>
    </w:p>
    <w:bookmarkEnd w:id="776"/>
    <w:bookmarkEnd w:id="777"/>
    <w:bookmarkEnd w:id="778"/>
    <w:bookmarkEnd w:id="779"/>
    <w:bookmarkEnd w:id="780"/>
    <w:bookmarkEnd w:id="781"/>
    <w:bookmarkEnd w:id="782"/>
    <w:bookmarkEnd w:id="783"/>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2" w:name="_Toc35425128"/>
      <w:bookmarkStart w:id="863" w:name="_Toc506107333"/>
      <w:bookmarkStart w:id="864" w:name="_Toc15058927"/>
      <w:bookmarkStart w:id="865" w:name="_Toc35424962"/>
      <w:bookmarkStart w:id="866" w:name="_Toc144974826"/>
      <w:bookmarkStart w:id="867" w:name="_Toc179632785"/>
      <w:bookmarkStart w:id="868" w:name="_Toc152045767"/>
      <w:bookmarkStart w:id="869"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pPr>
        <w:rPr>
          <w:color w:val="auto"/>
          <w:highlight w:val="none"/>
        </w:rPr>
      </w:pPr>
    </w:p>
    <w:p>
      <w:pPr>
        <w:rPr>
          <w:rFonts w:hint="eastAsia"/>
          <w:color w:val="auto"/>
          <w:highlight w:val="none"/>
        </w:rPr>
      </w:pPr>
      <w:r>
        <w:rPr>
          <w:rFonts w:hint="eastAsia"/>
          <w:color w:val="auto"/>
          <w:highlight w:val="none"/>
        </w:rPr>
        <w:br w:type="page"/>
      </w:r>
      <w:bookmarkStart w:id="870" w:name="_Toc78803397"/>
    </w:p>
    <w:bookmarkEnd w:id="862"/>
    <w:bookmarkEnd w:id="863"/>
    <w:bookmarkEnd w:id="864"/>
    <w:bookmarkEnd w:id="865"/>
    <w:bookmarkEnd w:id="870"/>
    <w:p>
      <w:pPr>
        <w:pStyle w:val="3"/>
        <w:rPr>
          <w:rFonts w:hint="eastAsia" w:ascii="Arial" w:hAnsi="Arial"/>
          <w:color w:val="auto"/>
          <w:kern w:val="0"/>
          <w:sz w:val="32"/>
          <w:szCs w:val="32"/>
          <w:highlight w:val="none"/>
        </w:rPr>
      </w:pPr>
      <w:bookmarkStart w:id="871" w:name="_Toc16721"/>
    </w:p>
    <w:p>
      <w:pPr>
        <w:pStyle w:val="3"/>
        <w:rPr>
          <w:color w:val="auto"/>
          <w:highlight w:val="none"/>
        </w:rPr>
      </w:pPr>
      <w:bookmarkStart w:id="872" w:name="_Toc8750"/>
      <w:bookmarkStart w:id="873"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1"/>
      <w:bookmarkEnd w:id="872"/>
      <w:bookmarkEnd w:id="873"/>
    </w:p>
    <w:p>
      <w:pPr>
        <w:spacing w:line="360" w:lineRule="auto"/>
        <w:jc w:val="center"/>
        <w:rPr>
          <w:rFonts w:ascii="仿宋_GB2312" w:eastAsia="仿宋_GB2312"/>
          <w:b/>
          <w:color w:val="auto"/>
          <w:sz w:val="28"/>
          <w:szCs w:val="28"/>
          <w:highlight w:val="none"/>
        </w:rPr>
      </w:pPr>
    </w:p>
    <w:p>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w:t>
      </w:r>
      <w:r>
        <w:rPr>
          <w:rFonts w:hint="eastAsia" w:eastAsia="仿宋_GB2312"/>
          <w:bCs/>
          <w:color w:val="auto"/>
          <w:sz w:val="32"/>
          <w:szCs w:val="32"/>
          <w:highlight w:val="none"/>
          <w:u w:val="single"/>
          <w:lang w:val="en-US" w:eastAsia="zh-CN"/>
        </w:rPr>
        <w:t xml:space="preserve"> </w:t>
      </w:r>
      <w:r>
        <w:rPr>
          <w:rFonts w:hint="eastAsia" w:eastAsia="仿宋_GB2312"/>
          <w:bCs/>
          <w:color w:val="auto"/>
          <w:sz w:val="32"/>
          <w:szCs w:val="32"/>
          <w:highlight w:val="none"/>
          <w:u w:val="single"/>
        </w:rPr>
        <w:t>）</w:t>
      </w:r>
    </w:p>
    <w:p>
      <w:pPr>
        <w:adjustRightInd w:val="0"/>
        <w:snapToGrid w:val="0"/>
        <w:spacing w:line="560" w:lineRule="exact"/>
        <w:jc w:val="center"/>
        <w:rPr>
          <w:rFonts w:eastAsia="华文中宋"/>
          <w:b/>
          <w:color w:val="auto"/>
          <w:sz w:val="52"/>
          <w:szCs w:val="52"/>
          <w:highlight w:val="none"/>
        </w:rPr>
      </w:pPr>
    </w:p>
    <w:p>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874" w:name="_Toc60061567"/>
    </w:p>
    <w:p>
      <w:pPr>
        <w:adjustRightInd w:val="0"/>
        <w:snapToGrid w:val="0"/>
        <w:spacing w:line="560" w:lineRule="exact"/>
        <w:jc w:val="center"/>
        <w:rPr>
          <w:rFonts w:eastAsia="华文中宋"/>
          <w:b/>
          <w:color w:val="auto"/>
          <w:sz w:val="52"/>
          <w:szCs w:val="52"/>
          <w:highlight w:val="none"/>
        </w:rPr>
      </w:pPr>
    </w:p>
    <w:p>
      <w:pPr>
        <w:adjustRightInd w:val="0"/>
        <w:snapToGrid w:val="0"/>
        <w:spacing w:line="560" w:lineRule="exact"/>
        <w:jc w:val="center"/>
        <w:rPr>
          <w:rFonts w:eastAsia="黑体"/>
          <w:b/>
          <w:color w:val="auto"/>
          <w:sz w:val="72"/>
          <w:szCs w:val="72"/>
          <w:highlight w:val="none"/>
        </w:rPr>
      </w:pPr>
    </w:p>
    <w:p>
      <w:pPr>
        <w:adjustRightInd w:val="0"/>
        <w:snapToGrid w:val="0"/>
        <w:spacing w:line="560" w:lineRule="exact"/>
        <w:jc w:val="center"/>
        <w:rPr>
          <w:rFonts w:hint="eastAsia" w:ascii="宋体" w:hAnsi="宋体" w:cs="宋体"/>
          <w:b/>
          <w:color w:val="auto"/>
          <w:sz w:val="54"/>
          <w:szCs w:val="72"/>
          <w:highlight w:val="none"/>
        </w:rPr>
      </w:pPr>
    </w:p>
    <w:p>
      <w:pPr>
        <w:pStyle w:val="14"/>
        <w:rPr>
          <w:color w:val="auto"/>
          <w:highlight w:val="none"/>
        </w:rPr>
      </w:pPr>
    </w:p>
    <w:p>
      <w:pPr>
        <w:adjustRightInd w:val="0"/>
        <w:snapToGrid w:val="0"/>
        <w:spacing w:line="560" w:lineRule="exact"/>
        <w:jc w:val="center"/>
        <w:rPr>
          <w:rFonts w:eastAsia="黑体"/>
          <w:b/>
          <w:color w:val="auto"/>
          <w:sz w:val="52"/>
          <w:szCs w:val="52"/>
          <w:highlight w:val="none"/>
        </w:rPr>
      </w:pPr>
    </w:p>
    <w:p>
      <w:pPr>
        <w:adjustRightInd w:val="0"/>
        <w:snapToGrid w:val="0"/>
        <w:spacing w:line="560" w:lineRule="exact"/>
        <w:rPr>
          <w:b/>
          <w:color w:val="auto"/>
          <w:sz w:val="28"/>
          <w:szCs w:val="28"/>
          <w:highlight w:val="none"/>
        </w:rPr>
      </w:pPr>
    </w:p>
    <w:p>
      <w:pPr>
        <w:adjustRightInd w:val="0"/>
        <w:snapToGrid w:val="0"/>
        <w:spacing w:line="560" w:lineRule="exact"/>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jc w:val="center"/>
        <w:rPr>
          <w:color w:val="auto"/>
          <w:highlight w:val="none"/>
        </w:rPr>
      </w:pPr>
    </w:p>
    <w:p>
      <w:pPr>
        <w:spacing w:line="360" w:lineRule="auto"/>
        <w:jc w:val="center"/>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none"/>
          <w:lang w:val="en-US" w:eastAsia="zh-CN"/>
        </w:rPr>
        <w:t>发  包  人</w:t>
      </w:r>
      <w:r>
        <w:rPr>
          <w:rFonts w:hint="eastAsia" w:ascii="宋体" w:hAnsi="宋体" w:cs="宋体"/>
          <w:b/>
          <w:color w:val="auto"/>
          <w:sz w:val="24"/>
          <w:highlight w:val="none"/>
          <w:u w:val="none"/>
        </w:rPr>
        <w:t>（全称）：</w:t>
      </w:r>
      <w:r>
        <w:rPr>
          <w:rFonts w:hint="eastAsia" w:ascii="宋体" w:hAnsi="宋体" w:cs="宋体"/>
          <w:b/>
          <w:color w:val="auto"/>
          <w:sz w:val="24"/>
          <w:highlight w:val="none"/>
          <w:u w:val="single"/>
          <w:lang w:val="en-US" w:eastAsia="zh-CN"/>
        </w:rPr>
        <w:t>滁州市兴天矿业有限公司</w:t>
      </w:r>
    </w:p>
    <w:p>
      <w:pPr>
        <w:jc w:val="both"/>
        <w:rPr>
          <w:rFonts w:hint="eastAsia" w:ascii="宋体" w:hAnsi="宋体" w:cs="宋体"/>
          <w:b/>
          <w:color w:val="auto"/>
          <w:sz w:val="24"/>
          <w:highlight w:val="none"/>
          <w:u w:val="single"/>
        </w:rPr>
      </w:pP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承</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包</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人（全称）：</w:t>
      </w:r>
      <w:r>
        <w:rPr>
          <w:rFonts w:hint="eastAsia" w:ascii="宋体" w:hAnsi="宋体" w:cs="宋体"/>
          <w:b/>
          <w:color w:val="auto"/>
          <w:sz w:val="24"/>
          <w:highlight w:val="none"/>
          <w:u w:val="single"/>
        </w:rPr>
        <w:t xml:space="preserve">                  </w:t>
      </w:r>
    </w:p>
    <w:p>
      <w:pPr>
        <w:pStyle w:val="14"/>
        <w:rPr>
          <w:rFonts w:hint="eastAsia"/>
          <w:color w:val="auto"/>
          <w:highlight w:val="none"/>
        </w:rPr>
      </w:pPr>
    </w:p>
    <w:p>
      <w:pPr>
        <w:jc w:val="center"/>
        <w:rPr>
          <w:rFonts w:hint="default" w:eastAsia="宋体"/>
          <w:b/>
          <w:color w:val="auto"/>
          <w:sz w:val="28"/>
          <w:szCs w:val="28"/>
          <w:highlight w:val="none"/>
          <w:lang w:val="en-US" w:eastAsia="zh-CN"/>
        </w:rPr>
      </w:pPr>
      <w:r>
        <w:rPr>
          <w:rFonts w:hint="eastAsia"/>
          <w:b/>
          <w:color w:val="auto"/>
          <w:sz w:val="28"/>
          <w:szCs w:val="28"/>
          <w:highlight w:val="none"/>
          <w:lang w:val="en-US" w:eastAsia="zh-CN"/>
        </w:rPr>
        <w:t>2024年  月  日</w:t>
      </w:r>
    </w:p>
    <w:p>
      <w:pPr>
        <w:pStyle w:val="14"/>
        <w:rPr>
          <w:b/>
          <w:color w:val="auto"/>
          <w:sz w:val="28"/>
          <w:szCs w:val="28"/>
          <w:highlight w:val="none"/>
        </w:rPr>
      </w:pPr>
    </w:p>
    <w:p>
      <w:pPr>
        <w:rPr>
          <w:b/>
          <w:color w:val="auto"/>
          <w:sz w:val="28"/>
          <w:szCs w:val="28"/>
          <w:highlight w:val="none"/>
        </w:rPr>
      </w:pPr>
    </w:p>
    <w:p>
      <w:pPr>
        <w:pStyle w:val="14"/>
        <w:rPr>
          <w:color w:val="auto"/>
          <w:highlight w:val="none"/>
        </w:rPr>
      </w:pPr>
    </w:p>
    <w:p>
      <w:pPr>
        <w:pStyle w:val="14"/>
        <w:rPr>
          <w:color w:val="auto"/>
          <w:highlight w:val="none"/>
        </w:rPr>
      </w:pPr>
    </w:p>
    <w:p>
      <w:pPr>
        <w:adjustRightInd w:val="0"/>
        <w:snapToGrid w:val="0"/>
        <w:spacing w:line="560" w:lineRule="exact"/>
        <w:rPr>
          <w:b/>
          <w:color w:val="auto"/>
          <w:sz w:val="28"/>
          <w:szCs w:val="28"/>
          <w:highlight w:val="none"/>
        </w:rPr>
      </w:pPr>
    </w:p>
    <w:bookmarkEnd w:id="874"/>
    <w:p>
      <w:pPr>
        <w:rPr>
          <w:rFonts w:hint="eastAsia"/>
          <w:color w:val="auto"/>
          <w:highlight w:val="none"/>
        </w:rPr>
      </w:pPr>
      <w:r>
        <w:rPr>
          <w:rFonts w:hint="eastAsia"/>
          <w:color w:val="auto"/>
          <w:highlight w:val="none"/>
        </w:rPr>
        <w:br w:type="page"/>
      </w:r>
    </w:p>
    <w:p>
      <w:pPr>
        <w:keepNext/>
        <w:keepLines/>
        <w:spacing w:line="360" w:lineRule="auto"/>
        <w:jc w:val="center"/>
        <w:outlineLvl w:val="1"/>
        <w:rPr>
          <w:rFonts w:hint="eastAsia" w:ascii="宋体" w:hAnsi="宋体" w:cs="宋体"/>
          <w:b/>
          <w:bCs/>
          <w:color w:val="auto"/>
          <w:sz w:val="32"/>
          <w:szCs w:val="32"/>
          <w:highlight w:val="none"/>
        </w:rPr>
      </w:pPr>
      <w:bookmarkStart w:id="875" w:name="_Toc3977"/>
      <w:bookmarkStart w:id="876" w:name="_Toc28799376"/>
      <w:bookmarkStart w:id="877" w:name="_Toc95223459"/>
      <w:bookmarkStart w:id="878" w:name="_Toc2308"/>
      <w:bookmarkStart w:id="879" w:name="_Toc29801"/>
      <w:r>
        <w:rPr>
          <w:rFonts w:hint="eastAsia" w:ascii="宋体" w:hAnsi="宋体" w:cs="宋体"/>
          <w:b/>
          <w:bCs/>
          <w:color w:val="auto"/>
          <w:sz w:val="32"/>
          <w:szCs w:val="32"/>
          <w:highlight w:val="none"/>
        </w:rPr>
        <w:t>第一节  合同协议书</w:t>
      </w:r>
      <w:bookmarkEnd w:id="875"/>
      <w:bookmarkEnd w:id="876"/>
      <w:bookmarkEnd w:id="877"/>
    </w:p>
    <w:p>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滁州市兴天矿业有限公司</w:t>
      </w:r>
    </w:p>
    <w:p>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pPr>
        <w:spacing w:line="360" w:lineRule="auto"/>
        <w:ind w:firstLine="420" w:firstLineChars="200"/>
        <w:rPr>
          <w:rFonts w:hint="eastAsia" w:ascii="宋体" w:hAnsi="宋体" w:cs="宋体"/>
          <w:color w:val="auto"/>
          <w:szCs w:val="21"/>
          <w:highlight w:val="none"/>
          <w:u w:val="single"/>
        </w:rPr>
      </w:pP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0" w:name="_Toc351203481"/>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0"/>
    </w:p>
    <w:p>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1" w:name="_Toc351203482"/>
      <w:r>
        <w:rPr>
          <w:rFonts w:hint="eastAsia" w:ascii="宋体" w:hAnsi="宋体" w:cs="宋体"/>
          <w:b/>
          <w:color w:val="auto"/>
          <w:szCs w:val="21"/>
          <w:highlight w:val="none"/>
          <w:u w:val="single"/>
        </w:rPr>
        <w:t>二、合同工期</w:t>
      </w:r>
      <w:bookmarkEnd w:id="881"/>
    </w:p>
    <w:p>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2" w:name="_Toc351203483"/>
      <w:r>
        <w:rPr>
          <w:rFonts w:hint="eastAsia" w:ascii="宋体" w:hAnsi="宋体" w:cs="宋体"/>
          <w:b/>
          <w:color w:val="auto"/>
          <w:szCs w:val="21"/>
          <w:highlight w:val="none"/>
          <w:u w:val="single"/>
        </w:rPr>
        <w:t>三、质量标准</w:t>
      </w:r>
      <w:bookmarkEnd w:id="882"/>
    </w:p>
    <w:p>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w:t>
      </w:r>
      <w:r>
        <w:rPr>
          <w:rFonts w:hint="eastAsia" w:ascii="宋体" w:hAnsi="宋体" w:cs="宋体"/>
          <w:color w:val="auto"/>
          <w:szCs w:val="21"/>
          <w:highlight w:val="none"/>
          <w:u w:val="single"/>
          <w:lang w:val="en-US" w:eastAsia="zh-CN"/>
        </w:rPr>
        <w:t>国家相关法律法规规定的</w:t>
      </w:r>
      <w:r>
        <w:rPr>
          <w:rFonts w:hint="eastAsia" w:ascii="宋体" w:hAnsi="宋体" w:cs="宋体"/>
          <w:color w:val="auto"/>
          <w:szCs w:val="21"/>
          <w:highlight w:val="none"/>
          <w:u w:val="single"/>
        </w:rPr>
        <w:t>标准。</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4"/>
      <w:r>
        <w:rPr>
          <w:rFonts w:hint="eastAsia" w:ascii="宋体" w:hAnsi="宋体" w:cs="宋体"/>
          <w:b/>
          <w:color w:val="auto"/>
          <w:szCs w:val="21"/>
          <w:highlight w:val="none"/>
          <w:u w:val="single"/>
        </w:rPr>
        <w:t>四、签约合同价与合同价格形式</w:t>
      </w:r>
      <w:bookmarkEnd w:id="883"/>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4" w:name="_Toc351203485"/>
      <w:r>
        <w:rPr>
          <w:rFonts w:hint="eastAsia" w:ascii="宋体" w:hAnsi="宋体" w:cs="宋体"/>
          <w:b/>
          <w:color w:val="auto"/>
          <w:szCs w:val="21"/>
          <w:highlight w:val="none"/>
        </w:rPr>
        <w:t>五、</w:t>
      </w:r>
      <w:bookmarkEnd w:id="884"/>
      <w:r>
        <w:rPr>
          <w:rFonts w:hint="eastAsia" w:ascii="宋体" w:hAnsi="宋体" w:cs="宋体"/>
          <w:b/>
          <w:color w:val="auto"/>
          <w:szCs w:val="21"/>
          <w:highlight w:val="none"/>
        </w:rPr>
        <w:t>项目经理</w:t>
      </w: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5" w:name="_Toc351203486"/>
      <w:r>
        <w:rPr>
          <w:rFonts w:hint="eastAsia" w:ascii="宋体" w:hAnsi="宋体" w:cs="宋体"/>
          <w:b/>
          <w:color w:val="auto"/>
          <w:szCs w:val="21"/>
          <w:highlight w:val="none"/>
        </w:rPr>
        <w:t>六、合同文件构成</w:t>
      </w:r>
      <w:bookmarkEnd w:id="885"/>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7"/>
      <w:r>
        <w:rPr>
          <w:rFonts w:hint="eastAsia" w:ascii="宋体" w:hAnsi="宋体" w:cs="宋体"/>
          <w:b/>
          <w:color w:val="auto"/>
          <w:szCs w:val="21"/>
          <w:highlight w:val="none"/>
        </w:rPr>
        <w:t>七、承诺</w:t>
      </w:r>
      <w:bookmarkEnd w:id="886"/>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8"/>
      <w:r>
        <w:rPr>
          <w:rFonts w:hint="eastAsia" w:ascii="宋体" w:hAnsi="宋体" w:cs="宋体"/>
          <w:b/>
          <w:color w:val="auto"/>
          <w:szCs w:val="21"/>
          <w:highlight w:val="none"/>
        </w:rPr>
        <w:t>八、词语含义</w:t>
      </w:r>
      <w:bookmarkEnd w:id="887"/>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9"/>
      <w:r>
        <w:rPr>
          <w:rFonts w:hint="eastAsia" w:ascii="宋体" w:hAnsi="宋体" w:cs="宋体"/>
          <w:b/>
          <w:color w:val="auto"/>
          <w:szCs w:val="21"/>
          <w:highlight w:val="none"/>
        </w:rPr>
        <w:t>九、签订时间</w:t>
      </w:r>
      <w:bookmarkEnd w:id="888"/>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90"/>
      <w:r>
        <w:rPr>
          <w:rFonts w:hint="eastAsia" w:ascii="宋体" w:hAnsi="宋体" w:cs="宋体"/>
          <w:b/>
          <w:color w:val="auto"/>
          <w:szCs w:val="21"/>
          <w:highlight w:val="none"/>
        </w:rPr>
        <w:t>十、签订地点</w:t>
      </w:r>
      <w:bookmarkEnd w:id="889"/>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91"/>
      <w:r>
        <w:rPr>
          <w:rFonts w:hint="eastAsia" w:ascii="宋体" w:hAnsi="宋体" w:cs="宋体"/>
          <w:b/>
          <w:color w:val="auto"/>
          <w:szCs w:val="21"/>
          <w:highlight w:val="none"/>
        </w:rPr>
        <w:t>十一、补充协议</w:t>
      </w:r>
      <w:bookmarkEnd w:id="890"/>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2"/>
      <w:r>
        <w:rPr>
          <w:rFonts w:hint="eastAsia" w:ascii="宋体" w:hAnsi="宋体" w:cs="宋体"/>
          <w:b/>
          <w:color w:val="auto"/>
          <w:szCs w:val="21"/>
          <w:highlight w:val="none"/>
        </w:rPr>
        <w:t>十二、合同生效</w:t>
      </w:r>
      <w:bookmarkEnd w:id="891"/>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3"/>
      <w:r>
        <w:rPr>
          <w:rFonts w:hint="eastAsia" w:ascii="宋体" w:hAnsi="宋体" w:cs="宋体"/>
          <w:b/>
          <w:color w:val="auto"/>
          <w:szCs w:val="21"/>
          <w:highlight w:val="none"/>
        </w:rPr>
        <w:t>十三、合同份数</w:t>
      </w:r>
      <w:bookmarkEnd w:id="892"/>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pPr>
        <w:spacing w:line="360" w:lineRule="auto"/>
        <w:rPr>
          <w:rFonts w:hint="eastAsia" w:ascii="宋体" w:hAnsi="宋体" w:cs="宋体"/>
          <w:bCs/>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u w:val="single"/>
        </w:rPr>
      </w:pPr>
    </w:p>
    <w:p>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78"/>
      <w:bookmarkEnd w:id="879"/>
      <w:bookmarkStart w:id="893" w:name="_Toc15494"/>
      <w:bookmarkStart w:id="894" w:name="_Toc95223460"/>
      <w:bookmarkStart w:id="895"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3"/>
      <w:bookmarkEnd w:id="894"/>
    </w:p>
    <w:p>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采用《建设工程施工合同(示范文本)》（GF-2017-0201）中通用合同条款。上述资料由投标人自行准备。</w:t>
      </w:r>
    </w:p>
    <w:p>
      <w:pPr>
        <w:pStyle w:val="2"/>
        <w:jc w:val="center"/>
        <w:rPr>
          <w:rFonts w:hint="eastAsia" w:ascii="黑体" w:eastAsia="黑体" w:cs="黑体"/>
          <w:color w:val="auto"/>
          <w:highlight w:val="none"/>
        </w:rPr>
      </w:pPr>
      <w:bookmarkStart w:id="896" w:name="_Toc14492"/>
      <w:r>
        <w:rPr>
          <w:rFonts w:hint="eastAsia" w:ascii="黑体" w:eastAsia="黑体" w:cs="黑体"/>
          <w:color w:val="auto"/>
          <w:highlight w:val="none"/>
        </w:rPr>
        <w:t>第三节 专用合同条款</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440" w:lineRule="exact"/>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rPr>
        <w:t>允许调整合同价格的工程量偏差范围：</w:t>
      </w:r>
      <w:r>
        <w:rPr>
          <w:rFonts w:hint="eastAsia" w:ascii="宋体" w:hAnsi="宋体" w:cs="宋体"/>
          <w:b/>
          <w:bCs/>
          <w:color w:val="auto"/>
          <w:szCs w:val="21"/>
          <w:highlight w:val="none"/>
          <w:u w:val="single"/>
          <w:lang w:val="en-US" w:eastAsia="zh-CN"/>
        </w:rPr>
        <w:t xml:space="preserve">       /    </w:t>
      </w:r>
      <w:r>
        <w:rPr>
          <w:rFonts w:hint="eastAsia" w:ascii="宋体" w:hAnsi="宋体" w:cs="宋体"/>
          <w:b/>
          <w:bCs/>
          <w:color w:val="auto"/>
          <w:szCs w:val="21"/>
          <w:highlight w:val="none"/>
          <w:u w:val="singl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pPr>
        <w:numPr>
          <w:ilvl w:val="0"/>
          <w:numId w:val="4"/>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 xml:space="preserve">4. </w:t>
      </w:r>
      <w:r>
        <w:rPr>
          <w:rFonts w:hint="eastAsia" w:ascii="宋体" w:cs="宋体"/>
          <w:strike w:val="0"/>
          <w:dstrike w:val="0"/>
          <w:color w:val="auto"/>
          <w:szCs w:val="21"/>
          <w:highlight w:val="none"/>
          <w:lang w:eastAsia="zh-CN"/>
        </w:rPr>
        <w:t>发包人</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确定施工计划后除发包人要求，不得更改。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r>
        <w:rPr>
          <w:rFonts w:hint="eastAsia" w:ascii="宋体" w:cs="宋体"/>
          <w:strike w:val="0"/>
          <w:dstrike w:val="0"/>
          <w:color w:val="auto"/>
          <w:szCs w:val="21"/>
          <w:highlight w:val="none"/>
          <w:lang w:eastAsia="zh-CN"/>
        </w:rPr>
        <w:t>（</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pPr>
        <w:pStyle w:val="14"/>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highlight w:val="none"/>
          <w:u w:val="single"/>
        </w:rPr>
        <w:t>已标价工程量清单或预算书中无相同项目及类似项目单价的</w:t>
      </w:r>
      <w:r>
        <w:rPr>
          <w:rFonts w:hint="eastAsia" w:ascii="宋体" w:hAnsi="宋体" w:cs="宋体"/>
          <w:b/>
          <w:bCs/>
          <w:color w:val="auto"/>
          <w:szCs w:val="21"/>
          <w:highlight w:val="none"/>
          <w:u w:val="single"/>
        </w:rPr>
        <w:t>新增项目单价按照最高限价的编制原则重新组价×响应让利幅度（上述响应让利幅度为中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价/最高限价，其中中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价和最高限价均扣除暂列金额、暂估价及相应税金），结算价格最终以相关部门审核价为准；</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pPr>
        <w:pStyle w:val="14"/>
        <w:spacing w:after="0" w:line="440" w:lineRule="exact"/>
        <w:ind w:left="0" w:leftChars="0"/>
        <w:rPr>
          <w:rFonts w:hint="eastAsia"/>
          <w:color w:val="auto"/>
          <w:highlight w:val="none"/>
        </w:rPr>
      </w:pPr>
      <w:r>
        <w:rPr>
          <w:rFonts w:hint="eastAsia"/>
          <w:color w:val="auto"/>
          <w:highlight w:val="none"/>
        </w:rPr>
        <w:t>第3种方式：承包人直接实施的暂估价项目</w:t>
      </w:r>
    </w:p>
    <w:p>
      <w:pPr>
        <w:pStyle w:val="14"/>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全费用综合单价包含的风险范围：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结算价=合同价±工程变更造价±材料价格调整造价±政策性调整造价±人工价格调整造价±措施项目调整造价－暂列金额×1.09± 合理工程索赔。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按月进度付款，当月完成进度计划的合格分部分项工程按85%付进度款；工程竣工验收合格后支付至已完成合格工程量价款的90%；竣工结算且经审核或复核后付至结算总造价的98%，剩余2%作为工程质量保证金，工程缺陷责任期（缺陷责任期</w:t>
      </w:r>
      <w:r>
        <w:rPr>
          <w:rFonts w:hint="eastAsia" w:ascii="宋体" w:cs="宋体"/>
          <w:color w:val="auto"/>
          <w:szCs w:val="21"/>
          <w:highlight w:val="none"/>
          <w:u w:val="single"/>
          <w:lang w:val="en-US" w:eastAsia="zh-CN"/>
        </w:rPr>
        <w:t>一</w:t>
      </w:r>
      <w:r>
        <w:rPr>
          <w:rFonts w:hint="eastAsia" w:ascii="宋体" w:cs="宋体"/>
          <w:color w:val="auto"/>
          <w:szCs w:val="21"/>
          <w:highlight w:val="none"/>
          <w:u w:val="single"/>
        </w:rPr>
        <w:t xml:space="preserve">年，从验收合格之日起计算）满回访合格后一个月内付清。质量保证金支持保函（银行保函、担保机构担保、保证保险）使用。采用保函的不再从工程进度款中扣留质量保证金，保函有效期须与工程缺陷责任期截止时间保持一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12</w:t>
      </w:r>
      <w:r>
        <w:rPr>
          <w:rFonts w:hint="eastAsia" w:ascii="黑体" w:hAnsi="黑体" w:eastAsia="黑体" w:cs="黑体"/>
          <w:b/>
          <w:bCs/>
          <w:color w:val="auto"/>
          <w:szCs w:val="21"/>
          <w:highlight w:val="none"/>
          <w:u w:val="single"/>
        </w:rPr>
        <w:t>个月（详见付款方式）</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bookmarkStart w:id="897" w:name="_Toc95223485"/>
      <w:r>
        <w:rPr>
          <w:rFonts w:hint="eastAsia" w:ascii="宋体" w:eastAsia="宋体" w:cs="宋体"/>
          <w:b w:val="0"/>
          <w:color w:val="auto"/>
          <w:sz w:val="21"/>
          <w:szCs w:val="21"/>
          <w:highlight w:val="none"/>
        </w:rPr>
        <w:t>21. 补充条款</w:t>
      </w:r>
      <w:bookmarkEnd w:id="897"/>
      <w:r>
        <w:rPr>
          <w:rFonts w:hint="eastAsia" w:ascii="宋体" w:eastAsia="宋体" w:cs="宋体"/>
          <w:b w:val="0"/>
          <w:color w:val="auto"/>
          <w:sz w:val="21"/>
          <w:szCs w:val="21"/>
          <w:highlight w:val="none"/>
          <w:lang w:eastAsia="zh-CN"/>
        </w:rPr>
        <w:t>：/</w:t>
      </w:r>
      <w:r>
        <w:rPr>
          <w:rFonts w:hint="eastAsia" w:ascii="宋体" w:eastAsia="宋体" w:cs="宋体"/>
          <w:b w:val="0"/>
          <w:color w:val="auto"/>
          <w:sz w:val="21"/>
          <w:szCs w:val="21"/>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bookmarkEnd w:id="866"/>
    <w:bookmarkEnd w:id="867"/>
    <w:bookmarkEnd w:id="868"/>
    <w:bookmarkEnd w:id="869"/>
    <w:bookmarkEnd w:id="895"/>
    <w:bookmarkEnd w:id="896"/>
    <w:p>
      <w:pPr>
        <w:rPr>
          <w:rFonts w:hint="eastAsia" w:ascii="宋体" w:hAnsi="宋体" w:cs="宋体"/>
          <w:bCs/>
          <w:color w:val="auto"/>
          <w:sz w:val="24"/>
          <w:highlight w:val="none"/>
        </w:rPr>
      </w:pPr>
      <w:bookmarkStart w:id="898" w:name="_Toc95223487"/>
      <w:bookmarkStart w:id="899" w:name="_Toc35425136"/>
      <w:bookmarkStart w:id="900" w:name="_Toc152042575"/>
      <w:bookmarkStart w:id="901" w:name="_Toc246996354"/>
      <w:bookmarkStart w:id="902" w:name="_Toc144974855"/>
      <w:bookmarkStart w:id="903" w:name="_Toc246997097"/>
      <w:bookmarkStart w:id="904" w:name="_Toc15058934"/>
      <w:bookmarkStart w:id="905" w:name="_Toc35424970"/>
      <w:bookmarkStart w:id="906" w:name="_Toc152045786"/>
      <w:bookmarkStart w:id="907" w:name="_Toc247085872"/>
      <w:bookmarkStart w:id="908" w:name="_Toc78803398"/>
      <w:bookmarkStart w:id="909" w:name="_Toc179632806"/>
      <w:bookmarkStart w:id="910" w:name="_Toc324404888"/>
      <w:bookmarkStart w:id="911" w:name="_Toc506107340"/>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2" w:name="_Toc296346726"/>
      <w:bookmarkStart w:id="913" w:name="_Toc296891265"/>
      <w:bookmarkStart w:id="914" w:name="_Toc296503225"/>
      <w:bookmarkStart w:id="915" w:name="_Toc267261692"/>
      <w:bookmarkStart w:id="916" w:name="_Toc296347224"/>
      <w:bookmarkStart w:id="917" w:name="_Toc296891053"/>
      <w:bookmarkStart w:id="918" w:name="_Toc296944564"/>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98"/>
    </w:p>
    <w:bookmarkEnd w:id="912"/>
    <w:bookmarkEnd w:id="913"/>
    <w:bookmarkEnd w:id="914"/>
    <w:bookmarkEnd w:id="915"/>
    <w:bookmarkEnd w:id="916"/>
    <w:bookmarkEnd w:id="917"/>
    <w:bookmarkEnd w:id="918"/>
    <w:p>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pPr>
        <w:pStyle w:val="14"/>
        <w:rPr>
          <w:rFonts w:hint="eastAsia"/>
          <w:color w:val="auto"/>
          <w:highlight w:val="none"/>
        </w:rPr>
      </w:pPr>
    </w:p>
    <w:p>
      <w:pPr>
        <w:rPr>
          <w:rFonts w:hint="eastAsia" w:ascii="宋体" w:hAnsi="宋体" w:cs="宋体"/>
          <w:bCs/>
          <w:color w:val="auto"/>
          <w:sz w:val="24"/>
          <w:highlight w:val="none"/>
        </w:rPr>
      </w:pPr>
      <w:bookmarkStart w:id="919" w:name="_Toc95223490"/>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20" w:name="_Toc296346727"/>
      <w:bookmarkStart w:id="921" w:name="_Toc296944565"/>
      <w:bookmarkStart w:id="922" w:name="_Toc296503226"/>
      <w:bookmarkStart w:id="923" w:name="_Toc296347225"/>
      <w:bookmarkStart w:id="924" w:name="_Toc267261693"/>
      <w:bookmarkStart w:id="925" w:name="_Toc296891266"/>
      <w:bookmarkStart w:id="926" w:name="_Toc296891054"/>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20"/>
      <w:bookmarkEnd w:id="921"/>
      <w:bookmarkEnd w:id="922"/>
      <w:bookmarkEnd w:id="923"/>
      <w:bookmarkEnd w:id="924"/>
      <w:bookmarkEnd w:id="925"/>
      <w:bookmarkEnd w:id="926"/>
      <w:r>
        <w:rPr>
          <w:rFonts w:hint="eastAsia" w:ascii="宋体" w:hAnsi="宋体" w:cs="宋体"/>
          <w:bCs/>
          <w:color w:val="auto"/>
          <w:sz w:val="24"/>
          <w:highlight w:val="none"/>
        </w:rPr>
        <w:t>工程质量保修书</w:t>
      </w:r>
    </w:p>
    <w:p>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w:t>
      </w:r>
      <w:r>
        <w:rPr>
          <w:rFonts w:hint="eastAsia" w:ascii="宋体" w:hAnsi="宋体" w:cs="宋体"/>
          <w:color w:val="auto"/>
          <w:kern w:val="0"/>
          <w:position w:val="6"/>
          <w:szCs w:val="21"/>
          <w:highlight w:val="none"/>
          <w:lang w:val="en-US" w:eastAsia="zh-CN"/>
        </w:rPr>
        <w:t>同设计年限</w:t>
      </w:r>
      <w:r>
        <w:rPr>
          <w:rFonts w:hint="eastAsia" w:ascii="宋体" w:hAnsi="宋体" w:cs="宋体"/>
          <w:color w:val="auto"/>
          <w:kern w:val="0"/>
          <w:position w:val="6"/>
          <w:szCs w:val="21"/>
          <w:highlight w:val="none"/>
        </w:rPr>
        <w:t>；</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 xml:space="preserve">_工程，为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pPr>
        <w:adjustRightInd w:val="0"/>
        <w:snapToGrid w:val="0"/>
        <w:spacing w:line="360" w:lineRule="auto"/>
        <w:ind w:firstLine="420"/>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19"/>
    </w:p>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keepNext/>
        <w:keepLines/>
        <w:spacing w:before="120" w:after="120" w:line="360" w:lineRule="auto"/>
        <w:jc w:val="left"/>
        <w:outlineLvl w:val="2"/>
        <w:rPr>
          <w:rFonts w:hint="eastAsia" w:ascii="宋体" w:hAnsi="宋体" w:cs="宋体"/>
          <w:bCs/>
          <w:color w:val="auto"/>
          <w:sz w:val="24"/>
          <w:highlight w:val="none"/>
        </w:rPr>
      </w:pPr>
      <w:bookmarkStart w:id="927" w:name="_Toc95223491"/>
      <w:r>
        <w:rPr>
          <w:rFonts w:hint="eastAsia" w:ascii="宋体" w:hAnsi="宋体" w:cs="宋体"/>
          <w:bCs/>
          <w:color w:val="auto"/>
          <w:sz w:val="24"/>
          <w:highlight w:val="none"/>
        </w:rPr>
        <w:t>附</w:t>
      </w:r>
      <w:bookmarkStart w:id="928" w:name="_Toc267261698"/>
      <w:bookmarkStart w:id="929" w:name="_Toc296347226"/>
      <w:bookmarkStart w:id="930" w:name="_Toc296891055"/>
      <w:bookmarkStart w:id="931" w:name="_Toc296944566"/>
      <w:bookmarkStart w:id="932" w:name="_Toc296503227"/>
      <w:bookmarkStart w:id="933" w:name="_Toc296891267"/>
      <w:bookmarkStart w:id="934" w:name="_Toc296346728"/>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27"/>
    </w:p>
    <w:bookmarkEnd w:id="928"/>
    <w:bookmarkEnd w:id="929"/>
    <w:bookmarkEnd w:id="930"/>
    <w:bookmarkEnd w:id="931"/>
    <w:bookmarkEnd w:id="932"/>
    <w:bookmarkEnd w:id="933"/>
    <w:bookmarkEnd w:id="934"/>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bookmarkStart w:id="935" w:name="_Toc95223492"/>
      <w:r>
        <w:rPr>
          <w:rFonts w:hint="eastAsia" w:ascii="宋体" w:hAnsi="宋体" w:cs="宋体"/>
          <w:bCs/>
          <w:color w:val="auto"/>
          <w:sz w:val="24"/>
          <w:highlight w:val="none"/>
        </w:rPr>
        <w:t>附</w:t>
      </w:r>
      <w:bookmarkStart w:id="936" w:name="_Toc296346729"/>
      <w:bookmarkStart w:id="937" w:name="_Toc296944567"/>
      <w:bookmarkStart w:id="938" w:name="_Toc296891268"/>
      <w:bookmarkStart w:id="939" w:name="_Toc296503228"/>
      <w:bookmarkStart w:id="940" w:name="_Toc267261699"/>
      <w:bookmarkStart w:id="941" w:name="_Toc296891056"/>
      <w:bookmarkStart w:id="942" w:name="_Toc296347227"/>
      <w:r>
        <w:rPr>
          <w:rFonts w:hint="eastAsia" w:ascii="宋体" w:hAnsi="宋体" w:cs="宋体"/>
          <w:bCs/>
          <w:color w:val="auto"/>
          <w:sz w:val="24"/>
          <w:highlight w:val="none"/>
        </w:rPr>
        <w:t>件</w:t>
      </w:r>
      <w:bookmarkEnd w:id="936"/>
      <w:bookmarkEnd w:id="937"/>
      <w:bookmarkEnd w:id="938"/>
      <w:bookmarkEnd w:id="939"/>
      <w:bookmarkEnd w:id="940"/>
      <w:bookmarkEnd w:id="941"/>
      <w:bookmarkEnd w:id="942"/>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5"/>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pPr>
        <w:pStyle w:val="43"/>
        <w:spacing w:beforeLines="50" w:afterLines="50" w:line="440" w:lineRule="exact"/>
        <w:rPr>
          <w:rFonts w:hint="eastAsia"/>
          <w:bCs/>
          <w:color w:val="auto"/>
          <w:szCs w:val="32"/>
          <w:highlight w:val="none"/>
        </w:rPr>
      </w:pPr>
    </w:p>
    <w:p>
      <w:pPr>
        <w:rPr>
          <w:rFonts w:hint="eastAsia" w:ascii="宋体" w:hAnsi="宋体" w:cs="宋体"/>
          <w:bCs/>
          <w:color w:val="auto"/>
          <w:sz w:val="24"/>
          <w:highlight w:val="none"/>
        </w:rPr>
      </w:pPr>
      <w:bookmarkStart w:id="943" w:name="_Toc7655"/>
      <w:bookmarkStart w:id="944" w:name="_Toc95223495"/>
      <w:bookmarkStart w:id="945" w:name="_Toc25726"/>
      <w:r>
        <w:rPr>
          <w:rFonts w:hint="eastAsia" w:ascii="宋体" w:hAnsi="宋体" w:cs="宋体"/>
          <w:bCs/>
          <w:color w:val="auto"/>
          <w:sz w:val="24"/>
          <w:highlight w:val="none"/>
        </w:rPr>
        <w:br w:type="page"/>
      </w:r>
    </w:p>
    <w:p>
      <w:pPr>
        <w:keepNext/>
        <w:keepLines/>
        <w:spacing w:before="120" w:after="120" w:line="360" w:lineRule="auto"/>
        <w:jc w:val="left"/>
        <w:outlineLvl w:val="0"/>
        <w:rPr>
          <w:rFonts w:hint="eastAsia" w:ascii="宋体" w:hAnsi="宋体" w:cs="宋体"/>
          <w:bCs/>
          <w:color w:val="auto"/>
          <w:sz w:val="24"/>
          <w:highlight w:val="none"/>
        </w:rPr>
      </w:pPr>
      <w:bookmarkStart w:id="946" w:name="_Toc9955"/>
      <w:bookmarkStart w:id="947" w:name="_Toc3028"/>
      <w:r>
        <w:rPr>
          <w:rFonts w:hint="eastAsia" w:ascii="宋体" w:hAnsi="宋体" w:cs="宋体"/>
          <w:bCs/>
          <w:color w:val="auto"/>
          <w:sz w:val="24"/>
          <w:highlight w:val="none"/>
        </w:rPr>
        <w:t>附</w:t>
      </w:r>
      <w:bookmarkStart w:id="948" w:name="_Toc296891271"/>
      <w:bookmarkStart w:id="949" w:name="_Toc296891059"/>
      <w:bookmarkStart w:id="950" w:name="_Toc296346732"/>
      <w:bookmarkStart w:id="951" w:name="_Toc296347230"/>
      <w:bookmarkStart w:id="952" w:name="_Toc296944570"/>
      <w:bookmarkStart w:id="953" w:name="_Toc296503231"/>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3"/>
      <w:bookmarkEnd w:id="944"/>
      <w:bookmarkEnd w:id="945"/>
      <w:bookmarkEnd w:id="946"/>
      <w:bookmarkEnd w:id="947"/>
    </w:p>
    <w:bookmarkEnd w:id="948"/>
    <w:bookmarkEnd w:id="949"/>
    <w:bookmarkEnd w:id="950"/>
    <w:bookmarkEnd w:id="951"/>
    <w:bookmarkEnd w:id="952"/>
    <w:bookmarkEnd w:id="953"/>
    <w:p>
      <w:pPr>
        <w:widowControl/>
        <w:spacing w:line="360" w:lineRule="auto"/>
        <w:ind w:firstLine="643"/>
        <w:jc w:val="center"/>
        <w:outlineLvl w:val="0"/>
        <w:rPr>
          <w:rFonts w:hint="eastAsia" w:ascii="宋体" w:hAnsi="宋体" w:cs="宋体"/>
          <w:b/>
          <w:bCs/>
          <w:color w:val="auto"/>
          <w:kern w:val="0"/>
          <w:sz w:val="32"/>
          <w:szCs w:val="32"/>
          <w:highlight w:val="none"/>
        </w:rPr>
      </w:pPr>
      <w:bookmarkStart w:id="954" w:name="_Toc26092"/>
      <w:bookmarkStart w:id="955" w:name="_Toc7607"/>
      <w:bookmarkStart w:id="956" w:name="_Toc26094"/>
      <w:bookmarkStart w:id="957" w:name="_Toc95223496"/>
      <w:bookmarkStart w:id="958" w:name="_Toc9808"/>
      <w:r>
        <w:rPr>
          <w:rFonts w:hint="eastAsia" w:ascii="宋体" w:hAnsi="宋体" w:cs="宋体"/>
          <w:b/>
          <w:bCs/>
          <w:color w:val="auto"/>
          <w:kern w:val="0"/>
          <w:sz w:val="32"/>
          <w:szCs w:val="32"/>
          <w:highlight w:val="none"/>
        </w:rPr>
        <w:t>廉 政 协 议</w:t>
      </w:r>
      <w:bookmarkEnd w:id="954"/>
      <w:bookmarkEnd w:id="955"/>
      <w:bookmarkEnd w:id="956"/>
      <w:bookmarkEnd w:id="957"/>
      <w:bookmarkEnd w:id="958"/>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9" w:name="_Toc10794"/>
      <w:bookmarkStart w:id="960" w:name="_Toc23614"/>
      <w:bookmarkStart w:id="961" w:name="_Toc9888"/>
      <w:bookmarkStart w:id="962" w:name="_Toc21306"/>
      <w:bookmarkStart w:id="963" w:name="_Toc95223497"/>
      <w:r>
        <w:rPr>
          <w:rFonts w:hint="eastAsia" w:ascii="宋体" w:hAnsi="宋体" w:cs="宋体"/>
          <w:color w:val="auto"/>
          <w:kern w:val="0"/>
          <w:szCs w:val="21"/>
          <w:highlight w:val="none"/>
        </w:rPr>
        <w:t>第一条 甲乙双方的权利和义务</w:t>
      </w:r>
      <w:bookmarkEnd w:id="959"/>
      <w:bookmarkEnd w:id="960"/>
      <w:bookmarkEnd w:id="961"/>
      <w:bookmarkEnd w:id="962"/>
      <w:bookmarkEnd w:id="96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64" w:name="_Toc95223498"/>
      <w:bookmarkStart w:id="965" w:name="_Toc20007"/>
      <w:bookmarkStart w:id="966" w:name="_Toc1917"/>
      <w:bookmarkStart w:id="967" w:name="_Toc27534"/>
      <w:bookmarkStart w:id="968" w:name="_Toc3866"/>
      <w:r>
        <w:rPr>
          <w:rFonts w:hint="eastAsia" w:ascii="宋体" w:hAnsi="宋体" w:cs="宋体"/>
          <w:color w:val="auto"/>
          <w:kern w:val="0"/>
          <w:szCs w:val="21"/>
          <w:highlight w:val="none"/>
        </w:rPr>
        <w:t>第二条 甲方的义务</w:t>
      </w:r>
      <w:bookmarkEnd w:id="964"/>
      <w:bookmarkEnd w:id="965"/>
      <w:bookmarkEnd w:id="966"/>
      <w:bookmarkEnd w:id="967"/>
      <w:bookmarkEnd w:id="968"/>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69" w:name="_Toc20831"/>
      <w:bookmarkStart w:id="970" w:name="_Toc10556"/>
      <w:bookmarkStart w:id="971" w:name="_Toc95223499"/>
      <w:bookmarkStart w:id="972" w:name="_Toc11255"/>
      <w:bookmarkStart w:id="973" w:name="_Toc27727"/>
      <w:r>
        <w:rPr>
          <w:rFonts w:hint="eastAsia" w:ascii="宋体" w:hAnsi="宋体" w:cs="宋体"/>
          <w:color w:val="auto"/>
          <w:kern w:val="0"/>
          <w:szCs w:val="21"/>
          <w:highlight w:val="none"/>
        </w:rPr>
        <w:t>第三条 乙方的义务</w:t>
      </w:r>
      <w:bookmarkEnd w:id="969"/>
      <w:bookmarkEnd w:id="970"/>
      <w:bookmarkEnd w:id="971"/>
      <w:bookmarkEnd w:id="972"/>
      <w:bookmarkEnd w:id="973"/>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74" w:name="_Toc14507"/>
      <w:bookmarkStart w:id="975" w:name="_Toc2198"/>
      <w:bookmarkStart w:id="976" w:name="_Toc7904"/>
      <w:bookmarkStart w:id="977" w:name="_Toc95223500"/>
      <w:bookmarkStart w:id="978" w:name="_Toc4145"/>
      <w:r>
        <w:rPr>
          <w:rFonts w:hint="eastAsia" w:ascii="宋体" w:hAnsi="宋体" w:cs="宋体"/>
          <w:color w:val="auto"/>
          <w:kern w:val="0"/>
          <w:szCs w:val="21"/>
          <w:highlight w:val="none"/>
        </w:rPr>
        <w:t>第四条 违约责任</w:t>
      </w:r>
      <w:bookmarkEnd w:id="974"/>
      <w:bookmarkEnd w:id="975"/>
      <w:bookmarkEnd w:id="976"/>
      <w:bookmarkEnd w:id="977"/>
      <w:bookmarkEnd w:id="978"/>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79" w:name="_Toc95223501"/>
      <w:bookmarkStart w:id="980" w:name="_Toc10228"/>
      <w:bookmarkStart w:id="981" w:name="_Toc6544"/>
      <w:bookmarkStart w:id="982" w:name="_Toc2334"/>
      <w:bookmarkStart w:id="983" w:name="_Toc26114"/>
      <w:r>
        <w:rPr>
          <w:rFonts w:hint="eastAsia" w:ascii="宋体" w:hAnsi="宋体" w:cs="宋体"/>
          <w:color w:val="auto"/>
          <w:kern w:val="0"/>
          <w:szCs w:val="21"/>
          <w:highlight w:val="none"/>
        </w:rPr>
        <w:t>第五条 双方约定</w:t>
      </w:r>
      <w:bookmarkEnd w:id="979"/>
      <w:bookmarkEnd w:id="980"/>
      <w:bookmarkEnd w:id="981"/>
      <w:bookmarkEnd w:id="982"/>
      <w:bookmarkEnd w:id="98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84" w:name="_Toc32140"/>
      <w:bookmarkStart w:id="985" w:name="_Toc95223502"/>
      <w:bookmarkStart w:id="986" w:name="_Toc8779"/>
      <w:bookmarkStart w:id="987" w:name="_Toc10240"/>
      <w:bookmarkStart w:id="988" w:name="_Toc17717"/>
      <w:r>
        <w:rPr>
          <w:rFonts w:hint="eastAsia" w:ascii="宋体" w:hAnsi="宋体" w:cs="宋体"/>
          <w:color w:val="auto"/>
          <w:kern w:val="0"/>
          <w:szCs w:val="21"/>
          <w:highlight w:val="none"/>
        </w:rPr>
        <w:t>第六条  本协议有效期为甲乙双方签署之日起至合同终止。</w:t>
      </w:r>
      <w:bookmarkEnd w:id="984"/>
      <w:bookmarkEnd w:id="985"/>
      <w:bookmarkEnd w:id="986"/>
      <w:bookmarkEnd w:id="987"/>
      <w:bookmarkEnd w:id="988"/>
      <w:r>
        <w:rPr>
          <w:rFonts w:hint="eastAsia" w:ascii="宋体" w:hAnsi="宋体" w:cs="宋体"/>
          <w:color w:val="auto"/>
          <w:kern w:val="0"/>
          <w:szCs w:val="21"/>
          <w:highlight w:val="none"/>
        </w:rPr>
        <w:t xml:space="preserve">  </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89" w:name="_Toc24032"/>
      <w:bookmarkStart w:id="990" w:name="_Toc1871"/>
      <w:bookmarkStart w:id="991" w:name="_Toc95223503"/>
      <w:bookmarkStart w:id="992" w:name="_Toc28117"/>
      <w:bookmarkStart w:id="993" w:name="_Toc22264"/>
      <w:r>
        <w:rPr>
          <w:rFonts w:hint="eastAsia" w:ascii="宋体" w:hAnsi="宋体" w:cs="宋体"/>
          <w:color w:val="auto"/>
          <w:kern w:val="0"/>
          <w:szCs w:val="21"/>
          <w:highlight w:val="none"/>
        </w:rPr>
        <w:t>第七条  本协议作为合同的附件，与本合同具有同等法律效力。</w:t>
      </w:r>
      <w:bookmarkEnd w:id="989"/>
      <w:bookmarkEnd w:id="990"/>
      <w:bookmarkEnd w:id="991"/>
      <w:bookmarkEnd w:id="992"/>
      <w:bookmarkEnd w:id="99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94"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94"/>
    </w:p>
    <w:p>
      <w:pPr>
        <w:adjustRightInd w:val="0"/>
        <w:snapToGrid w:val="0"/>
        <w:spacing w:line="360" w:lineRule="auto"/>
        <w:jc w:val="center"/>
        <w:outlineLvl w:val="0"/>
        <w:rPr>
          <w:rFonts w:hint="eastAsia" w:ascii="宋体" w:hAnsi="宋体" w:cs="宋体"/>
          <w:b/>
          <w:bCs/>
          <w:color w:val="auto"/>
          <w:sz w:val="32"/>
          <w:szCs w:val="32"/>
          <w:highlight w:val="none"/>
        </w:rPr>
      </w:pPr>
      <w:bookmarkStart w:id="995" w:name="_Toc25855"/>
      <w:bookmarkStart w:id="996" w:name="_Toc8655"/>
      <w:bookmarkStart w:id="997" w:name="_Toc95223505"/>
      <w:bookmarkStart w:id="998" w:name="_Toc28010"/>
      <w:bookmarkStart w:id="999" w:name="_Toc10681"/>
      <w:r>
        <w:rPr>
          <w:rFonts w:hint="eastAsia" w:ascii="宋体" w:hAnsi="宋体" w:cs="宋体"/>
          <w:b/>
          <w:bCs/>
          <w:color w:val="auto"/>
          <w:sz w:val="32"/>
          <w:szCs w:val="32"/>
          <w:highlight w:val="none"/>
        </w:rPr>
        <w:t>履约保函示范文本</w:t>
      </w:r>
      <w:bookmarkEnd w:id="995"/>
      <w:bookmarkEnd w:id="996"/>
      <w:bookmarkEnd w:id="997"/>
      <w:bookmarkEnd w:id="998"/>
      <w:bookmarkEnd w:id="999"/>
    </w:p>
    <w:p>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pPr>
        <w:adjustRightInd w:val="0"/>
        <w:snapToGrid w:val="0"/>
        <w:spacing w:line="360" w:lineRule="auto"/>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pPr>
        <w:adjustRightInd w:val="0"/>
        <w:snapToGrid w:val="0"/>
        <w:spacing w:line="360" w:lineRule="auto"/>
        <w:ind w:firstLine="480"/>
        <w:rPr>
          <w:rFonts w:hint="eastAsia" w:ascii="宋体" w:hAnsi="宋体" w:cs="宋体"/>
          <w:color w:val="auto"/>
          <w:szCs w:val="21"/>
          <w:highlight w:val="none"/>
        </w:rPr>
      </w:pPr>
      <w:bookmarkStart w:id="1000"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000"/>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001" w:name="_Hlk40303486"/>
      <w:r>
        <w:rPr>
          <w:rFonts w:hint="eastAsia" w:ascii="宋体" w:hAnsi="宋体" w:cs="宋体"/>
          <w:color w:val="auto"/>
          <w:szCs w:val="21"/>
          <w:highlight w:val="none"/>
        </w:rPr>
        <w:t>受益人发出的书面付款通知应由其法定代表人（负责人）或授权代理人签字并加盖公章。</w:t>
      </w:r>
      <w:bookmarkEnd w:id="1001"/>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pPr>
        <w:adjustRightInd w:val="0"/>
        <w:snapToGrid w:val="0"/>
        <w:spacing w:line="360" w:lineRule="auto"/>
        <w:ind w:firstLine="420" w:firstLineChars="200"/>
        <w:rPr>
          <w:rFonts w:hint="eastAsia" w:ascii="宋体" w:hAnsi="宋体" w:cs="宋体"/>
          <w:color w:val="auto"/>
          <w:szCs w:val="21"/>
          <w:highlight w:val="none"/>
        </w:rPr>
      </w:pPr>
      <w:bookmarkStart w:id="1002" w:name="_Hlk40303383"/>
      <w:bookmarkStart w:id="1003" w:name="_Hlk40354981"/>
      <w:r>
        <w:rPr>
          <w:rFonts w:hint="eastAsia" w:ascii="宋体" w:hAnsi="宋体" w:cs="宋体"/>
          <w:color w:val="auto"/>
          <w:szCs w:val="21"/>
          <w:highlight w:val="none"/>
        </w:rPr>
        <w:t xml:space="preserve">七、本保函项下的义务和责任均在保函有效期到期后自动消灭。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002"/>
      <w:r>
        <w:rPr>
          <w:rFonts w:hint="eastAsia" w:ascii="宋体" w:hAnsi="宋体" w:cs="宋体"/>
          <w:color w:val="auto"/>
          <w:szCs w:val="21"/>
          <w:highlight w:val="none"/>
        </w:rPr>
        <w:t xml:space="preserve">由受益人所在地人民法院管辖。 </w:t>
      </w:r>
    </w:p>
    <w:bookmarkEnd w:id="1003"/>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bCs/>
          <w:color w:val="auto"/>
          <w:sz w:val="24"/>
          <w:highlight w:val="none"/>
        </w:rPr>
      </w:pPr>
      <w:bookmarkStart w:id="1004" w:name="_Toc95223510"/>
      <w:r>
        <w:rPr>
          <w:rFonts w:hint="eastAsia" w:ascii="宋体" w:hAnsi="宋体" w:cs="宋体"/>
          <w:bCs/>
          <w:color w:val="auto"/>
          <w:sz w:val="24"/>
          <w:highlight w:val="none"/>
        </w:rPr>
        <w:br w:type="page"/>
      </w:r>
    </w:p>
    <w:p>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04"/>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pPr>
        <w:spacing w:before="120" w:beforeLines="50" w:after="120" w:afterLines="50"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pPr>
        <w:spacing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rPr>
          <w:rFonts w:hint="eastAsia" w:ascii="宋体" w:hAnsi="宋体" w:cs="宋体"/>
          <w:color w:val="auto"/>
          <w:szCs w:val="22"/>
          <w:highlight w:val="none"/>
        </w:rPr>
      </w:pPr>
    </w:p>
    <w:p>
      <w:pPr>
        <w:rPr>
          <w:rFonts w:hint="eastAsia" w:ascii="宋体" w:hAnsi="宋体" w:cs="宋体"/>
          <w:color w:val="auto"/>
          <w:szCs w:val="22"/>
          <w:highlight w:val="none"/>
        </w:rPr>
      </w:pPr>
    </w:p>
    <w:p>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pPr>
        <w:keepNext/>
        <w:keepLines/>
        <w:spacing w:before="120" w:after="120" w:line="360" w:lineRule="auto"/>
        <w:jc w:val="left"/>
        <w:outlineLvl w:val="2"/>
        <w:rPr>
          <w:rFonts w:hint="eastAsia" w:ascii="宋体" w:hAnsi="宋体" w:cs="宋体"/>
          <w:bCs/>
          <w:color w:val="auto"/>
          <w:sz w:val="24"/>
          <w:highlight w:val="none"/>
        </w:rPr>
      </w:pPr>
      <w:bookmarkStart w:id="1005"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05"/>
    </w:p>
    <w:p>
      <w:pPr>
        <w:adjustRightInd w:val="0"/>
        <w:snapToGrid w:val="0"/>
        <w:spacing w:line="360" w:lineRule="auto"/>
        <w:jc w:val="center"/>
        <w:outlineLvl w:val="0"/>
        <w:rPr>
          <w:rFonts w:hint="eastAsia" w:ascii="宋体" w:hAnsi="宋体" w:cs="宋体"/>
          <w:b/>
          <w:color w:val="auto"/>
          <w:sz w:val="32"/>
          <w:szCs w:val="32"/>
          <w:highlight w:val="none"/>
        </w:rPr>
      </w:pPr>
      <w:bookmarkStart w:id="1006" w:name="_Toc26993"/>
      <w:bookmarkStart w:id="1007" w:name="_Toc16956"/>
      <w:bookmarkStart w:id="1008" w:name="_Toc31602"/>
      <w:bookmarkStart w:id="1009" w:name="_Toc32439"/>
      <w:bookmarkStart w:id="1010" w:name="_Toc95223512"/>
      <w:r>
        <w:rPr>
          <w:rFonts w:hint="eastAsia" w:ascii="宋体" w:hAnsi="宋体" w:cs="宋体"/>
          <w:b/>
          <w:color w:val="auto"/>
          <w:sz w:val="32"/>
          <w:szCs w:val="32"/>
          <w:highlight w:val="none"/>
        </w:rPr>
        <w:t>安全生产合同</w:t>
      </w:r>
      <w:bookmarkEnd w:id="1006"/>
      <w:bookmarkEnd w:id="1007"/>
      <w:bookmarkEnd w:id="1008"/>
      <w:bookmarkEnd w:id="1009"/>
      <w:bookmarkEnd w:id="1010"/>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rPr>
          <w:rFonts w:hint="eastAsia" w:ascii="宋体" w:hAnsi="宋体" w:cs="宋体"/>
          <w:color w:val="auto"/>
          <w:szCs w:val="21"/>
          <w:highlight w:val="none"/>
        </w:rPr>
      </w:pPr>
    </w:p>
    <w:p>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11"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11"/>
    </w:p>
    <w:p>
      <w:pPr>
        <w:keepNext/>
        <w:keepLines/>
        <w:spacing w:before="120" w:after="120" w:line="360" w:lineRule="auto"/>
        <w:jc w:val="left"/>
        <w:outlineLvl w:val="2"/>
        <w:rPr>
          <w:rFonts w:hint="eastAsia" w:ascii="宋体" w:hAnsi="宋体" w:cs="宋体"/>
          <w:bCs/>
          <w:color w:val="auto"/>
          <w:sz w:val="24"/>
          <w:highlight w:val="none"/>
        </w:rPr>
      </w:pPr>
    </w:p>
    <w:p>
      <w:pPr>
        <w:adjustRightInd w:val="0"/>
        <w:snapToGrid w:val="0"/>
        <w:spacing w:line="360" w:lineRule="auto"/>
        <w:jc w:val="center"/>
        <w:outlineLvl w:val="0"/>
        <w:rPr>
          <w:rFonts w:hint="eastAsia" w:ascii="宋体" w:hAnsi="宋体" w:cs="宋体"/>
          <w:b/>
          <w:color w:val="auto"/>
          <w:sz w:val="32"/>
          <w:szCs w:val="32"/>
          <w:highlight w:val="none"/>
        </w:rPr>
      </w:pPr>
      <w:bookmarkStart w:id="1012" w:name="_Toc20282"/>
      <w:bookmarkStart w:id="1013" w:name="_Toc19059"/>
      <w:bookmarkStart w:id="1014" w:name="_Toc31476"/>
      <w:bookmarkStart w:id="1015" w:name="_Toc95223514"/>
      <w:bookmarkStart w:id="1016" w:name="_Toc4934"/>
      <w:r>
        <w:rPr>
          <w:rFonts w:hint="eastAsia" w:ascii="宋体" w:hAnsi="宋体" w:cs="宋体"/>
          <w:b/>
          <w:color w:val="auto"/>
          <w:sz w:val="32"/>
          <w:szCs w:val="32"/>
          <w:highlight w:val="none"/>
        </w:rPr>
        <w:t>项目经理质量终身责任制承诺</w:t>
      </w:r>
      <w:bookmarkEnd w:id="1012"/>
      <w:bookmarkEnd w:id="1013"/>
      <w:bookmarkEnd w:id="1014"/>
      <w:bookmarkEnd w:id="1015"/>
      <w:bookmarkEnd w:id="1016"/>
    </w:p>
    <w:p>
      <w:pPr>
        <w:adjustRightInd w:val="0"/>
        <w:snapToGrid w:val="0"/>
        <w:spacing w:line="360" w:lineRule="auto"/>
        <w:jc w:val="center"/>
        <w:outlineLvl w:val="0"/>
        <w:rPr>
          <w:rFonts w:hint="eastAsia" w:ascii="宋体" w:hAnsi="宋体" w:cs="宋体"/>
          <w:b/>
          <w:color w:val="auto"/>
          <w:sz w:val="32"/>
          <w:szCs w:val="32"/>
          <w:highlight w:val="none"/>
        </w:rPr>
      </w:pPr>
    </w:p>
    <w:p>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pPr>
        <w:pStyle w:val="14"/>
        <w:rPr>
          <w:rFonts w:hint="eastAsia"/>
          <w:color w:val="auto"/>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pStyle w:val="43"/>
        <w:numPr>
          <w:ilvl w:val="0"/>
          <w:numId w:val="7"/>
        </w:numPr>
        <w:spacing w:beforeLines="50" w:afterLines="50" w:line="440" w:lineRule="exact"/>
        <w:rPr>
          <w:rFonts w:hint="eastAsia" w:eastAsia="宋体" w:cs="Times New Roman"/>
          <w:bCs/>
          <w:color w:val="auto"/>
          <w:szCs w:val="32"/>
          <w:highlight w:val="none"/>
        </w:rPr>
      </w:pPr>
      <w:bookmarkStart w:id="1017" w:name="_Toc95223515"/>
      <w:bookmarkStart w:id="1018" w:name="_Toc4767"/>
      <w:r>
        <w:rPr>
          <w:rFonts w:hint="eastAsia" w:eastAsia="宋体" w:cs="Times New Roman"/>
          <w:bCs/>
          <w:color w:val="auto"/>
          <w:szCs w:val="32"/>
          <w:highlight w:val="none"/>
        </w:rPr>
        <w:t xml:space="preserve"> </w:t>
      </w:r>
      <w:bookmarkStart w:id="1019" w:name="_Toc10898"/>
      <w:bookmarkStart w:id="1020" w:name="_Toc3388"/>
      <w:r>
        <w:rPr>
          <w:rFonts w:hint="eastAsia" w:eastAsia="宋体" w:cs="Times New Roman"/>
          <w:bCs/>
          <w:color w:val="auto"/>
          <w:szCs w:val="32"/>
          <w:highlight w:val="none"/>
        </w:rPr>
        <w:t>工程量清单</w:t>
      </w:r>
      <w:bookmarkEnd w:id="1017"/>
      <w:bookmarkEnd w:id="1018"/>
      <w:bookmarkEnd w:id="1019"/>
      <w:bookmarkEnd w:id="1020"/>
    </w:p>
    <w:tbl>
      <w:tblPr>
        <w:tblStyle w:val="46"/>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350"/>
        <w:gridCol w:w="3960"/>
        <w:gridCol w:w="735"/>
        <w:gridCol w:w="930"/>
        <w:gridCol w:w="1579"/>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序号</w:t>
            </w:r>
          </w:p>
        </w:tc>
        <w:tc>
          <w:tcPr>
            <w:tcW w:w="13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分项名称</w:t>
            </w:r>
          </w:p>
        </w:tc>
        <w:tc>
          <w:tcPr>
            <w:tcW w:w="3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rPr>
              <w:t>项目特征描述</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单位</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数量</w:t>
            </w: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cs="宋体"/>
                <w:b w:val="0"/>
                <w:bCs w:val="0"/>
                <w:spacing w:val="-12"/>
                <w:kern w:val="2"/>
                <w:sz w:val="24"/>
                <w:szCs w:val="24"/>
                <w:highlight w:val="none"/>
                <w:lang w:val="en-US" w:eastAsia="zh-CN" w:bidi="ar"/>
              </w:rPr>
              <w:t>全费用</w:t>
            </w:r>
            <w:r>
              <w:rPr>
                <w:rFonts w:hint="eastAsia" w:ascii="宋体" w:hAnsi="宋体" w:eastAsia="宋体" w:cs="宋体"/>
                <w:b w:val="0"/>
                <w:bCs w:val="0"/>
                <w:spacing w:val="-12"/>
                <w:kern w:val="2"/>
                <w:sz w:val="24"/>
                <w:szCs w:val="24"/>
                <w:highlight w:val="none"/>
                <w:lang w:val="en-US" w:eastAsia="zh-CN" w:bidi="ar"/>
              </w:rPr>
              <w:t>综合单价最高限价（</w:t>
            </w:r>
            <w:r>
              <w:rPr>
                <w:rFonts w:hint="eastAsia" w:ascii="宋体" w:hAnsi="宋体" w:eastAsia="宋体" w:cs="宋体"/>
                <w:b w:val="0"/>
                <w:bCs w:val="0"/>
                <w:kern w:val="2"/>
                <w:sz w:val="24"/>
                <w:szCs w:val="24"/>
                <w:highlight w:val="none"/>
                <w:lang w:val="en-US" w:eastAsia="zh-CN"/>
              </w:rPr>
              <w:t>元/m</w:t>
            </w:r>
            <w:r>
              <w:rPr>
                <w:rFonts w:hint="eastAsia" w:ascii="宋体" w:hAnsi="宋体" w:eastAsia="宋体" w:cs="宋体"/>
                <w:b w:val="0"/>
                <w:bCs w:val="0"/>
                <w:spacing w:val="-12"/>
                <w:kern w:val="2"/>
                <w:sz w:val="24"/>
                <w:szCs w:val="24"/>
                <w:highlight w:val="none"/>
                <w:lang w:val="en-US" w:eastAsia="zh-CN" w:bidi="ar"/>
              </w:rPr>
              <w:t>）</w:t>
            </w:r>
          </w:p>
        </w:tc>
        <w:tc>
          <w:tcPr>
            <w:tcW w:w="7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1</w:t>
            </w:r>
          </w:p>
        </w:tc>
        <w:tc>
          <w:tcPr>
            <w:tcW w:w="13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rPr>
              <w:t>排水沟</w:t>
            </w:r>
          </w:p>
        </w:tc>
        <w:tc>
          <w:tcPr>
            <w:tcW w:w="39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1、15cm厚碎石垫层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2、C25混凝土排水沟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3、水沟每隔 10～15 米设一道伸缩缝，缝宽 2 厘米，内填浸沥青麻绳（木板)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4、结合实际地形放线施工，具体布设可根据现场实际地形坡度进行适当调整以利于排导水流；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5、备注：包含挖填土、运土、排水沟内侧抹灰、沟内侧内村防水铁丝网。</w:t>
            </w:r>
          </w:p>
          <w:p>
            <w:pPr>
              <w:pStyle w:val="2"/>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具体详见设计图纸。</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eastAsia="zh-CN"/>
              </w:rPr>
            </w:pPr>
            <w:r>
              <w:rPr>
                <w:rFonts w:hint="eastAsia" w:ascii="新宋体" w:hAnsi="新宋体" w:eastAsia="新宋体" w:cs="新宋体"/>
                <w:b w:val="0"/>
                <w:bCs w:val="0"/>
                <w:kern w:val="2"/>
                <w:sz w:val="24"/>
                <w:szCs w:val="24"/>
                <w:highlight w:val="none"/>
                <w:lang w:val="en-US" w:eastAsia="zh-CN"/>
              </w:rPr>
              <w:t>m</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4"/>
                <w:szCs w:val="24"/>
                <w:highlight w:val="none"/>
                <w:lang w:val="en-US" w:eastAsia="zh-CN"/>
              </w:rPr>
            </w:pPr>
            <w:r>
              <w:rPr>
                <w:rFonts w:hint="eastAsia" w:ascii="新宋体" w:hAnsi="新宋体" w:eastAsia="新宋体" w:cs="新宋体"/>
                <w:b w:val="0"/>
                <w:bCs w:val="0"/>
                <w:kern w:val="2"/>
                <w:sz w:val="24"/>
                <w:szCs w:val="24"/>
                <w:highlight w:val="none"/>
                <w:lang w:val="en-US" w:eastAsia="zh-CN"/>
              </w:rPr>
              <w:t>800</w:t>
            </w: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4"/>
                <w:szCs w:val="24"/>
                <w:highlight w:val="none"/>
                <w:lang w:val="en-US" w:eastAsia="zh-CN"/>
              </w:rPr>
            </w:pPr>
            <w:r>
              <w:rPr>
                <w:rFonts w:hint="eastAsia" w:ascii="新宋体" w:hAnsi="新宋体" w:eastAsia="新宋体" w:cs="新宋体"/>
                <w:b w:val="0"/>
                <w:bCs w:val="0"/>
                <w:kern w:val="2"/>
                <w:sz w:val="24"/>
                <w:szCs w:val="24"/>
                <w:highlight w:val="none"/>
                <w:lang w:val="en-US" w:eastAsia="zh-CN"/>
              </w:rPr>
              <w:t>505.21</w:t>
            </w:r>
          </w:p>
        </w:tc>
        <w:tc>
          <w:tcPr>
            <w:tcW w:w="7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2</w:t>
            </w:r>
          </w:p>
        </w:tc>
        <w:tc>
          <w:tcPr>
            <w:tcW w:w="13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rPr>
              <w:t>巡查步道</w:t>
            </w:r>
          </w:p>
        </w:tc>
        <w:tc>
          <w:tcPr>
            <w:tcW w:w="3960" w:type="dxa"/>
            <w:tcBorders>
              <w:top w:val="single" w:color="auto" w:sz="4" w:space="0"/>
              <w:left w:val="nil"/>
              <w:bottom w:val="single" w:color="auto" w:sz="4" w:space="0"/>
              <w:right w:val="single" w:color="auto" w:sz="4" w:space="0"/>
            </w:tcBorders>
            <w:shd w:val="clear" w:color="auto" w:fill="auto"/>
            <w:vAlign w:val="center"/>
          </w:tcPr>
          <w:p>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1、坡面跌水(兼具检查步道功能)设置在边坡中部,开口宽度为0.5rn,跌水路步宽254~480rnn不等(具体根据实际地形调整)跌水曝步高为120mn,采用C25素砼进行资筑,浇筑前在为内侧内衬防水铁丝网。</w:t>
            </w:r>
          </w:p>
          <w:p>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具体详见设计图纸。</w:t>
            </w:r>
          </w:p>
        </w:tc>
        <w:tc>
          <w:tcPr>
            <w:tcW w:w="7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rPr>
            </w:pPr>
            <w:r>
              <w:rPr>
                <w:rFonts w:hint="eastAsia" w:ascii="新宋体" w:hAnsi="新宋体" w:eastAsia="新宋体" w:cs="新宋体"/>
                <w:b w:val="0"/>
                <w:bCs w:val="0"/>
                <w:kern w:val="2"/>
                <w:sz w:val="24"/>
                <w:szCs w:val="24"/>
                <w:highlight w:val="none"/>
                <w:lang w:val="en-US" w:eastAsia="zh-CN"/>
              </w:rPr>
              <w:t>m</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4"/>
                <w:szCs w:val="24"/>
                <w:highlight w:val="none"/>
                <w:lang w:val="en-US" w:eastAsia="zh-CN"/>
              </w:rPr>
            </w:pPr>
            <w:r>
              <w:rPr>
                <w:rFonts w:hint="eastAsia" w:ascii="新宋体" w:hAnsi="新宋体" w:eastAsia="新宋体" w:cs="新宋体"/>
                <w:b w:val="0"/>
                <w:bCs w:val="0"/>
                <w:kern w:val="2"/>
                <w:sz w:val="24"/>
                <w:szCs w:val="24"/>
                <w:highlight w:val="none"/>
                <w:lang w:val="en-US" w:eastAsia="zh-CN"/>
              </w:rPr>
              <w:t>150</w:t>
            </w:r>
          </w:p>
        </w:tc>
        <w:tc>
          <w:tcPr>
            <w:tcW w:w="15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4"/>
                <w:szCs w:val="24"/>
                <w:highlight w:val="none"/>
                <w:lang w:val="en-US" w:eastAsia="zh-CN"/>
              </w:rPr>
            </w:pPr>
            <w:r>
              <w:rPr>
                <w:rFonts w:hint="eastAsia" w:ascii="新宋体" w:hAnsi="新宋体" w:eastAsia="新宋体" w:cs="新宋体"/>
                <w:b w:val="0"/>
                <w:bCs w:val="0"/>
                <w:kern w:val="2"/>
                <w:sz w:val="24"/>
                <w:szCs w:val="24"/>
                <w:highlight w:val="none"/>
                <w:lang w:val="en-US" w:eastAsia="zh-CN"/>
              </w:rPr>
              <w:t>358.13</w:t>
            </w:r>
          </w:p>
        </w:tc>
        <w:tc>
          <w:tcPr>
            <w:tcW w:w="7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bl>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82" w:firstLineChars="200"/>
        <w:rPr>
          <w:rFonts w:hint="eastAsia" w:ascii="宋体" w:hAnsi="宋体" w:cs="宋体"/>
          <w:b/>
          <w:bCs w:val="0"/>
          <w:color w:val="auto"/>
          <w:sz w:val="24"/>
          <w:szCs w:val="21"/>
          <w:highlight w:val="none"/>
          <w:lang w:val="en-US" w:eastAsia="zh-CN"/>
        </w:rPr>
      </w:pPr>
      <w:r>
        <w:rPr>
          <w:rFonts w:hint="eastAsia" w:ascii="宋体" w:hAnsi="宋体" w:cs="宋体"/>
          <w:b/>
          <w:bCs w:val="0"/>
          <w:color w:val="auto"/>
          <w:sz w:val="24"/>
          <w:szCs w:val="21"/>
          <w:highlight w:val="none"/>
          <w:lang w:val="en-US" w:eastAsia="zh-CN"/>
        </w:rPr>
        <w:t>注：1.本工程清单量为暂定量，按实结算；</w:t>
      </w:r>
    </w:p>
    <w:p>
      <w:pPr>
        <w:adjustRightInd w:val="0"/>
        <w:snapToGrid w:val="0"/>
        <w:spacing w:line="360" w:lineRule="auto"/>
        <w:ind w:firstLine="482" w:firstLineChars="200"/>
        <w:rPr>
          <w:rFonts w:hint="default" w:ascii="宋体" w:hAnsi="宋体" w:cs="宋体"/>
          <w:b/>
          <w:bCs w:val="0"/>
          <w:color w:val="auto"/>
          <w:sz w:val="24"/>
          <w:szCs w:val="21"/>
          <w:highlight w:val="none"/>
          <w:lang w:val="en-US" w:eastAsia="zh-CN"/>
        </w:rPr>
      </w:pPr>
      <w:r>
        <w:rPr>
          <w:rFonts w:hint="eastAsia" w:ascii="宋体" w:hAnsi="宋体" w:cs="宋体"/>
          <w:b/>
          <w:bCs w:val="0"/>
          <w:color w:val="auto"/>
          <w:sz w:val="24"/>
          <w:szCs w:val="21"/>
          <w:highlight w:val="none"/>
          <w:lang w:val="en-US" w:eastAsia="zh-CN"/>
        </w:rPr>
        <w:t>2.投标报价采用全费用综合单价法，全费用综合单价和投标总报价包括：人工费、材料费（含主材及辅材）、施工机械费（含进退场费用）、安装费、运输费、管理费、利润、措施费、规费、保险费、施工环保费、安全生产费、竣工文件费、税金、风险费用、招标代理费、国家对中标单位征收的各种税费及完成本工程招标文件及合同条款内容等所有费用。结算时，全费用综合单价不作任何调整。</w:t>
      </w: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rPr>
          <w:rFonts w:hint="eastAsia" w:eastAsia="宋体" w:cs="Times New Roman"/>
          <w:bCs/>
          <w:color w:val="auto"/>
          <w:szCs w:val="32"/>
          <w:highlight w:val="none"/>
        </w:rPr>
      </w:pPr>
      <w:bookmarkStart w:id="1021" w:name="_Toc20597"/>
      <w:bookmarkStart w:id="1022" w:name="_Toc25013"/>
      <w:r>
        <w:rPr>
          <w:rFonts w:hint="eastAsia" w:eastAsia="宋体" w:cs="Times New Roman"/>
          <w:bCs/>
          <w:color w:val="auto"/>
          <w:szCs w:val="32"/>
          <w:highlight w:val="none"/>
          <w:lang w:val="en-US" w:eastAsia="zh-CN"/>
        </w:rPr>
        <w:br w:type="page"/>
      </w:r>
    </w:p>
    <w:p>
      <w:pPr>
        <w:pStyle w:val="43"/>
        <w:numPr>
          <w:ilvl w:val="0"/>
          <w:numId w:val="7"/>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图纸</w:t>
      </w:r>
      <w:bookmarkEnd w:id="1021"/>
      <w:bookmarkEnd w:id="1022"/>
    </w:p>
    <w:p>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23" w:name="_Toc23816"/>
      <w:bookmarkStart w:id="1024" w:name="_Toc18733"/>
      <w:r>
        <w:rPr>
          <w:rFonts w:hint="eastAsia" w:eastAsia="宋体" w:cs="Times New Roman"/>
          <w:bCs/>
          <w:color w:val="auto"/>
          <w:szCs w:val="32"/>
          <w:highlight w:val="none"/>
          <w:lang w:val="en-US" w:eastAsia="zh-CN"/>
        </w:rPr>
        <w:t>另附</w:t>
      </w:r>
      <w:bookmarkEnd w:id="1023"/>
      <w:bookmarkEnd w:id="1024"/>
    </w:p>
    <w:p>
      <w:pPr>
        <w:pStyle w:val="43"/>
        <w:numPr>
          <w:ilvl w:val="0"/>
          <w:numId w:val="0"/>
        </w:numPr>
        <w:spacing w:beforeLines="50" w:afterLines="50" w:line="440" w:lineRule="exact"/>
        <w:jc w:val="both"/>
        <w:rPr>
          <w:rFonts w:hint="eastAsia" w:eastAsia="宋体" w:cs="Times New Roman"/>
          <w:bCs/>
          <w:color w:val="auto"/>
          <w:szCs w:val="32"/>
          <w:highlight w:val="none"/>
        </w:rPr>
      </w:pPr>
    </w:p>
    <w:p>
      <w:pPr>
        <w:rPr>
          <w:rFonts w:hint="eastAsia"/>
          <w:bCs/>
          <w:color w:val="auto"/>
          <w:szCs w:val="32"/>
          <w:highlight w:val="none"/>
        </w:rPr>
      </w:pPr>
      <w:r>
        <w:rPr>
          <w:rFonts w:hint="eastAsia"/>
          <w:bCs/>
          <w:color w:val="auto"/>
          <w:szCs w:val="32"/>
          <w:highlight w:val="none"/>
        </w:rPr>
        <w:br w:type="page"/>
      </w:r>
    </w:p>
    <w:p>
      <w:pPr>
        <w:pStyle w:val="43"/>
        <w:spacing w:beforeLines="50" w:afterLines="50" w:line="440" w:lineRule="exact"/>
        <w:rPr>
          <w:bCs/>
          <w:color w:val="auto"/>
          <w:szCs w:val="32"/>
          <w:highlight w:val="none"/>
        </w:rPr>
      </w:pPr>
      <w:bookmarkStart w:id="1025" w:name="_Toc8272"/>
      <w:bookmarkStart w:id="1026" w:name="_Toc10062"/>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1025"/>
      <w:bookmarkEnd w:id="1026"/>
    </w:p>
    <w:p>
      <w:pPr>
        <w:rPr>
          <w:color w:val="auto"/>
          <w:highlight w:val="none"/>
        </w:rPr>
      </w:pPr>
    </w:p>
    <w:p>
      <w:pPr>
        <w:rPr>
          <w:color w:val="auto"/>
          <w:highlight w:val="none"/>
        </w:rPr>
      </w:pP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jc w:val="center"/>
        <w:rPr>
          <w:rFonts w:eastAsia="黑体"/>
          <w:color w:val="auto"/>
          <w:sz w:val="20"/>
          <w:szCs w:val="20"/>
          <w:highlight w:val="none"/>
        </w:rPr>
      </w:pP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pPr>
        <w:jc w:val="center"/>
        <w:rPr>
          <w:rFonts w:eastAsia="黑体"/>
          <w:color w:val="auto"/>
          <w:sz w:val="44"/>
          <w:szCs w:val="44"/>
          <w:highlight w:val="none"/>
        </w:rPr>
      </w:pPr>
      <w:r>
        <w:rPr>
          <w:rFonts w:hint="eastAsia" w:eastAsia="黑体"/>
          <w:color w:val="auto"/>
          <w:sz w:val="44"/>
          <w:szCs w:val="44"/>
          <w:highlight w:val="none"/>
        </w:rPr>
        <w:t>（资信证明文件）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420"/>
        <w:rPr>
          <w:rFonts w:ascii="Times New Roman"/>
          <w:color w:val="auto"/>
          <w:szCs w:val="24"/>
          <w:highlight w:val="none"/>
        </w:rPr>
      </w:pPr>
    </w:p>
    <w:p>
      <w:pPr>
        <w:rPr>
          <w:rFonts w:ascii="Times New Roman"/>
          <w:color w:val="auto"/>
          <w:szCs w:val="24"/>
          <w:highlight w:val="none"/>
        </w:rPr>
      </w:pPr>
    </w:p>
    <w:p>
      <w:pPr>
        <w:pStyle w:val="14"/>
        <w:rPr>
          <w:rFonts w:ascii="Times New Roman"/>
          <w:color w:val="auto"/>
          <w:szCs w:val="24"/>
          <w:highlight w:val="none"/>
        </w:rPr>
      </w:pPr>
    </w:p>
    <w:p>
      <w:pPr>
        <w:rPr>
          <w:rFonts w:ascii="Times New Roman"/>
          <w:color w:val="auto"/>
          <w:szCs w:val="24"/>
          <w:highlight w:val="none"/>
        </w:rPr>
      </w:pPr>
    </w:p>
    <w:p>
      <w:pPr>
        <w:pStyle w:val="14"/>
        <w:rPr>
          <w:color w:val="auto"/>
          <w:highlight w:val="none"/>
        </w:rPr>
      </w:pPr>
    </w:p>
    <w:p>
      <w:pPr>
        <w:pStyle w:val="14"/>
        <w:ind w:firstLine="420"/>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bookmarkStart w:id="1027" w:name="_Toc35424971"/>
      <w:bookmarkStart w:id="1028" w:name="_Toc35425137"/>
      <w:bookmarkStart w:id="1029" w:name="_Toc12683"/>
    </w:p>
    <w:p>
      <w:pPr>
        <w:spacing w:beforeLines="50" w:afterLines="50" w:line="440" w:lineRule="exact"/>
        <w:ind w:firstLine="643" w:firstLineChars="200"/>
        <w:jc w:val="left"/>
        <w:rPr>
          <w:rFonts w:ascii="宋体" w:hAnsi="宋体" w:cs="宋体"/>
          <w:b/>
          <w:color w:val="auto"/>
          <w:sz w:val="28"/>
          <w:szCs w:val="28"/>
          <w:highlight w:val="none"/>
        </w:rPr>
      </w:pPr>
      <w:bookmarkStart w:id="1030" w:name="_Toc78803399"/>
      <w:r>
        <w:rPr>
          <w:rStyle w:val="65"/>
          <w:rFonts w:hint="eastAsia" w:ascii="宋体" w:hAnsi="宋体" w:cs="宋体"/>
          <w:color w:val="auto"/>
          <w:sz w:val="32"/>
          <w:highlight w:val="none"/>
        </w:rPr>
        <w:br w:type="page"/>
      </w:r>
      <w:bookmarkStart w:id="1031" w:name="_Toc32179"/>
      <w:bookmarkStart w:id="1032" w:name="_Toc30830"/>
      <w:r>
        <w:rPr>
          <w:rStyle w:val="65"/>
          <w:rFonts w:hint="eastAsia" w:ascii="宋体" w:hAnsi="宋体" w:cs="宋体"/>
          <w:color w:val="auto"/>
          <w:sz w:val="32"/>
          <w:highlight w:val="none"/>
        </w:rPr>
        <w:t>投标文件一</w:t>
      </w:r>
      <w:bookmarkEnd w:id="1027"/>
      <w:bookmarkEnd w:id="1028"/>
      <w:bookmarkEnd w:id="1029"/>
      <w:bookmarkEnd w:id="1030"/>
      <w:bookmarkEnd w:id="1031"/>
      <w:bookmarkEnd w:id="1032"/>
      <w:r>
        <w:rPr>
          <w:rFonts w:hint="eastAsia" w:ascii="宋体" w:hAnsi="宋体" w:cs="宋体"/>
          <w:b/>
          <w:color w:val="auto"/>
          <w:sz w:val="28"/>
          <w:szCs w:val="28"/>
          <w:highlight w:val="none"/>
        </w:rPr>
        <w:t>：资信证明文件目录</w:t>
      </w:r>
    </w:p>
    <w:p>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p>
    <w:p>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33" w:name="_Toc503196197"/>
      <w:bookmarkStart w:id="1034" w:name="_Toc506107356"/>
      <w:bookmarkStart w:id="1035" w:name="_Toc26598"/>
      <w:r>
        <w:rPr>
          <w:rFonts w:hint="eastAsia" w:ascii="宋体"/>
          <w:color w:val="auto"/>
          <w:sz w:val="24"/>
          <w:szCs w:val="24"/>
          <w:highlight w:val="none"/>
        </w:rPr>
        <w:t>1、法定代表人身份证明</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pPr>
        <w:rPr>
          <w:rFonts w:hint="eastAsia"/>
          <w:b/>
          <w:color w:val="auto"/>
          <w:sz w:val="28"/>
          <w:szCs w:val="28"/>
          <w:highlight w:val="none"/>
        </w:rPr>
      </w:pPr>
      <w:r>
        <w:rPr>
          <w:rFonts w:hint="eastAsia"/>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33"/>
      <w:bookmarkEnd w:id="1034"/>
      <w:bookmarkEnd w:id="1035"/>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pPr>
        <w:rPr>
          <w:rFonts w:eastAsia="黑体"/>
          <w:color w:val="auto"/>
          <w:sz w:val="28"/>
          <w:szCs w:val="28"/>
          <w:highlight w:val="none"/>
          <w:u w:val="single"/>
        </w:rPr>
      </w:pPr>
      <w:r>
        <w:rPr>
          <w:rFonts w:hint="eastAsia" w:ascii="宋体" w:hAnsi="宋体"/>
          <w:b/>
          <w:color w:val="auto"/>
          <w:sz w:val="32"/>
          <w:szCs w:val="32"/>
          <w:highlight w:val="none"/>
        </w:rPr>
        <w:br w:type="page"/>
      </w:r>
    </w:p>
    <w:p>
      <w:pPr>
        <w:jc w:val="center"/>
        <w:rPr>
          <w:rFonts w:eastAsia="黑体"/>
          <w:color w:val="auto"/>
          <w:sz w:val="28"/>
          <w:szCs w:val="28"/>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pPr>
        <w:jc w:val="center"/>
        <w:rPr>
          <w:rFonts w:eastAsia="黑体"/>
          <w:color w:val="auto"/>
          <w:sz w:val="44"/>
          <w:szCs w:val="44"/>
          <w:highlight w:val="none"/>
        </w:rPr>
      </w:pPr>
      <w:r>
        <w:rPr>
          <w:rFonts w:hint="eastAsia" w:eastAsia="黑体"/>
          <w:color w:val="auto"/>
          <w:sz w:val="44"/>
          <w:szCs w:val="44"/>
          <w:highlight w:val="none"/>
        </w:rPr>
        <w:t>（技术标文件）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560"/>
        <w:rPr>
          <w:rFonts w:eastAsia="黑体"/>
          <w:color w:val="auto"/>
          <w:sz w:val="28"/>
          <w:szCs w:val="28"/>
          <w:highlight w:val="none"/>
        </w:rPr>
      </w:pPr>
    </w:p>
    <w:p>
      <w:pPr>
        <w:rPr>
          <w:rFonts w:eastAsia="黑体"/>
          <w:color w:val="auto"/>
          <w:sz w:val="28"/>
          <w:szCs w:val="28"/>
          <w:highlight w:val="none"/>
        </w:rPr>
      </w:pPr>
    </w:p>
    <w:p>
      <w:pPr>
        <w:pStyle w:val="14"/>
        <w:ind w:firstLine="560"/>
        <w:rPr>
          <w:rFonts w:eastAsia="黑体"/>
          <w:color w:val="auto"/>
          <w:sz w:val="28"/>
          <w:szCs w:val="28"/>
          <w:highlight w:val="none"/>
        </w:rPr>
      </w:pPr>
    </w:p>
    <w:p>
      <w:pPr>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bookmarkStart w:id="1036" w:name="_Toc35425138"/>
      <w:bookmarkStart w:id="1037" w:name="_Toc35424972"/>
      <w:bookmarkStart w:id="1038" w:name="_Toc3395"/>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spacing w:line="540" w:lineRule="exact"/>
        <w:rPr>
          <w:rStyle w:val="65"/>
          <w:rFonts w:ascii="宋体" w:hAnsi="宋体" w:cs="宋体"/>
          <w:color w:val="auto"/>
          <w:sz w:val="32"/>
          <w:highlight w:val="none"/>
        </w:rPr>
      </w:pPr>
    </w:p>
    <w:p>
      <w:pPr>
        <w:spacing w:beforeLines="50" w:afterLines="50" w:line="440" w:lineRule="exact"/>
        <w:ind w:firstLine="643" w:firstLineChars="200"/>
        <w:jc w:val="left"/>
        <w:rPr>
          <w:rStyle w:val="65"/>
          <w:rFonts w:ascii="宋体" w:hAnsi="宋体" w:cs="宋体"/>
          <w:color w:val="auto"/>
          <w:sz w:val="32"/>
          <w:highlight w:val="none"/>
        </w:rPr>
      </w:pPr>
      <w:bookmarkStart w:id="1039" w:name="_Toc78803400"/>
      <w:r>
        <w:rPr>
          <w:rStyle w:val="65"/>
          <w:rFonts w:hint="eastAsia" w:ascii="宋体" w:hAnsi="宋体" w:cs="宋体"/>
          <w:color w:val="auto"/>
          <w:sz w:val="32"/>
          <w:highlight w:val="none"/>
        </w:rPr>
        <w:br w:type="page"/>
      </w:r>
      <w:bookmarkStart w:id="1040" w:name="_Toc13669"/>
      <w:bookmarkStart w:id="1041" w:name="_Toc23256"/>
      <w:r>
        <w:rPr>
          <w:rStyle w:val="65"/>
          <w:rFonts w:hint="eastAsia" w:ascii="宋体" w:hAnsi="宋体" w:cs="宋体"/>
          <w:color w:val="auto"/>
          <w:sz w:val="32"/>
          <w:highlight w:val="none"/>
        </w:rPr>
        <w:t>投标文件二</w:t>
      </w:r>
      <w:bookmarkEnd w:id="1036"/>
      <w:bookmarkEnd w:id="1037"/>
      <w:bookmarkEnd w:id="1038"/>
      <w:r>
        <w:rPr>
          <w:rStyle w:val="65"/>
          <w:rFonts w:hint="eastAsia" w:ascii="宋体" w:hAnsi="宋体" w:cs="宋体"/>
          <w:color w:val="auto"/>
          <w:sz w:val="32"/>
          <w:highlight w:val="none"/>
        </w:rPr>
        <w:t>：技术标目录</w:t>
      </w:r>
      <w:bookmarkEnd w:id="1039"/>
    </w:p>
    <w:bookmarkEnd w:id="1040"/>
    <w:bookmarkEnd w:id="1041"/>
    <w:p>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技术标评审所需资料及</w:t>
      </w:r>
      <w:r>
        <w:rPr>
          <w:rFonts w:hint="eastAsia" w:ascii="宋体" w:hAnsi="宋体" w:cs="宋体"/>
          <w:color w:val="auto"/>
          <w:szCs w:val="21"/>
          <w:highlight w:val="none"/>
        </w:rPr>
        <w:t>投标人认为需要的材料</w:t>
      </w:r>
      <w:r>
        <w:rPr>
          <w:rFonts w:hint="eastAsia" w:ascii="宋体" w:hAnsi="宋体" w:cs="宋体"/>
          <w:bCs/>
          <w:color w:val="auto"/>
          <w:szCs w:val="21"/>
          <w:highlight w:val="none"/>
        </w:rPr>
        <w:t>。</w:t>
      </w:r>
    </w:p>
    <w:p>
      <w:pPr>
        <w:spacing w:line="360" w:lineRule="auto"/>
        <w:ind w:firstLine="420" w:firstLineChars="200"/>
        <w:rPr>
          <w:rFonts w:ascii="宋体" w:hAnsi="宋体"/>
          <w:color w:val="auto"/>
          <w:szCs w:val="21"/>
          <w:highlight w:val="none"/>
        </w:rPr>
      </w:pPr>
    </w:p>
    <w:p>
      <w:pPr>
        <w:rPr>
          <w:color w:val="auto"/>
          <w:highlight w:val="none"/>
        </w:rPr>
      </w:pPr>
    </w:p>
    <w:p>
      <w:pPr>
        <w:rPr>
          <w:color w:val="auto"/>
          <w:highlight w:val="none"/>
        </w:rPr>
      </w:pPr>
    </w:p>
    <w:p>
      <w:pPr>
        <w:pStyle w:val="16"/>
        <w:rPr>
          <w:color w:val="auto"/>
          <w:highlight w:val="none"/>
        </w:rPr>
      </w:pPr>
      <w:r>
        <w:rPr>
          <w:color w:val="auto"/>
          <w:highlight w:val="none"/>
        </w:rPr>
        <w:br w:type="page"/>
      </w: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pPr>
        <w:jc w:val="center"/>
        <w:rPr>
          <w:rFonts w:eastAsia="黑体"/>
          <w:color w:val="auto"/>
          <w:sz w:val="44"/>
          <w:szCs w:val="44"/>
          <w:highlight w:val="none"/>
        </w:rPr>
      </w:pPr>
      <w:r>
        <w:rPr>
          <w:rFonts w:hint="eastAsia" w:eastAsia="黑体"/>
          <w:color w:val="auto"/>
          <w:sz w:val="44"/>
          <w:szCs w:val="44"/>
          <w:highlight w:val="none"/>
        </w:rPr>
        <w:t>（商务标文件）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p>
    <w:p>
      <w:pPr>
        <w:pStyle w:val="14"/>
        <w:ind w:firstLine="420"/>
        <w:rPr>
          <w:color w:val="auto"/>
          <w:highlight w:val="none"/>
        </w:rPr>
      </w:pPr>
    </w:p>
    <w:p>
      <w:pPr>
        <w:rPr>
          <w:color w:val="auto"/>
          <w:highlight w:val="none"/>
        </w:rPr>
      </w:pPr>
    </w:p>
    <w:p>
      <w:pPr>
        <w:spacing w:beforeLines="50" w:afterLines="50" w:line="440" w:lineRule="exact"/>
        <w:ind w:firstLine="643" w:firstLineChars="200"/>
        <w:jc w:val="left"/>
        <w:rPr>
          <w:rStyle w:val="65"/>
          <w:rFonts w:ascii="宋体" w:hAnsi="宋体" w:cs="宋体"/>
          <w:color w:val="auto"/>
          <w:sz w:val="32"/>
          <w:highlight w:val="none"/>
        </w:rPr>
      </w:pPr>
      <w:bookmarkStart w:id="1042" w:name="_Toc35425139"/>
      <w:bookmarkStart w:id="1043" w:name="_Toc19174"/>
      <w:bookmarkStart w:id="1044" w:name="_Toc35424973"/>
      <w:bookmarkStart w:id="1045" w:name="_Toc78803401"/>
      <w:r>
        <w:rPr>
          <w:rStyle w:val="65"/>
          <w:rFonts w:hint="eastAsia" w:ascii="宋体" w:hAnsi="宋体" w:cs="宋体"/>
          <w:color w:val="auto"/>
          <w:sz w:val="32"/>
          <w:highlight w:val="none"/>
        </w:rPr>
        <w:br w:type="page"/>
      </w:r>
      <w:bookmarkStart w:id="1046" w:name="_Toc27877"/>
      <w:bookmarkStart w:id="1047" w:name="_Toc19057"/>
      <w:r>
        <w:rPr>
          <w:rStyle w:val="65"/>
          <w:rFonts w:hint="eastAsia" w:ascii="宋体" w:hAnsi="宋体" w:cs="宋体"/>
          <w:color w:val="auto"/>
          <w:sz w:val="32"/>
          <w:highlight w:val="none"/>
        </w:rPr>
        <w:t>投标文件三</w:t>
      </w:r>
      <w:bookmarkEnd w:id="1042"/>
      <w:bookmarkEnd w:id="1043"/>
      <w:bookmarkEnd w:id="1044"/>
      <w:r>
        <w:rPr>
          <w:rStyle w:val="65"/>
          <w:rFonts w:hint="eastAsia" w:ascii="宋体" w:hAnsi="宋体" w:cs="宋体"/>
          <w:color w:val="auto"/>
          <w:sz w:val="32"/>
          <w:highlight w:val="none"/>
        </w:rPr>
        <w:t>：商务标目录</w:t>
      </w:r>
      <w:bookmarkEnd w:id="1045"/>
    </w:p>
    <w:bookmarkEnd w:id="1046"/>
    <w:bookmarkEnd w:id="1047"/>
    <w:p>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spacing w:line="360" w:lineRule="auto"/>
        <w:rPr>
          <w:b/>
          <w:bCs/>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48" w:name="_Toc506107366"/>
      <w:bookmarkStart w:id="1049" w:name="_Toc35425140"/>
      <w:bookmarkStart w:id="1050" w:name="_Toc35424974"/>
      <w:bookmarkStart w:id="1051"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pPr>
        <w:numPr>
          <w:ilvl w:val="0"/>
          <w:numId w:val="8"/>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pPr>
        <w:spacing w:line="600" w:lineRule="exact"/>
        <w:ind w:firstLine="420" w:firstLineChars="200"/>
        <w:jc w:val="left"/>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pPr>
        <w:pStyle w:val="2"/>
        <w:widowControl/>
        <w:adjustRightInd w:val="0"/>
        <w:snapToGrid w:val="0"/>
        <w:spacing w:before="0" w:beforeAutospacing="0" w:after="0" w:afterAutospacing="0" w:line="560" w:lineRule="exact"/>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w:t>
      </w:r>
      <w:r>
        <w:rPr>
          <w:rFonts w:hint="default" w:ascii="Times New Roman" w:hAnsi="Times New Roman" w:eastAsia="宋体" w:cs="Times New Roman"/>
          <w:b/>
          <w:bCs/>
          <w:kern w:val="0"/>
          <w:sz w:val="32"/>
          <w:szCs w:val="32"/>
          <w:highlight w:val="none"/>
        </w:rPr>
        <w:t>2</w:t>
      </w:r>
      <w:r>
        <w:rPr>
          <w:rFonts w:hint="eastAsia" w:ascii="宋体" w:hAnsi="宋体" w:eastAsia="宋体" w:cs="宋体"/>
          <w:b/>
          <w:bCs/>
          <w:kern w:val="0"/>
          <w:sz w:val="32"/>
          <w:szCs w:val="32"/>
          <w:highlight w:val="none"/>
        </w:rPr>
        <w:t>）工程量清单报价书</w:t>
      </w:r>
    </w:p>
    <w:tbl>
      <w:tblPr>
        <w:tblStyle w:val="46"/>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170"/>
        <w:gridCol w:w="3749"/>
        <w:gridCol w:w="690"/>
        <w:gridCol w:w="661"/>
        <w:gridCol w:w="1103"/>
        <w:gridCol w:w="1191"/>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序号</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分项名称</w:t>
            </w:r>
          </w:p>
        </w:tc>
        <w:tc>
          <w:tcPr>
            <w:tcW w:w="37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项目特征描述</w:t>
            </w:r>
          </w:p>
        </w:tc>
        <w:tc>
          <w:tcPr>
            <w:tcW w:w="6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单位</w:t>
            </w:r>
          </w:p>
        </w:tc>
        <w:tc>
          <w:tcPr>
            <w:tcW w:w="6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数量</w:t>
            </w:r>
          </w:p>
        </w:tc>
        <w:tc>
          <w:tcPr>
            <w:tcW w:w="11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lang w:val="en-US" w:eastAsia="zh-CN" w:bidi="ar"/>
              </w:rPr>
            </w:pPr>
            <w:r>
              <w:rPr>
                <w:rFonts w:hint="eastAsia" w:ascii="宋体" w:hAnsi="宋体" w:eastAsia="宋体" w:cs="宋体"/>
                <w:b w:val="0"/>
                <w:bCs w:val="0"/>
                <w:spacing w:val="-12"/>
                <w:kern w:val="2"/>
                <w:sz w:val="24"/>
                <w:szCs w:val="24"/>
                <w:highlight w:val="none"/>
                <w:lang w:val="en-US" w:eastAsia="zh-CN" w:bidi="ar"/>
              </w:rPr>
              <w:t>全费用综合单价最高限价</w:t>
            </w:r>
          </w:p>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lang w:val="en-US" w:eastAsia="zh-CN" w:bidi="ar"/>
              </w:rPr>
            </w:pPr>
            <w:r>
              <w:rPr>
                <w:rFonts w:hint="eastAsia" w:ascii="宋体" w:hAnsi="宋体" w:eastAsia="宋体" w:cs="宋体"/>
                <w:b w:val="0"/>
                <w:bCs w:val="0"/>
                <w:spacing w:val="-12"/>
                <w:kern w:val="2"/>
                <w:sz w:val="24"/>
                <w:szCs w:val="24"/>
                <w:highlight w:val="none"/>
                <w:lang w:val="en-US" w:eastAsia="zh-CN" w:bidi="ar"/>
              </w:rPr>
              <w:t>（</w:t>
            </w:r>
            <w:r>
              <w:rPr>
                <w:rFonts w:hint="eastAsia" w:ascii="宋体" w:hAnsi="宋体" w:eastAsia="宋体" w:cs="宋体"/>
                <w:b w:val="0"/>
                <w:bCs w:val="0"/>
                <w:kern w:val="2"/>
                <w:sz w:val="24"/>
                <w:szCs w:val="24"/>
                <w:highlight w:val="none"/>
                <w:lang w:val="en-US" w:eastAsia="zh-CN" w:bidi="ar"/>
              </w:rPr>
              <w:t>元/m</w:t>
            </w:r>
            <w:r>
              <w:rPr>
                <w:rFonts w:hint="eastAsia" w:ascii="宋体" w:hAnsi="宋体" w:eastAsia="宋体" w:cs="宋体"/>
                <w:b w:val="0"/>
                <w:bCs w:val="0"/>
                <w:spacing w:val="-12"/>
                <w:kern w:val="2"/>
                <w:sz w:val="24"/>
                <w:szCs w:val="24"/>
                <w:highlight w:val="none"/>
                <w:lang w:val="en-US" w:eastAsia="zh-CN" w:bidi="ar"/>
              </w:rPr>
              <w:t>）</w:t>
            </w:r>
          </w:p>
        </w:tc>
        <w:tc>
          <w:tcPr>
            <w:tcW w:w="11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lang w:val="en-US" w:eastAsia="zh-CN"/>
              </w:rPr>
            </w:pPr>
            <w:r>
              <w:rPr>
                <w:rFonts w:hint="eastAsia" w:ascii="宋体" w:hAnsi="宋体" w:eastAsia="宋体" w:cs="宋体"/>
                <w:b w:val="0"/>
                <w:bCs w:val="0"/>
                <w:spacing w:val="-12"/>
                <w:kern w:val="2"/>
                <w:sz w:val="24"/>
                <w:szCs w:val="24"/>
                <w:highlight w:val="none"/>
                <w:lang w:val="en-US" w:eastAsia="zh-CN"/>
              </w:rPr>
              <w:t>投标综合单价</w:t>
            </w:r>
          </w:p>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lang w:val="en-US" w:eastAsia="zh-CN"/>
              </w:rPr>
            </w:pPr>
            <w:r>
              <w:rPr>
                <w:rFonts w:hint="eastAsia" w:ascii="宋体" w:hAnsi="宋体" w:eastAsia="宋体" w:cs="宋体"/>
                <w:b w:val="0"/>
                <w:bCs w:val="0"/>
                <w:spacing w:val="-12"/>
                <w:kern w:val="2"/>
                <w:sz w:val="24"/>
                <w:szCs w:val="24"/>
                <w:highlight w:val="none"/>
                <w:lang w:val="en-US" w:eastAsia="zh-CN"/>
              </w:rPr>
              <w:t>（元/m）</w:t>
            </w:r>
          </w:p>
        </w:tc>
        <w:tc>
          <w:tcPr>
            <w:tcW w:w="11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1</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排水沟</w:t>
            </w:r>
          </w:p>
        </w:tc>
        <w:tc>
          <w:tcPr>
            <w:tcW w:w="37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
              </w:rPr>
              <w:t>1、15cm厚碎石垫层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
              </w:rPr>
              <w:t>2、C25混凝土排水沟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
              </w:rPr>
              <w:t>3、水沟每隔 10～15 米设一道伸缩缝，缝宽 2 厘米，内填浸沥青麻绳（木板)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
              </w:rPr>
              <w:t>4、结合实际地形放线施工，具体布设可根据现场实际地形坡度进行适当调整以利于排导水流；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
              </w:rPr>
              <w:t>5、备注：包含挖填土、运土、排水沟内侧抹灰、沟内侧内村防水铁丝网。</w:t>
            </w:r>
          </w:p>
          <w:p>
            <w:pPr>
              <w:pStyle w:val="4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rPr>
              <w:t>具体详见设计图纸。</w:t>
            </w:r>
          </w:p>
        </w:tc>
        <w:tc>
          <w:tcPr>
            <w:tcW w:w="6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m</w:t>
            </w:r>
          </w:p>
        </w:tc>
        <w:tc>
          <w:tcPr>
            <w:tcW w:w="6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800</w:t>
            </w:r>
          </w:p>
        </w:tc>
        <w:tc>
          <w:tcPr>
            <w:tcW w:w="11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505.21</w:t>
            </w:r>
          </w:p>
        </w:tc>
        <w:tc>
          <w:tcPr>
            <w:tcW w:w="11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2</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巡查步道</w:t>
            </w:r>
          </w:p>
        </w:tc>
        <w:tc>
          <w:tcPr>
            <w:tcW w:w="3749" w:type="dxa"/>
            <w:tcBorders>
              <w:top w:val="single" w:color="auto" w:sz="4" w:space="0"/>
              <w:left w:val="nil"/>
              <w:bottom w:val="single" w:color="auto" w:sz="4" w:space="0"/>
              <w:right w:val="single" w:color="auto" w:sz="4" w:space="0"/>
            </w:tcBorders>
            <w:shd w:val="clear" w:color="auto" w:fill="auto"/>
            <w:vAlign w:val="center"/>
          </w:tcPr>
          <w:p>
            <w:pPr>
              <w:pStyle w:val="42"/>
              <w:keepNext/>
              <w:keepLines/>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1、坡面跌水(兼具检查步道功能)设置在边坡中部,开口宽度为0.5rn,跌水路步宽254~480rnn不等(具体根据实际地形调整)跌水曝步高为120mn,采用C25素砼进行资筑,浇筑前在为内侧内衬防水铁丝网。</w:t>
            </w:r>
          </w:p>
          <w:p>
            <w:pPr>
              <w:pStyle w:val="42"/>
              <w:keepNext/>
              <w:keepLines/>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rPr>
              <w:t>具体详见设计图纸。</w:t>
            </w:r>
          </w:p>
        </w:tc>
        <w:tc>
          <w:tcPr>
            <w:tcW w:w="6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m</w:t>
            </w:r>
          </w:p>
        </w:tc>
        <w:tc>
          <w:tcPr>
            <w:tcW w:w="6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150</w:t>
            </w:r>
          </w:p>
        </w:tc>
        <w:tc>
          <w:tcPr>
            <w:tcW w:w="11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358.13</w:t>
            </w:r>
          </w:p>
        </w:tc>
        <w:tc>
          <w:tcPr>
            <w:tcW w:w="11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3</w:t>
            </w:r>
          </w:p>
        </w:tc>
        <w:tc>
          <w:tcPr>
            <w:tcW w:w="971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投标总报价（大写）：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元；</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80" w:lineRule="exact"/>
              <w:ind w:left="0" w:right="0"/>
              <w:jc w:val="both"/>
              <w:textAlignment w:val="auto"/>
              <w:rPr>
                <w:rFonts w:hint="eastAsia" w:ascii="新宋体" w:hAnsi="新宋体" w:eastAsia="新宋体" w:cs="新宋体"/>
                <w:b w:val="0"/>
                <w:bCs w:val="0"/>
                <w:kern w:val="2"/>
                <w:sz w:val="24"/>
                <w:szCs w:val="24"/>
                <w:highlight w:val="none"/>
              </w:rPr>
            </w:pPr>
            <w:r>
              <w:rPr>
                <w:rFonts w:hint="eastAsia" w:ascii="宋体" w:hAnsi="宋体" w:eastAsia="宋体" w:cs="宋体"/>
                <w:b/>
                <w:bCs w:val="0"/>
                <w:kern w:val="2"/>
                <w:sz w:val="24"/>
                <w:szCs w:val="24"/>
                <w:highlight w:val="none"/>
                <w:lang w:val="en-US" w:eastAsia="zh-CN" w:bidi="ar"/>
              </w:rPr>
              <w:t>（小写）：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 xml:space="preserve"> 元。</w:t>
            </w:r>
          </w:p>
        </w:tc>
      </w:tr>
    </w:tbl>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2"/>
          <w:sz w:val="32"/>
          <w:szCs w:val="32"/>
          <w:highlight w:val="none"/>
          <w:u w:val="single"/>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注：1、所有投标只能选择一种方案，单价和合价的报价只能是唯一，否则为无效标。</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2、工程量按实结算。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投标人名称（盖章）：</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法定代表人或授权代理人(签字或盖章)：</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2160" w:firstLineChars="900"/>
        <w:jc w:val="both"/>
        <w:rPr>
          <w:highlight w:val="none"/>
        </w:rPr>
      </w:pPr>
      <w:r>
        <w:rPr>
          <w:rFonts w:hint="eastAsia" w:ascii="宋体" w:hAnsi="宋体" w:eastAsia="宋体" w:cs="宋体"/>
          <w:kern w:val="2"/>
          <w:sz w:val="24"/>
          <w:szCs w:val="24"/>
          <w:highlight w:val="none"/>
          <w:lang w:val="en-US" w:eastAsia="zh-CN" w:bidi="ar"/>
        </w:rPr>
        <w:t>日    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pPr>
        <w:pStyle w:val="2"/>
        <w:widowControl/>
        <w:adjustRightInd w:val="0"/>
        <w:snapToGrid w:val="0"/>
        <w:spacing w:before="0" w:beforeAutospacing="0" w:after="0" w:afterAutospacing="0" w:line="560" w:lineRule="exact"/>
        <w:jc w:val="center"/>
        <w:rPr>
          <w:rFonts w:hint="eastAsia" w:ascii="宋体" w:hAnsi="宋体" w:eastAsia="宋体" w:cs="宋体"/>
          <w:b/>
          <w:bCs/>
          <w:kern w:val="0"/>
          <w:sz w:val="32"/>
          <w:szCs w:val="32"/>
          <w:highlight w:val="none"/>
        </w:rPr>
      </w:pPr>
    </w:p>
    <w:p>
      <w:pPr>
        <w:pStyle w:val="2"/>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kern w:val="0"/>
          <w:sz w:val="32"/>
          <w:szCs w:val="32"/>
          <w:highlight w:val="none"/>
        </w:rPr>
        <w:t>（</w:t>
      </w:r>
      <w:r>
        <w:rPr>
          <w:rFonts w:hint="default" w:ascii="Times New Roman" w:hAnsi="Times New Roman" w:eastAsia="宋体" w:cs="Times New Roman"/>
          <w:b/>
          <w:bCs/>
          <w:kern w:val="0"/>
          <w:sz w:val="32"/>
          <w:szCs w:val="32"/>
          <w:highlight w:val="none"/>
        </w:rPr>
        <w:t>3</w:t>
      </w:r>
      <w:r>
        <w:rPr>
          <w:rFonts w:hint="eastAsia" w:ascii="宋体" w:hAnsi="宋体" w:eastAsia="宋体" w:cs="宋体"/>
          <w:b/>
          <w:bCs/>
          <w:kern w:val="0"/>
          <w:sz w:val="32"/>
          <w:szCs w:val="32"/>
          <w:highlight w:val="none"/>
        </w:rPr>
        <w:t>）详细评审所需其他材料（如有）</w:t>
      </w:r>
    </w:p>
    <w:p>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48"/>
      <w:bookmarkEnd w:id="1049"/>
      <w:bookmarkEnd w:id="1050"/>
      <w:bookmarkEnd w:id="1051"/>
      <w:bookmarkStart w:id="1052" w:name="_Toc78803402"/>
    </w:p>
    <w:p>
      <w:pPr>
        <w:pStyle w:val="43"/>
        <w:spacing w:beforeLines="50" w:afterLines="50" w:line="440" w:lineRule="exact"/>
        <w:rPr>
          <w:bCs/>
          <w:color w:val="auto"/>
          <w:szCs w:val="32"/>
          <w:highlight w:val="none"/>
        </w:rPr>
      </w:pPr>
      <w:bookmarkStart w:id="1053" w:name="_Toc29114"/>
      <w:bookmarkStart w:id="1054" w:name="_Toc15593"/>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52"/>
      <w:bookmarkEnd w:id="1053"/>
      <w:bookmarkEnd w:id="1054"/>
    </w:p>
    <w:p>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滁州市兴天矿业谕兴矿基建期+20m及+5m平台东南侧排水沟项目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p>
          <w:p>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李超</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15056501345</w:t>
            </w:r>
          </w:p>
          <w:p>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月</w:t>
            </w:r>
          </w:p>
          <w:p>
            <w:pPr>
              <w:pStyle w:val="14"/>
              <w:keepNext w:val="0"/>
              <w:keepLines w:val="0"/>
              <w:suppressLineNumbers w:val="0"/>
              <w:spacing w:before="0" w:beforeAutospacing="0" w:after="0" w:afterAutospacing="0"/>
              <w:ind w:right="0" w:firstLine="420"/>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月</w:t>
            </w:r>
          </w:p>
          <w:p>
            <w:pPr>
              <w:pStyle w:val="14"/>
              <w:keepNext w:val="0"/>
              <w:keepLines w:val="0"/>
              <w:suppressLineNumbers w:val="0"/>
              <w:spacing w:before="0" w:beforeAutospacing="0" w:after="0" w:afterAutospacing="0"/>
              <w:ind w:right="0" w:firstLine="420"/>
              <w:rPr>
                <w:rFonts w:hint="default"/>
                <w:color w:val="auto"/>
                <w:highlight w:val="none"/>
              </w:rPr>
            </w:pPr>
          </w:p>
        </w:tc>
      </w:tr>
    </w:tbl>
    <w:p>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394"/>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44C50"/>
    <w:rsid w:val="04C56D31"/>
    <w:rsid w:val="04CD0D24"/>
    <w:rsid w:val="04CF0F22"/>
    <w:rsid w:val="04D7542D"/>
    <w:rsid w:val="04DD163F"/>
    <w:rsid w:val="04E452F2"/>
    <w:rsid w:val="04E82F5F"/>
    <w:rsid w:val="05080EB6"/>
    <w:rsid w:val="05084E1A"/>
    <w:rsid w:val="0536624A"/>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601D7C"/>
    <w:rsid w:val="07701435"/>
    <w:rsid w:val="078057A6"/>
    <w:rsid w:val="0781151E"/>
    <w:rsid w:val="0791006E"/>
    <w:rsid w:val="07A93817"/>
    <w:rsid w:val="07AA51F7"/>
    <w:rsid w:val="07C16E32"/>
    <w:rsid w:val="07C956F1"/>
    <w:rsid w:val="07DE071F"/>
    <w:rsid w:val="07E724F1"/>
    <w:rsid w:val="07F54B10"/>
    <w:rsid w:val="080D2DB2"/>
    <w:rsid w:val="081E6051"/>
    <w:rsid w:val="08236132"/>
    <w:rsid w:val="0824157E"/>
    <w:rsid w:val="082A5712"/>
    <w:rsid w:val="08365D8B"/>
    <w:rsid w:val="083932FD"/>
    <w:rsid w:val="083C1D74"/>
    <w:rsid w:val="08442529"/>
    <w:rsid w:val="08664D5B"/>
    <w:rsid w:val="087338E5"/>
    <w:rsid w:val="087B79DB"/>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6146A"/>
    <w:rsid w:val="09C9680A"/>
    <w:rsid w:val="09E33DCA"/>
    <w:rsid w:val="09EA33AB"/>
    <w:rsid w:val="09EA6668"/>
    <w:rsid w:val="0A0501E5"/>
    <w:rsid w:val="0A075D0B"/>
    <w:rsid w:val="0A0A57FB"/>
    <w:rsid w:val="0A193C90"/>
    <w:rsid w:val="0A1A77A1"/>
    <w:rsid w:val="0A344C83"/>
    <w:rsid w:val="0A3E3D26"/>
    <w:rsid w:val="0A4834F8"/>
    <w:rsid w:val="0A544CC8"/>
    <w:rsid w:val="0A6173D2"/>
    <w:rsid w:val="0A682231"/>
    <w:rsid w:val="0A6825A9"/>
    <w:rsid w:val="0A781198"/>
    <w:rsid w:val="0A9E7CF1"/>
    <w:rsid w:val="0AAC10E4"/>
    <w:rsid w:val="0AB07E4A"/>
    <w:rsid w:val="0AC93B72"/>
    <w:rsid w:val="0ACA6D38"/>
    <w:rsid w:val="0AD53C26"/>
    <w:rsid w:val="0ADD3B4A"/>
    <w:rsid w:val="0ADD5F51"/>
    <w:rsid w:val="0AEC3153"/>
    <w:rsid w:val="0AEE775A"/>
    <w:rsid w:val="0AFF5154"/>
    <w:rsid w:val="0B0260FA"/>
    <w:rsid w:val="0B127FA5"/>
    <w:rsid w:val="0B187C06"/>
    <w:rsid w:val="0B2823DD"/>
    <w:rsid w:val="0B462863"/>
    <w:rsid w:val="0B4B3360"/>
    <w:rsid w:val="0B6153F6"/>
    <w:rsid w:val="0B6C4BE2"/>
    <w:rsid w:val="0B895D1E"/>
    <w:rsid w:val="0B8A5322"/>
    <w:rsid w:val="0B903157"/>
    <w:rsid w:val="0B9335CE"/>
    <w:rsid w:val="0BA653BF"/>
    <w:rsid w:val="0BAC6F99"/>
    <w:rsid w:val="0BCD1EAC"/>
    <w:rsid w:val="0BCF142C"/>
    <w:rsid w:val="0BDC319A"/>
    <w:rsid w:val="0BFB783E"/>
    <w:rsid w:val="0BFD5373"/>
    <w:rsid w:val="0BFD6481"/>
    <w:rsid w:val="0C0F0CD9"/>
    <w:rsid w:val="0C3D1EB8"/>
    <w:rsid w:val="0C631998"/>
    <w:rsid w:val="0C6821F6"/>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6574A4"/>
    <w:rsid w:val="0E844468"/>
    <w:rsid w:val="0E9E135B"/>
    <w:rsid w:val="0EA44F43"/>
    <w:rsid w:val="0EA55AF2"/>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C63F7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945E1E"/>
    <w:rsid w:val="10A4426E"/>
    <w:rsid w:val="10B656D8"/>
    <w:rsid w:val="10BB6F68"/>
    <w:rsid w:val="10C37A22"/>
    <w:rsid w:val="10C556C7"/>
    <w:rsid w:val="10C55FD8"/>
    <w:rsid w:val="10F772EF"/>
    <w:rsid w:val="11017A58"/>
    <w:rsid w:val="11023D17"/>
    <w:rsid w:val="110F34C8"/>
    <w:rsid w:val="11491151"/>
    <w:rsid w:val="114E06C3"/>
    <w:rsid w:val="1159543F"/>
    <w:rsid w:val="116230D1"/>
    <w:rsid w:val="116A7E05"/>
    <w:rsid w:val="11722460"/>
    <w:rsid w:val="117A4F14"/>
    <w:rsid w:val="119D6F55"/>
    <w:rsid w:val="11CB1987"/>
    <w:rsid w:val="11D529F0"/>
    <w:rsid w:val="11DC5FC8"/>
    <w:rsid w:val="11E1306C"/>
    <w:rsid w:val="11E71072"/>
    <w:rsid w:val="11F55D84"/>
    <w:rsid w:val="11F95233"/>
    <w:rsid w:val="11FE73E1"/>
    <w:rsid w:val="120314AE"/>
    <w:rsid w:val="1206271C"/>
    <w:rsid w:val="120E39AF"/>
    <w:rsid w:val="12114BE2"/>
    <w:rsid w:val="121911ED"/>
    <w:rsid w:val="12261816"/>
    <w:rsid w:val="122816CA"/>
    <w:rsid w:val="1231523F"/>
    <w:rsid w:val="12392AE3"/>
    <w:rsid w:val="123C676E"/>
    <w:rsid w:val="12404237"/>
    <w:rsid w:val="12421044"/>
    <w:rsid w:val="127A5380"/>
    <w:rsid w:val="12957C2C"/>
    <w:rsid w:val="1298079E"/>
    <w:rsid w:val="12AD5EBA"/>
    <w:rsid w:val="12B10442"/>
    <w:rsid w:val="12C319F0"/>
    <w:rsid w:val="12CB7F7B"/>
    <w:rsid w:val="12D57B5A"/>
    <w:rsid w:val="12D60970"/>
    <w:rsid w:val="12DA74FD"/>
    <w:rsid w:val="12E11965"/>
    <w:rsid w:val="130354DD"/>
    <w:rsid w:val="13160E95"/>
    <w:rsid w:val="131D4A08"/>
    <w:rsid w:val="132A077A"/>
    <w:rsid w:val="132B4874"/>
    <w:rsid w:val="13365D96"/>
    <w:rsid w:val="133833D9"/>
    <w:rsid w:val="13401CF4"/>
    <w:rsid w:val="13474541"/>
    <w:rsid w:val="13475083"/>
    <w:rsid w:val="13477178"/>
    <w:rsid w:val="13597FDE"/>
    <w:rsid w:val="13610A7C"/>
    <w:rsid w:val="1370511E"/>
    <w:rsid w:val="138A2CF3"/>
    <w:rsid w:val="139600FA"/>
    <w:rsid w:val="139B1B3C"/>
    <w:rsid w:val="13AC7923"/>
    <w:rsid w:val="13BB36C2"/>
    <w:rsid w:val="13C163E4"/>
    <w:rsid w:val="13CF69C3"/>
    <w:rsid w:val="13E63AA6"/>
    <w:rsid w:val="13EB21F9"/>
    <w:rsid w:val="13F175F7"/>
    <w:rsid w:val="13F33B15"/>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45AB"/>
    <w:rsid w:val="153E6FE7"/>
    <w:rsid w:val="15436E45"/>
    <w:rsid w:val="15535F3F"/>
    <w:rsid w:val="15597637"/>
    <w:rsid w:val="155C3CBE"/>
    <w:rsid w:val="15697093"/>
    <w:rsid w:val="15760076"/>
    <w:rsid w:val="157E5DA4"/>
    <w:rsid w:val="159F6FD6"/>
    <w:rsid w:val="15A5462A"/>
    <w:rsid w:val="15B01BBF"/>
    <w:rsid w:val="15EC3B3E"/>
    <w:rsid w:val="15F1786F"/>
    <w:rsid w:val="15F46C2A"/>
    <w:rsid w:val="161101BF"/>
    <w:rsid w:val="16121567"/>
    <w:rsid w:val="16175528"/>
    <w:rsid w:val="162D4D4B"/>
    <w:rsid w:val="16343F81"/>
    <w:rsid w:val="163634D4"/>
    <w:rsid w:val="163948ED"/>
    <w:rsid w:val="164275F4"/>
    <w:rsid w:val="164717FA"/>
    <w:rsid w:val="1654148B"/>
    <w:rsid w:val="165710DF"/>
    <w:rsid w:val="16573B76"/>
    <w:rsid w:val="165B71D5"/>
    <w:rsid w:val="166869FF"/>
    <w:rsid w:val="16700A7A"/>
    <w:rsid w:val="16734728"/>
    <w:rsid w:val="167D1103"/>
    <w:rsid w:val="1683572D"/>
    <w:rsid w:val="169E0BEA"/>
    <w:rsid w:val="16AF7EFC"/>
    <w:rsid w:val="16DD2BAC"/>
    <w:rsid w:val="16F70EB5"/>
    <w:rsid w:val="16FE2B67"/>
    <w:rsid w:val="17197085"/>
    <w:rsid w:val="1720502B"/>
    <w:rsid w:val="172460AC"/>
    <w:rsid w:val="172B1987"/>
    <w:rsid w:val="172D0D7B"/>
    <w:rsid w:val="173054B2"/>
    <w:rsid w:val="17424EAD"/>
    <w:rsid w:val="174C1699"/>
    <w:rsid w:val="17544559"/>
    <w:rsid w:val="175E7E76"/>
    <w:rsid w:val="1763479D"/>
    <w:rsid w:val="176F5AF8"/>
    <w:rsid w:val="178667F0"/>
    <w:rsid w:val="178A4C4F"/>
    <w:rsid w:val="17942AA9"/>
    <w:rsid w:val="17987255"/>
    <w:rsid w:val="179928AA"/>
    <w:rsid w:val="17A739C7"/>
    <w:rsid w:val="17C212EB"/>
    <w:rsid w:val="17C42121"/>
    <w:rsid w:val="17D66D1D"/>
    <w:rsid w:val="17D82A95"/>
    <w:rsid w:val="17D8680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16D88"/>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BE96189"/>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21295"/>
    <w:rsid w:val="1D7C0366"/>
    <w:rsid w:val="1D8C44DA"/>
    <w:rsid w:val="1D90430C"/>
    <w:rsid w:val="1DA228F6"/>
    <w:rsid w:val="1DA26C67"/>
    <w:rsid w:val="1DB571C9"/>
    <w:rsid w:val="1DBF6F58"/>
    <w:rsid w:val="1DFC5003"/>
    <w:rsid w:val="1E2527AC"/>
    <w:rsid w:val="1E2A3F9F"/>
    <w:rsid w:val="1E65546D"/>
    <w:rsid w:val="1E7B6900"/>
    <w:rsid w:val="1E933E22"/>
    <w:rsid w:val="1E9A51BB"/>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21213"/>
    <w:rsid w:val="1FC55FF4"/>
    <w:rsid w:val="1FDF7221"/>
    <w:rsid w:val="1FE07DD2"/>
    <w:rsid w:val="1FF72B1D"/>
    <w:rsid w:val="2000702C"/>
    <w:rsid w:val="20170100"/>
    <w:rsid w:val="201952D2"/>
    <w:rsid w:val="2020109E"/>
    <w:rsid w:val="20220096"/>
    <w:rsid w:val="202816B6"/>
    <w:rsid w:val="20352DB6"/>
    <w:rsid w:val="204E725A"/>
    <w:rsid w:val="205050F3"/>
    <w:rsid w:val="20665891"/>
    <w:rsid w:val="20823312"/>
    <w:rsid w:val="208241B4"/>
    <w:rsid w:val="208F5999"/>
    <w:rsid w:val="20B05494"/>
    <w:rsid w:val="20BD4F1E"/>
    <w:rsid w:val="20D109C9"/>
    <w:rsid w:val="20EE5770"/>
    <w:rsid w:val="20FD17BE"/>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C73E32"/>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B1063E"/>
    <w:rsid w:val="23C16A9A"/>
    <w:rsid w:val="23C465C3"/>
    <w:rsid w:val="23E66003"/>
    <w:rsid w:val="23F80076"/>
    <w:rsid w:val="23FC534D"/>
    <w:rsid w:val="23FE2FB7"/>
    <w:rsid w:val="23FE3AF7"/>
    <w:rsid w:val="241B7142"/>
    <w:rsid w:val="24452007"/>
    <w:rsid w:val="244802C7"/>
    <w:rsid w:val="244C0B39"/>
    <w:rsid w:val="245A32E7"/>
    <w:rsid w:val="246102B6"/>
    <w:rsid w:val="24635935"/>
    <w:rsid w:val="24660E6A"/>
    <w:rsid w:val="24665559"/>
    <w:rsid w:val="24687E03"/>
    <w:rsid w:val="24691825"/>
    <w:rsid w:val="2479115B"/>
    <w:rsid w:val="248E0BEE"/>
    <w:rsid w:val="249222CA"/>
    <w:rsid w:val="249B49DE"/>
    <w:rsid w:val="24B056E4"/>
    <w:rsid w:val="24BE60D3"/>
    <w:rsid w:val="24CC572F"/>
    <w:rsid w:val="24CF65FC"/>
    <w:rsid w:val="24D258A5"/>
    <w:rsid w:val="24DA6A74"/>
    <w:rsid w:val="24DB4BCD"/>
    <w:rsid w:val="24F602A0"/>
    <w:rsid w:val="250025A0"/>
    <w:rsid w:val="25296C9F"/>
    <w:rsid w:val="25401D76"/>
    <w:rsid w:val="2544236B"/>
    <w:rsid w:val="25453733"/>
    <w:rsid w:val="25473008"/>
    <w:rsid w:val="256C3562"/>
    <w:rsid w:val="257F6C45"/>
    <w:rsid w:val="25882662"/>
    <w:rsid w:val="258C5B68"/>
    <w:rsid w:val="258C736F"/>
    <w:rsid w:val="25977271"/>
    <w:rsid w:val="259B2D68"/>
    <w:rsid w:val="259E7D45"/>
    <w:rsid w:val="25A6077B"/>
    <w:rsid w:val="25A941CC"/>
    <w:rsid w:val="25A97E1E"/>
    <w:rsid w:val="25B40CD0"/>
    <w:rsid w:val="25BF4424"/>
    <w:rsid w:val="25C17AFA"/>
    <w:rsid w:val="25C251DB"/>
    <w:rsid w:val="25E00E0C"/>
    <w:rsid w:val="25EF379B"/>
    <w:rsid w:val="25FC2044"/>
    <w:rsid w:val="260C11C1"/>
    <w:rsid w:val="261049C1"/>
    <w:rsid w:val="261E645E"/>
    <w:rsid w:val="26383109"/>
    <w:rsid w:val="264043A1"/>
    <w:rsid w:val="2641214D"/>
    <w:rsid w:val="264E7E9A"/>
    <w:rsid w:val="26597FFC"/>
    <w:rsid w:val="26697AAB"/>
    <w:rsid w:val="266D2F42"/>
    <w:rsid w:val="2673065B"/>
    <w:rsid w:val="26746071"/>
    <w:rsid w:val="267839D3"/>
    <w:rsid w:val="26802C75"/>
    <w:rsid w:val="268423E1"/>
    <w:rsid w:val="26887D7C"/>
    <w:rsid w:val="26890627"/>
    <w:rsid w:val="26920BFA"/>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157B"/>
    <w:rsid w:val="27BF60E1"/>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AB1AFF"/>
    <w:rsid w:val="28B63487"/>
    <w:rsid w:val="28C623C8"/>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81EB5"/>
    <w:rsid w:val="2A7949E3"/>
    <w:rsid w:val="2A7C7BF7"/>
    <w:rsid w:val="2A80647C"/>
    <w:rsid w:val="2A814AEA"/>
    <w:rsid w:val="2A8E62B6"/>
    <w:rsid w:val="2A9572CC"/>
    <w:rsid w:val="2AA9206F"/>
    <w:rsid w:val="2AD81233"/>
    <w:rsid w:val="2AE63EFE"/>
    <w:rsid w:val="2B053749"/>
    <w:rsid w:val="2B195446"/>
    <w:rsid w:val="2B2E227F"/>
    <w:rsid w:val="2B2F07C6"/>
    <w:rsid w:val="2B3404E2"/>
    <w:rsid w:val="2B363CF4"/>
    <w:rsid w:val="2B3A7305"/>
    <w:rsid w:val="2B425FD0"/>
    <w:rsid w:val="2B4268A6"/>
    <w:rsid w:val="2B487ADA"/>
    <w:rsid w:val="2B536BAA"/>
    <w:rsid w:val="2B8C79C6"/>
    <w:rsid w:val="2B9B40AD"/>
    <w:rsid w:val="2B9B4F58"/>
    <w:rsid w:val="2BA3696C"/>
    <w:rsid w:val="2BAA0794"/>
    <w:rsid w:val="2BAD4125"/>
    <w:rsid w:val="2BB138D1"/>
    <w:rsid w:val="2BB67A51"/>
    <w:rsid w:val="2BB769EE"/>
    <w:rsid w:val="2BB8130D"/>
    <w:rsid w:val="2BBE7D9C"/>
    <w:rsid w:val="2BC058C2"/>
    <w:rsid w:val="2BC1223D"/>
    <w:rsid w:val="2BC40014"/>
    <w:rsid w:val="2BC51B34"/>
    <w:rsid w:val="2BDE3F9A"/>
    <w:rsid w:val="2BE07D12"/>
    <w:rsid w:val="2BF95140"/>
    <w:rsid w:val="2C063C1D"/>
    <w:rsid w:val="2C0B194E"/>
    <w:rsid w:val="2C1A4F62"/>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2A5CD6"/>
    <w:rsid w:val="2E3944B7"/>
    <w:rsid w:val="2E4749F8"/>
    <w:rsid w:val="2E4C1B78"/>
    <w:rsid w:val="2E73313B"/>
    <w:rsid w:val="2E866E5E"/>
    <w:rsid w:val="2E9077CD"/>
    <w:rsid w:val="2EA916B2"/>
    <w:rsid w:val="2EB46A04"/>
    <w:rsid w:val="2EB84F76"/>
    <w:rsid w:val="2EC62DA5"/>
    <w:rsid w:val="2ECB7077"/>
    <w:rsid w:val="2EED318E"/>
    <w:rsid w:val="2EFE3F3B"/>
    <w:rsid w:val="2F0C331C"/>
    <w:rsid w:val="2F0F1794"/>
    <w:rsid w:val="2F176141"/>
    <w:rsid w:val="2F1A0856"/>
    <w:rsid w:val="2F2B5B05"/>
    <w:rsid w:val="2F34284F"/>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93788C"/>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735D99"/>
    <w:rsid w:val="33736E76"/>
    <w:rsid w:val="337570A4"/>
    <w:rsid w:val="33833CFC"/>
    <w:rsid w:val="33890C8F"/>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DD74E5"/>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87986"/>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B10FD7"/>
    <w:rsid w:val="38B2326B"/>
    <w:rsid w:val="38BD498D"/>
    <w:rsid w:val="38C2711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9E657D7"/>
    <w:rsid w:val="3A045F91"/>
    <w:rsid w:val="3A076679"/>
    <w:rsid w:val="3A0A0953"/>
    <w:rsid w:val="3A0B68A2"/>
    <w:rsid w:val="3A211C22"/>
    <w:rsid w:val="3A2C4127"/>
    <w:rsid w:val="3A383CAD"/>
    <w:rsid w:val="3A4F0AA8"/>
    <w:rsid w:val="3A543DA5"/>
    <w:rsid w:val="3A5576B6"/>
    <w:rsid w:val="3A682780"/>
    <w:rsid w:val="3A697EB7"/>
    <w:rsid w:val="3A7C154E"/>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D5180"/>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DF2363"/>
    <w:rsid w:val="3FE37E33"/>
    <w:rsid w:val="3FF027C2"/>
    <w:rsid w:val="3FF55C7D"/>
    <w:rsid w:val="3FF676AC"/>
    <w:rsid w:val="3FFA53EF"/>
    <w:rsid w:val="400E03CE"/>
    <w:rsid w:val="401171AD"/>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3F78DB"/>
    <w:rsid w:val="41406E31"/>
    <w:rsid w:val="414E3836"/>
    <w:rsid w:val="41592854"/>
    <w:rsid w:val="416E516B"/>
    <w:rsid w:val="418812BB"/>
    <w:rsid w:val="418D4040"/>
    <w:rsid w:val="419E7FFC"/>
    <w:rsid w:val="419F3079"/>
    <w:rsid w:val="41AE3A67"/>
    <w:rsid w:val="41C95125"/>
    <w:rsid w:val="41CF4659"/>
    <w:rsid w:val="41E719A3"/>
    <w:rsid w:val="41EA02ED"/>
    <w:rsid w:val="42075BA1"/>
    <w:rsid w:val="4215282E"/>
    <w:rsid w:val="42166627"/>
    <w:rsid w:val="42225E0B"/>
    <w:rsid w:val="4235270E"/>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03578"/>
    <w:rsid w:val="435720D9"/>
    <w:rsid w:val="43615785"/>
    <w:rsid w:val="43727992"/>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3773EC"/>
    <w:rsid w:val="44426345"/>
    <w:rsid w:val="444B2816"/>
    <w:rsid w:val="445279AA"/>
    <w:rsid w:val="4453331F"/>
    <w:rsid w:val="445F3A86"/>
    <w:rsid w:val="4478636B"/>
    <w:rsid w:val="447A0DB3"/>
    <w:rsid w:val="447D2B53"/>
    <w:rsid w:val="4481712B"/>
    <w:rsid w:val="44901E7E"/>
    <w:rsid w:val="449F54A7"/>
    <w:rsid w:val="44A1052F"/>
    <w:rsid w:val="44BD69EB"/>
    <w:rsid w:val="44C93406"/>
    <w:rsid w:val="44D74994"/>
    <w:rsid w:val="44DD0E3B"/>
    <w:rsid w:val="44E67CEF"/>
    <w:rsid w:val="44F62875"/>
    <w:rsid w:val="45111EFE"/>
    <w:rsid w:val="451730A2"/>
    <w:rsid w:val="451955A3"/>
    <w:rsid w:val="45205199"/>
    <w:rsid w:val="45260B70"/>
    <w:rsid w:val="45357C2D"/>
    <w:rsid w:val="453A003B"/>
    <w:rsid w:val="45467C1A"/>
    <w:rsid w:val="45523E0A"/>
    <w:rsid w:val="45603F46"/>
    <w:rsid w:val="456F23DB"/>
    <w:rsid w:val="45784EE5"/>
    <w:rsid w:val="457C33A8"/>
    <w:rsid w:val="457F5F13"/>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E2692"/>
    <w:rsid w:val="4670640B"/>
    <w:rsid w:val="46753897"/>
    <w:rsid w:val="467A71EB"/>
    <w:rsid w:val="46867477"/>
    <w:rsid w:val="468A02AD"/>
    <w:rsid w:val="468B3DD1"/>
    <w:rsid w:val="469043B7"/>
    <w:rsid w:val="46BC781A"/>
    <w:rsid w:val="46BF4C9C"/>
    <w:rsid w:val="46C936C8"/>
    <w:rsid w:val="46CB1893"/>
    <w:rsid w:val="46D87DE5"/>
    <w:rsid w:val="46E556A4"/>
    <w:rsid w:val="46E97F6B"/>
    <w:rsid w:val="46EA25E1"/>
    <w:rsid w:val="46EB1077"/>
    <w:rsid w:val="47044DA5"/>
    <w:rsid w:val="470C2558"/>
    <w:rsid w:val="472127B7"/>
    <w:rsid w:val="472165B7"/>
    <w:rsid w:val="47277064"/>
    <w:rsid w:val="47323C17"/>
    <w:rsid w:val="473A07C7"/>
    <w:rsid w:val="4743767B"/>
    <w:rsid w:val="474C305D"/>
    <w:rsid w:val="474E29C1"/>
    <w:rsid w:val="475569C5"/>
    <w:rsid w:val="475A49C5"/>
    <w:rsid w:val="475E44B5"/>
    <w:rsid w:val="476121D8"/>
    <w:rsid w:val="476A063C"/>
    <w:rsid w:val="477C748E"/>
    <w:rsid w:val="478A7058"/>
    <w:rsid w:val="47941208"/>
    <w:rsid w:val="47A101B2"/>
    <w:rsid w:val="47BE3093"/>
    <w:rsid w:val="47BF2852"/>
    <w:rsid w:val="47BF386C"/>
    <w:rsid w:val="47C3256A"/>
    <w:rsid w:val="47C95C6C"/>
    <w:rsid w:val="47EC7022"/>
    <w:rsid w:val="47FC7940"/>
    <w:rsid w:val="48030B33"/>
    <w:rsid w:val="48046015"/>
    <w:rsid w:val="4819316F"/>
    <w:rsid w:val="482F5E51"/>
    <w:rsid w:val="48315726"/>
    <w:rsid w:val="483F125D"/>
    <w:rsid w:val="4851401A"/>
    <w:rsid w:val="48580B32"/>
    <w:rsid w:val="485B43A9"/>
    <w:rsid w:val="48635024"/>
    <w:rsid w:val="486C0E54"/>
    <w:rsid w:val="487B675C"/>
    <w:rsid w:val="489839F7"/>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CF6EFC"/>
    <w:rsid w:val="49D04BAB"/>
    <w:rsid w:val="49EA0282"/>
    <w:rsid w:val="49EA17C4"/>
    <w:rsid w:val="49EF440A"/>
    <w:rsid w:val="4A0C644A"/>
    <w:rsid w:val="4A1A2F12"/>
    <w:rsid w:val="4A2C7C77"/>
    <w:rsid w:val="4A321C6F"/>
    <w:rsid w:val="4A366D8C"/>
    <w:rsid w:val="4A375709"/>
    <w:rsid w:val="4A475BFC"/>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04189"/>
    <w:rsid w:val="4C42244E"/>
    <w:rsid w:val="4C437DCE"/>
    <w:rsid w:val="4C6D3DA8"/>
    <w:rsid w:val="4C727CFA"/>
    <w:rsid w:val="4C88081B"/>
    <w:rsid w:val="4C8872A2"/>
    <w:rsid w:val="4C9C19F3"/>
    <w:rsid w:val="4CA47183"/>
    <w:rsid w:val="4CA7245A"/>
    <w:rsid w:val="4CB7606E"/>
    <w:rsid w:val="4CF745DE"/>
    <w:rsid w:val="4CFC57E0"/>
    <w:rsid w:val="4D087B01"/>
    <w:rsid w:val="4D0B58BC"/>
    <w:rsid w:val="4D0C050F"/>
    <w:rsid w:val="4D0C2AD5"/>
    <w:rsid w:val="4D2059FA"/>
    <w:rsid w:val="4D2E3574"/>
    <w:rsid w:val="4D451B18"/>
    <w:rsid w:val="4D45533B"/>
    <w:rsid w:val="4D4D5AFE"/>
    <w:rsid w:val="4D502AF2"/>
    <w:rsid w:val="4D5C07F9"/>
    <w:rsid w:val="4D755736"/>
    <w:rsid w:val="4DAC0A3B"/>
    <w:rsid w:val="4DB92102"/>
    <w:rsid w:val="4DBA3E20"/>
    <w:rsid w:val="4DBC5B64"/>
    <w:rsid w:val="4DC679DB"/>
    <w:rsid w:val="4DE61D12"/>
    <w:rsid w:val="4DF1146E"/>
    <w:rsid w:val="4DF53699"/>
    <w:rsid w:val="4DF82017"/>
    <w:rsid w:val="4E0E661C"/>
    <w:rsid w:val="4E1E3790"/>
    <w:rsid w:val="4E2E44B5"/>
    <w:rsid w:val="4E4C57ED"/>
    <w:rsid w:val="4E5505A6"/>
    <w:rsid w:val="4E820BD8"/>
    <w:rsid w:val="4E83047D"/>
    <w:rsid w:val="4E874C8C"/>
    <w:rsid w:val="4E8D729C"/>
    <w:rsid w:val="4E8E1C0C"/>
    <w:rsid w:val="4E9609D8"/>
    <w:rsid w:val="4E98004C"/>
    <w:rsid w:val="4EA5208F"/>
    <w:rsid w:val="4EAE617F"/>
    <w:rsid w:val="4EBD702F"/>
    <w:rsid w:val="4EC310A1"/>
    <w:rsid w:val="4EC818B0"/>
    <w:rsid w:val="4ECB59F9"/>
    <w:rsid w:val="4ECE1CAC"/>
    <w:rsid w:val="4ED35615"/>
    <w:rsid w:val="4EE414BB"/>
    <w:rsid w:val="4EE53CEC"/>
    <w:rsid w:val="4EE87B84"/>
    <w:rsid w:val="4EFE0DEE"/>
    <w:rsid w:val="4EFF65C5"/>
    <w:rsid w:val="4F0052D1"/>
    <w:rsid w:val="4F014784"/>
    <w:rsid w:val="4F0431E6"/>
    <w:rsid w:val="4F1B712F"/>
    <w:rsid w:val="4F1C605F"/>
    <w:rsid w:val="4F254824"/>
    <w:rsid w:val="4F2658BE"/>
    <w:rsid w:val="4F42646A"/>
    <w:rsid w:val="4F4736A7"/>
    <w:rsid w:val="4F530677"/>
    <w:rsid w:val="4F7914EF"/>
    <w:rsid w:val="4F9174FD"/>
    <w:rsid w:val="4F9402D2"/>
    <w:rsid w:val="4FA669F9"/>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BA020E"/>
    <w:rsid w:val="51C05FF6"/>
    <w:rsid w:val="51D135DE"/>
    <w:rsid w:val="51DF4444"/>
    <w:rsid w:val="51F65295"/>
    <w:rsid w:val="51F872B4"/>
    <w:rsid w:val="51FD3DB6"/>
    <w:rsid w:val="52097713"/>
    <w:rsid w:val="520C3BB6"/>
    <w:rsid w:val="52252174"/>
    <w:rsid w:val="52295AE6"/>
    <w:rsid w:val="522D0E7F"/>
    <w:rsid w:val="523061C0"/>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B96"/>
    <w:rsid w:val="535D5DC8"/>
    <w:rsid w:val="53776509"/>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3249D"/>
    <w:rsid w:val="54E979F3"/>
    <w:rsid w:val="54EF0774"/>
    <w:rsid w:val="54F2448F"/>
    <w:rsid w:val="54FE2E33"/>
    <w:rsid w:val="550B2DC8"/>
    <w:rsid w:val="5520724E"/>
    <w:rsid w:val="5540169E"/>
    <w:rsid w:val="55466588"/>
    <w:rsid w:val="5547793A"/>
    <w:rsid w:val="554C32B2"/>
    <w:rsid w:val="55501E76"/>
    <w:rsid w:val="55701D69"/>
    <w:rsid w:val="55731E3E"/>
    <w:rsid w:val="557A0272"/>
    <w:rsid w:val="557E29D7"/>
    <w:rsid w:val="558F2195"/>
    <w:rsid w:val="55900035"/>
    <w:rsid w:val="559F5951"/>
    <w:rsid w:val="55AF798B"/>
    <w:rsid w:val="55CA70E8"/>
    <w:rsid w:val="55ED4967"/>
    <w:rsid w:val="55F350C4"/>
    <w:rsid w:val="560E7AEF"/>
    <w:rsid w:val="561B14C6"/>
    <w:rsid w:val="561B7A15"/>
    <w:rsid w:val="56247722"/>
    <w:rsid w:val="56342FDD"/>
    <w:rsid w:val="563F54B2"/>
    <w:rsid w:val="56467B64"/>
    <w:rsid w:val="565626F9"/>
    <w:rsid w:val="565671A2"/>
    <w:rsid w:val="56685CA8"/>
    <w:rsid w:val="56694C24"/>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8E42DB"/>
    <w:rsid w:val="57971A40"/>
    <w:rsid w:val="579E4D2D"/>
    <w:rsid w:val="57A24175"/>
    <w:rsid w:val="57B75717"/>
    <w:rsid w:val="57B9573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9A7317"/>
    <w:rsid w:val="58BB3CCE"/>
    <w:rsid w:val="58C97BB5"/>
    <w:rsid w:val="58CD3249"/>
    <w:rsid w:val="58DE0E81"/>
    <w:rsid w:val="59125866"/>
    <w:rsid w:val="5915352F"/>
    <w:rsid w:val="591B0458"/>
    <w:rsid w:val="59232E69"/>
    <w:rsid w:val="59304651"/>
    <w:rsid w:val="593A5AB8"/>
    <w:rsid w:val="593E2965"/>
    <w:rsid w:val="594856C1"/>
    <w:rsid w:val="59486EBB"/>
    <w:rsid w:val="59493AFE"/>
    <w:rsid w:val="594C38F9"/>
    <w:rsid w:val="594C4A1E"/>
    <w:rsid w:val="59567838"/>
    <w:rsid w:val="59700D18"/>
    <w:rsid w:val="5970491E"/>
    <w:rsid w:val="597304CA"/>
    <w:rsid w:val="59794C92"/>
    <w:rsid w:val="597A0373"/>
    <w:rsid w:val="598803B1"/>
    <w:rsid w:val="59A1023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6821A5"/>
    <w:rsid w:val="5A7035CD"/>
    <w:rsid w:val="5A873ECB"/>
    <w:rsid w:val="5A934A0F"/>
    <w:rsid w:val="5A957C98"/>
    <w:rsid w:val="5A9E6D6F"/>
    <w:rsid w:val="5AAC50E0"/>
    <w:rsid w:val="5AAD60EA"/>
    <w:rsid w:val="5AB61DE0"/>
    <w:rsid w:val="5AC92574"/>
    <w:rsid w:val="5ACB527F"/>
    <w:rsid w:val="5AD7761B"/>
    <w:rsid w:val="5AE6394B"/>
    <w:rsid w:val="5B072DB6"/>
    <w:rsid w:val="5B19492B"/>
    <w:rsid w:val="5B233465"/>
    <w:rsid w:val="5B506B61"/>
    <w:rsid w:val="5B5F0F2E"/>
    <w:rsid w:val="5B667984"/>
    <w:rsid w:val="5B6B796C"/>
    <w:rsid w:val="5B7C0F56"/>
    <w:rsid w:val="5B7E621B"/>
    <w:rsid w:val="5B885B4D"/>
    <w:rsid w:val="5B9808C1"/>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551BE"/>
    <w:rsid w:val="5D1F603D"/>
    <w:rsid w:val="5D283143"/>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8530EF"/>
    <w:rsid w:val="5EA06D09"/>
    <w:rsid w:val="5EA53C9A"/>
    <w:rsid w:val="5EB822A5"/>
    <w:rsid w:val="5EBC7F37"/>
    <w:rsid w:val="5ECE7D1A"/>
    <w:rsid w:val="5ED03A93"/>
    <w:rsid w:val="5ED36C86"/>
    <w:rsid w:val="5EDA60B0"/>
    <w:rsid w:val="5EE35A57"/>
    <w:rsid w:val="5F1645A7"/>
    <w:rsid w:val="5F49114F"/>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2A2D2E"/>
    <w:rsid w:val="603B4F3C"/>
    <w:rsid w:val="60477ABF"/>
    <w:rsid w:val="604B06AE"/>
    <w:rsid w:val="60526566"/>
    <w:rsid w:val="60563B24"/>
    <w:rsid w:val="607F756F"/>
    <w:rsid w:val="60917251"/>
    <w:rsid w:val="60982996"/>
    <w:rsid w:val="60C53D01"/>
    <w:rsid w:val="60C9018D"/>
    <w:rsid w:val="60CE5DB0"/>
    <w:rsid w:val="60DA12F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1F13DC"/>
    <w:rsid w:val="62256C85"/>
    <w:rsid w:val="623600B0"/>
    <w:rsid w:val="62562501"/>
    <w:rsid w:val="6256299E"/>
    <w:rsid w:val="62574D95"/>
    <w:rsid w:val="62583769"/>
    <w:rsid w:val="62586747"/>
    <w:rsid w:val="626C60B7"/>
    <w:rsid w:val="62746498"/>
    <w:rsid w:val="62830E1C"/>
    <w:rsid w:val="62922E0D"/>
    <w:rsid w:val="62982A5C"/>
    <w:rsid w:val="62A451FB"/>
    <w:rsid w:val="62BB1163"/>
    <w:rsid w:val="62CB6D60"/>
    <w:rsid w:val="62E358B2"/>
    <w:rsid w:val="62EA49F7"/>
    <w:rsid w:val="62F154C5"/>
    <w:rsid w:val="62FD0A5D"/>
    <w:rsid w:val="63162338"/>
    <w:rsid w:val="632036E4"/>
    <w:rsid w:val="63232EB3"/>
    <w:rsid w:val="63267478"/>
    <w:rsid w:val="633D315E"/>
    <w:rsid w:val="63504ABF"/>
    <w:rsid w:val="63517786"/>
    <w:rsid w:val="635A0D1C"/>
    <w:rsid w:val="637052D7"/>
    <w:rsid w:val="6388739F"/>
    <w:rsid w:val="6389099E"/>
    <w:rsid w:val="63954DAA"/>
    <w:rsid w:val="63C74AA3"/>
    <w:rsid w:val="63D87748"/>
    <w:rsid w:val="63DE2EEF"/>
    <w:rsid w:val="63E8362C"/>
    <w:rsid w:val="63F16145"/>
    <w:rsid w:val="64024CFF"/>
    <w:rsid w:val="640B2E77"/>
    <w:rsid w:val="641D22DD"/>
    <w:rsid w:val="643B19AE"/>
    <w:rsid w:val="64426DE8"/>
    <w:rsid w:val="644C3930"/>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6305B8"/>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13936"/>
    <w:rsid w:val="67DC3A63"/>
    <w:rsid w:val="67E071EA"/>
    <w:rsid w:val="67FC4971"/>
    <w:rsid w:val="68221BAF"/>
    <w:rsid w:val="682D62D9"/>
    <w:rsid w:val="6841155D"/>
    <w:rsid w:val="685143BC"/>
    <w:rsid w:val="68542A0A"/>
    <w:rsid w:val="68555296"/>
    <w:rsid w:val="685C6397"/>
    <w:rsid w:val="686C1E80"/>
    <w:rsid w:val="68816836"/>
    <w:rsid w:val="689079C3"/>
    <w:rsid w:val="689A2A1B"/>
    <w:rsid w:val="68B95597"/>
    <w:rsid w:val="68D46A71"/>
    <w:rsid w:val="68D56910"/>
    <w:rsid w:val="68EF70C5"/>
    <w:rsid w:val="68F22D9F"/>
    <w:rsid w:val="69162C86"/>
    <w:rsid w:val="69180AD7"/>
    <w:rsid w:val="69201173"/>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8009C"/>
    <w:rsid w:val="6A1B780C"/>
    <w:rsid w:val="6A206086"/>
    <w:rsid w:val="6A271B68"/>
    <w:rsid w:val="6A3273AF"/>
    <w:rsid w:val="6A3F0B90"/>
    <w:rsid w:val="6A3F71AB"/>
    <w:rsid w:val="6A407F9F"/>
    <w:rsid w:val="6A425119"/>
    <w:rsid w:val="6A4620BF"/>
    <w:rsid w:val="6A4D5F32"/>
    <w:rsid w:val="6A5D65D9"/>
    <w:rsid w:val="6A663971"/>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41F05"/>
    <w:rsid w:val="6AF5032D"/>
    <w:rsid w:val="6AFB2812"/>
    <w:rsid w:val="6AFF182D"/>
    <w:rsid w:val="6B032C8C"/>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92B5A"/>
    <w:rsid w:val="6BAE2C22"/>
    <w:rsid w:val="6BB42760"/>
    <w:rsid w:val="6BD37065"/>
    <w:rsid w:val="6BE13B5E"/>
    <w:rsid w:val="6BE31674"/>
    <w:rsid w:val="6BE95EA9"/>
    <w:rsid w:val="6BEA6094"/>
    <w:rsid w:val="6C114575"/>
    <w:rsid w:val="6C150D37"/>
    <w:rsid w:val="6C2A7712"/>
    <w:rsid w:val="6C3E2214"/>
    <w:rsid w:val="6C427652"/>
    <w:rsid w:val="6C4D48CD"/>
    <w:rsid w:val="6C661592"/>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6067F"/>
    <w:rsid w:val="6D087337"/>
    <w:rsid w:val="6D0E1321"/>
    <w:rsid w:val="6D104BE0"/>
    <w:rsid w:val="6D132371"/>
    <w:rsid w:val="6D1338DD"/>
    <w:rsid w:val="6D153789"/>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05A16"/>
    <w:rsid w:val="6E25722B"/>
    <w:rsid w:val="6E3363CE"/>
    <w:rsid w:val="6E3C316F"/>
    <w:rsid w:val="6E453429"/>
    <w:rsid w:val="6E456275"/>
    <w:rsid w:val="6E4E36BD"/>
    <w:rsid w:val="6E5161B1"/>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6FFE22D2"/>
    <w:rsid w:val="6FFE5F86"/>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0EF7D54"/>
    <w:rsid w:val="71027F8C"/>
    <w:rsid w:val="711D41EA"/>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42376"/>
    <w:rsid w:val="724A7260"/>
    <w:rsid w:val="724B68D9"/>
    <w:rsid w:val="724D0AFE"/>
    <w:rsid w:val="72541E8D"/>
    <w:rsid w:val="725E62FA"/>
    <w:rsid w:val="72860473"/>
    <w:rsid w:val="7299364D"/>
    <w:rsid w:val="72C16C93"/>
    <w:rsid w:val="72CD0B71"/>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11760"/>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6E2181"/>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27B21"/>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472401"/>
    <w:rsid w:val="775B5775"/>
    <w:rsid w:val="775E0D1F"/>
    <w:rsid w:val="776655B0"/>
    <w:rsid w:val="77685B26"/>
    <w:rsid w:val="777814CA"/>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7F54C8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2151BF"/>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213A8"/>
    <w:rsid w:val="7A54735F"/>
    <w:rsid w:val="7A5A319C"/>
    <w:rsid w:val="7A5B64AE"/>
    <w:rsid w:val="7A5C5D83"/>
    <w:rsid w:val="7A681FA7"/>
    <w:rsid w:val="7A6963D8"/>
    <w:rsid w:val="7A8D6E37"/>
    <w:rsid w:val="7AA21823"/>
    <w:rsid w:val="7AA7070E"/>
    <w:rsid w:val="7AA900DE"/>
    <w:rsid w:val="7AA936C9"/>
    <w:rsid w:val="7AB12D4C"/>
    <w:rsid w:val="7AC9574D"/>
    <w:rsid w:val="7AD37F76"/>
    <w:rsid w:val="7AF32BF3"/>
    <w:rsid w:val="7AF771AA"/>
    <w:rsid w:val="7B063D79"/>
    <w:rsid w:val="7B095F0A"/>
    <w:rsid w:val="7B0A6CF0"/>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378B1"/>
    <w:rsid w:val="7C9909ED"/>
    <w:rsid w:val="7C9C2291"/>
    <w:rsid w:val="7CA12173"/>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9B1948"/>
    <w:rsid w:val="7DA56991"/>
    <w:rsid w:val="7DA623C2"/>
    <w:rsid w:val="7DA737B9"/>
    <w:rsid w:val="7DB639FC"/>
    <w:rsid w:val="7DFC1A33"/>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D660B"/>
    <w:rsid w:val="7E920963"/>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B065C"/>
    <w:rsid w:val="7F3E0944"/>
    <w:rsid w:val="7F3E5DC7"/>
    <w:rsid w:val="7F4379D1"/>
    <w:rsid w:val="7F4C0ABC"/>
    <w:rsid w:val="7F5C2ED4"/>
    <w:rsid w:val="7F5E061E"/>
    <w:rsid w:val="7F643B5C"/>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5"/>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3"/>
    <w:qFormat/>
    <w:uiPriority w:val="0"/>
  </w:style>
  <w:style w:type="paragraph" w:styleId="21">
    <w:name w:val="Block Text"/>
    <w:basedOn w:val="1"/>
    <w:next w:val="22"/>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qFormat/>
    <w:uiPriority w:val="0"/>
    <w:pPr>
      <w:ind w:left="420" w:leftChars="200"/>
    </w:pPr>
    <w:rPr>
      <w:sz w:val="16"/>
      <w:szCs w:val="16"/>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8"/>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next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qFormat/>
    <w:uiPriority w:val="0"/>
    <w:rPr>
      <w:b/>
      <w:bCs/>
    </w:rPr>
  </w:style>
  <w:style w:type="paragraph" w:styleId="45">
    <w:name w:val="Body Text First Indent"/>
    <w:basedOn w:val="20"/>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333333"/>
      <w:u w:val="none"/>
    </w:rPr>
  </w:style>
  <w:style w:type="character" w:styleId="52">
    <w:name w:val="Emphasis"/>
    <w:qFormat/>
    <w:uiPriority w:val="0"/>
    <w:rPr>
      <w:color w:val="CC0033"/>
    </w:rPr>
  </w:style>
  <w:style w:type="character" w:styleId="53">
    <w:name w:val="HTML Definition"/>
    <w:qFormat/>
    <w:uiPriority w:val="0"/>
  </w:style>
  <w:style w:type="character" w:styleId="54">
    <w:name w:val="HTML Typewriter"/>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qFormat/>
    <w:uiPriority w:val="0"/>
  </w:style>
  <w:style w:type="character" w:styleId="57">
    <w:name w:val="Hyperlink"/>
    <w:basedOn w:val="48"/>
    <w:qFormat/>
    <w:uiPriority w:val="99"/>
    <w:rPr>
      <w:color w:val="333333"/>
      <w:u w:val="none"/>
    </w:rPr>
  </w:style>
  <w:style w:type="character" w:styleId="58">
    <w:name w:val="HTML Code"/>
    <w:qFormat/>
    <w:uiPriority w:val="0"/>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qFormat/>
    <w:uiPriority w:val="0"/>
  </w:style>
  <w:style w:type="character" w:styleId="61">
    <w:name w:val="footnote reference"/>
    <w:qFormat/>
    <w:uiPriority w:val="0"/>
    <w:rPr>
      <w:vertAlign w:val="superscript"/>
    </w:rPr>
  </w:style>
  <w:style w:type="character" w:styleId="62">
    <w:name w:val="HTML Keyboard"/>
    <w:qFormat/>
    <w:uiPriority w:val="0"/>
    <w:rPr>
      <w:rFonts w:ascii="monospace" w:hAnsi="monospace" w:eastAsia="monospace" w:cs="monospace"/>
      <w:sz w:val="20"/>
    </w:rPr>
  </w:style>
  <w:style w:type="character" w:styleId="63">
    <w:name w:val="HTML Sample"/>
    <w:qFormat/>
    <w:uiPriority w:val="0"/>
    <w:rPr>
      <w:rFonts w:hint="default" w:ascii="monospace" w:hAnsi="monospace" w:eastAsia="monospace" w:cs="monospace"/>
    </w:rPr>
  </w:style>
  <w:style w:type="character" w:customStyle="1" w:styleId="64">
    <w:name w:val="标题 2 Char"/>
    <w:qFormat/>
    <w:uiPriority w:val="0"/>
    <w:rPr>
      <w:rFonts w:ascii="Arial" w:hAnsi="Arial" w:eastAsia="黑体"/>
      <w:b/>
      <w:bCs/>
      <w:kern w:val="2"/>
      <w:sz w:val="21"/>
      <w:szCs w:val="32"/>
      <w:lang w:val="en-US" w:eastAsia="zh-CN" w:bidi="ar-SA"/>
    </w:rPr>
  </w:style>
  <w:style w:type="character" w:customStyle="1" w:styleId="65">
    <w:name w:val="标题 1 Char"/>
    <w:link w:val="3"/>
    <w:qFormat/>
    <w:uiPriority w:val="0"/>
    <w:rPr>
      <w:rFonts w:eastAsia="宋体"/>
      <w:b/>
      <w:bCs/>
      <w:kern w:val="44"/>
      <w:sz w:val="44"/>
      <w:szCs w:val="44"/>
      <w:lang w:val="en-US" w:eastAsia="zh-CN" w:bidi="ar-SA"/>
    </w:rPr>
  </w:style>
  <w:style w:type="paragraph" w:customStyle="1" w:styleId="66">
    <w:name w:val="正文（缩进）"/>
    <w:basedOn w:val="1"/>
    <w:next w:val="21"/>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qFormat/>
    <w:uiPriority w:val="0"/>
    <w:pPr>
      <w:ind w:left="240"/>
    </w:pPr>
    <w:rPr>
      <w:sz w:val="16"/>
    </w:rPr>
  </w:style>
  <w:style w:type="paragraph" w:styleId="68">
    <w:name w:val="List Paragraph"/>
    <w:basedOn w:val="1"/>
    <w:qFormat/>
    <w:uiPriority w:val="34"/>
    <w:pPr>
      <w:ind w:firstLine="420" w:firstLineChars="200"/>
    </w:pPr>
  </w:style>
  <w:style w:type="paragraph" w:customStyle="1" w:styleId="69">
    <w:name w:val="_Style 62"/>
    <w:basedOn w:val="1"/>
    <w:next w:val="1"/>
    <w:qFormat/>
    <w:uiPriority w:val="0"/>
    <w:pPr>
      <w:pBdr>
        <w:top w:val="single" w:color="auto" w:sz="6" w:space="1"/>
      </w:pBdr>
      <w:jc w:val="center"/>
    </w:pPr>
    <w:rPr>
      <w:rFonts w:ascii="Arial"/>
      <w:vanish/>
      <w:sz w:val="16"/>
    </w:rPr>
  </w:style>
  <w:style w:type="paragraph" w:customStyle="1" w:styleId="70">
    <w:name w:val="Blockquote"/>
    <w:basedOn w:val="1"/>
    <w:qFormat/>
    <w:uiPriority w:val="0"/>
    <w:pPr>
      <w:autoSpaceDE w:val="0"/>
      <w:autoSpaceDN w:val="0"/>
      <w:adjustRightInd w:val="0"/>
      <w:ind w:left="360" w:right="360"/>
      <w:jc w:val="left"/>
    </w:pPr>
    <w:rPr>
      <w:kern w:val="0"/>
      <w:sz w:val="24"/>
      <w:szCs w:val="20"/>
    </w:rPr>
  </w:style>
  <w:style w:type="paragraph" w:customStyle="1" w:styleId="71">
    <w:name w:val="表格"/>
    <w:basedOn w:val="1"/>
    <w:qFormat/>
    <w:uiPriority w:val="0"/>
    <w:pPr>
      <w:jc w:val="center"/>
      <w:textAlignment w:val="center"/>
    </w:pPr>
    <w:rPr>
      <w:rFonts w:ascii="华文细黑" w:hAnsi="华文细黑"/>
      <w:kern w:val="0"/>
      <w:szCs w:val="20"/>
    </w:rPr>
  </w:style>
  <w:style w:type="paragraph" w:customStyle="1" w:styleId="72">
    <w:name w:val="表格文字"/>
    <w:basedOn w:val="1"/>
    <w:qFormat/>
    <w:uiPriority w:val="0"/>
    <w:pPr>
      <w:adjustRightInd w:val="0"/>
      <w:spacing w:line="420" w:lineRule="atLeast"/>
      <w:jc w:val="left"/>
      <w:textAlignment w:val="baseline"/>
    </w:pPr>
    <w:rPr>
      <w:kern w:val="0"/>
      <w:szCs w:val="20"/>
    </w:rPr>
  </w:style>
  <w:style w:type="paragraph" w:customStyle="1" w:styleId="73">
    <w:name w:val="Char"/>
    <w:basedOn w:val="1"/>
    <w:next w:val="1"/>
    <w:qFormat/>
    <w:uiPriority w:val="0"/>
    <w:pPr>
      <w:widowControl/>
      <w:spacing w:line="360" w:lineRule="auto"/>
      <w:jc w:val="left"/>
    </w:pPr>
    <w:rPr>
      <w:kern w:val="0"/>
      <w:szCs w:val="20"/>
      <w:lang w:eastAsia="en-US"/>
    </w:rPr>
  </w:style>
  <w:style w:type="paragraph" w:customStyle="1" w:styleId="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qFormat/>
    <w:uiPriority w:val="0"/>
  </w:style>
  <w:style w:type="paragraph" w:customStyle="1" w:styleId="76">
    <w:name w:val="Default Paragraph Char Char Char Char"/>
    <w:basedOn w:val="1"/>
    <w:next w:val="1"/>
    <w:qFormat/>
    <w:uiPriority w:val="0"/>
    <w:pPr>
      <w:spacing w:line="360" w:lineRule="auto"/>
    </w:pPr>
    <w:rPr>
      <w:szCs w:val="20"/>
    </w:rPr>
  </w:style>
  <w:style w:type="paragraph" w:customStyle="1" w:styleId="77">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qFormat/>
    <w:uiPriority w:val="0"/>
  </w:style>
  <w:style w:type="paragraph" w:customStyle="1" w:styleId="79">
    <w:name w:val="样式 标题 1 + 黑体 五号"/>
    <w:basedOn w:val="3"/>
    <w:qFormat/>
    <w:uiPriority w:val="0"/>
    <w:pPr>
      <w:jc w:val="left"/>
    </w:pPr>
    <w:rPr>
      <w:rFonts w:ascii="黑体" w:hAnsi="黑体" w:eastAsia="黑体"/>
      <w:sz w:val="21"/>
    </w:rPr>
  </w:style>
  <w:style w:type="paragraph" w:customStyle="1" w:styleId="80">
    <w:name w:val="样式4"/>
    <w:basedOn w:val="2"/>
    <w:qFormat/>
    <w:uiPriority w:val="0"/>
    <w:rPr>
      <w:rFonts w:eastAsia="Arial"/>
    </w:rPr>
  </w:style>
  <w:style w:type="paragraph" w:customStyle="1" w:styleId="81">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qFormat/>
    <w:uiPriority w:val="0"/>
    <w:pPr>
      <w:ind w:firstLine="200" w:firstLineChars="200"/>
    </w:pPr>
  </w:style>
  <w:style w:type="paragraph" w:customStyle="1" w:styleId="83">
    <w:name w:val="p0 New"/>
    <w:basedOn w:val="1"/>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qFormat/>
    <w:uiPriority w:val="0"/>
    <w:pPr>
      <w:tabs>
        <w:tab w:val="left" w:pos="360"/>
      </w:tabs>
    </w:pPr>
    <w:rPr>
      <w:sz w:val="24"/>
    </w:rPr>
  </w:style>
  <w:style w:type="paragraph" w:customStyle="1" w:styleId="87">
    <w:name w:val="样式1"/>
    <w:basedOn w:val="2"/>
    <w:qFormat/>
    <w:uiPriority w:val="0"/>
    <w:rPr>
      <w:rFonts w:eastAsia="Arial"/>
    </w:rPr>
  </w:style>
  <w:style w:type="paragraph" w:customStyle="1" w:styleId="88">
    <w:name w:val="Char Char Char Char Char Char Char Char Char Char Char Char Char"/>
    <w:basedOn w:val="1"/>
    <w:qFormat/>
    <w:uiPriority w:val="0"/>
  </w:style>
  <w:style w:type="paragraph" w:customStyle="1" w:styleId="89">
    <w:name w:val="p"/>
    <w:basedOn w:val="1"/>
    <w:qFormat/>
    <w:uiPriority w:val="0"/>
    <w:rPr>
      <w:rFonts w:ascii="宋体"/>
      <w:sz w:val="24"/>
    </w:rPr>
  </w:style>
  <w:style w:type="paragraph" w:customStyle="1" w:styleId="90">
    <w:name w:val="Char Char Char Char"/>
    <w:basedOn w:val="1"/>
    <w:qFormat/>
    <w:uiPriority w:val="0"/>
  </w:style>
  <w:style w:type="paragraph" w:customStyle="1" w:styleId="91">
    <w:name w:val="_Style 84"/>
    <w:basedOn w:val="1"/>
    <w:next w:val="1"/>
    <w:qFormat/>
    <w:uiPriority w:val="0"/>
    <w:pPr>
      <w:pBdr>
        <w:bottom w:val="single" w:color="auto" w:sz="6" w:space="1"/>
      </w:pBdr>
      <w:jc w:val="center"/>
    </w:pPr>
    <w:rPr>
      <w:rFonts w:ascii="Arial"/>
      <w:vanish/>
      <w:sz w:val="16"/>
    </w:rPr>
  </w:style>
  <w:style w:type="paragraph" w:customStyle="1" w:styleId="92">
    <w:name w:val="1"/>
    <w:basedOn w:val="1"/>
    <w:next w:val="1"/>
    <w:qFormat/>
    <w:uiPriority w:val="0"/>
  </w:style>
  <w:style w:type="paragraph" w:customStyle="1" w:styleId="93">
    <w:name w:val="p15"/>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6">
    <w:name w:val="p0"/>
    <w:basedOn w:val="1"/>
    <w:qFormat/>
    <w:uiPriority w:val="99"/>
    <w:pPr>
      <w:widowControl/>
    </w:pPr>
    <w:rPr>
      <w:kern w:val="0"/>
      <w:szCs w:val="21"/>
    </w:rPr>
  </w:style>
  <w:style w:type="paragraph" w:customStyle="1" w:styleId="97">
    <w:name w:val="样式3"/>
    <w:basedOn w:val="2"/>
    <w:qFormat/>
    <w:uiPriority w:val="0"/>
    <w:rPr>
      <w:rFonts w:eastAsia="Arial"/>
    </w:rPr>
  </w:style>
  <w:style w:type="paragraph" w:customStyle="1" w:styleId="98">
    <w:name w:val="样式 标题 3 + (中文) 黑体 小四 非加粗 段前: 7.8 磅 段后: 0 磅 行距: 固定值 20 磅"/>
    <w:basedOn w:val="2"/>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qFormat/>
    <w:uiPriority w:val="0"/>
  </w:style>
  <w:style w:type="paragraph" w:customStyle="1" w:styleId="100">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qFormat/>
    <w:uiPriority w:val="0"/>
  </w:style>
  <w:style w:type="character" w:customStyle="1" w:styleId="103">
    <w:name w:val="Char Char Char Char Char Char"/>
    <w:qFormat/>
    <w:uiPriority w:val="0"/>
    <w:rPr>
      <w:rFonts w:ascii="Arial" w:hAnsi="Arial" w:eastAsia="黑体"/>
      <w:b/>
      <w:bCs/>
      <w:kern w:val="2"/>
      <w:sz w:val="32"/>
      <w:szCs w:val="32"/>
      <w:lang w:val="en-US" w:eastAsia="zh-CN" w:bidi="ar-SA"/>
    </w:rPr>
  </w:style>
  <w:style w:type="character" w:customStyle="1" w:styleId="104">
    <w:name w:val="l11"/>
    <w:qFormat/>
    <w:uiPriority w:val="0"/>
    <w:rPr>
      <w:color w:val="999999"/>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Char Char5"/>
    <w:qFormat/>
    <w:uiPriority w:val="0"/>
    <w:rPr>
      <w:rFonts w:ascii="Arial" w:hAnsi="Arial" w:eastAsia="黑体"/>
      <w:b/>
      <w:bCs/>
      <w:kern w:val="2"/>
      <w:sz w:val="32"/>
      <w:szCs w:val="32"/>
    </w:rPr>
  </w:style>
  <w:style w:type="character" w:customStyle="1" w:styleId="107">
    <w:name w:val="msg-box28"/>
    <w:basedOn w:val="48"/>
    <w:qFormat/>
    <w:uiPriority w:val="0"/>
  </w:style>
  <w:style w:type="character" w:customStyle="1" w:styleId="108">
    <w:name w:val="img_title6"/>
    <w:qFormat/>
    <w:uiPriority w:val="0"/>
    <w:rPr>
      <w:vanish/>
    </w:rPr>
  </w:style>
  <w:style w:type="character" w:customStyle="1" w:styleId="109">
    <w:name w:val="tit12"/>
    <w:qFormat/>
    <w:uiPriority w:val="0"/>
    <w:rPr>
      <w:color w:val="04A06C"/>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nostart"/>
    <w:qFormat/>
    <w:uiPriority w:val="0"/>
    <w:rPr>
      <w:color w:val="FF0000"/>
    </w:rPr>
  </w:style>
  <w:style w:type="character" w:customStyle="1" w:styleId="112">
    <w:name w:val="nostart3"/>
    <w:basedOn w:val="48"/>
    <w:qFormat/>
    <w:uiPriority w:val="0"/>
  </w:style>
  <w:style w:type="character" w:customStyle="1" w:styleId="113">
    <w:name w:val="img4"/>
    <w:basedOn w:val="48"/>
    <w:qFormat/>
    <w:uiPriority w:val="0"/>
  </w:style>
  <w:style w:type="character" w:customStyle="1" w:styleId="114">
    <w:name w:val="tit11"/>
    <w:qFormat/>
    <w:uiPriority w:val="0"/>
    <w:rPr>
      <w:color w:val="B60000"/>
    </w:rPr>
  </w:style>
  <w:style w:type="character" w:customStyle="1" w:styleId="115">
    <w:name w:val="批注文字 Char"/>
    <w:link w:val="18"/>
    <w:qFormat/>
    <w:uiPriority w:val="0"/>
    <w:rPr>
      <w:rFonts w:eastAsia="宋体"/>
      <w:kern w:val="2"/>
      <w:sz w:val="21"/>
      <w:szCs w:val="24"/>
      <w:lang w:val="en-US" w:eastAsia="zh-CN" w:bidi="ar-SA"/>
    </w:rPr>
  </w:style>
  <w:style w:type="character" w:customStyle="1" w:styleId="116">
    <w:name w:val="over"/>
    <w:qFormat/>
    <w:uiPriority w:val="0"/>
    <w:rPr>
      <w:color w:val="B60000"/>
    </w:rPr>
  </w:style>
  <w:style w:type="character" w:customStyle="1" w:styleId="117">
    <w:name w:val="HTML 预设格式 Char"/>
    <w:link w:val="41"/>
    <w:qFormat/>
    <w:uiPriority w:val="0"/>
    <w:rPr>
      <w:rFonts w:ascii="宋体" w:hAnsi="宋体" w:cs="宋体"/>
      <w:sz w:val="24"/>
      <w:szCs w:val="24"/>
    </w:rPr>
  </w:style>
  <w:style w:type="character" w:customStyle="1" w:styleId="118">
    <w:name w:val="l6"/>
    <w:qFormat/>
    <w:uiPriority w:val="0"/>
    <w:rPr>
      <w:color w:val="999999"/>
    </w:rPr>
  </w:style>
  <w:style w:type="character" w:customStyle="1" w:styleId="119">
    <w:name w:val="datetime"/>
    <w:qFormat/>
    <w:uiPriority w:val="0"/>
    <w:rPr>
      <w:rFonts w:hint="default" w:ascii="Arial" w:hAnsi="Arial" w:cs="Arial"/>
      <w:color w:val="999999"/>
      <w:sz w:val="21"/>
      <w:szCs w:val="21"/>
    </w:rPr>
  </w:style>
  <w:style w:type="character" w:customStyle="1" w:styleId="120">
    <w:name w:val="txt1"/>
    <w:basedOn w:val="48"/>
    <w:qFormat/>
    <w:uiPriority w:val="0"/>
  </w:style>
  <w:style w:type="character" w:customStyle="1" w:styleId="121">
    <w:name w:val="starting1"/>
    <w:qFormat/>
    <w:uiPriority w:val="0"/>
    <w:rPr>
      <w:color w:val="339900"/>
    </w:rPr>
  </w:style>
  <w:style w:type="character" w:customStyle="1" w:styleId="122">
    <w:name w:val="starting2"/>
    <w:qFormat/>
    <w:uiPriority w:val="0"/>
    <w:rPr>
      <w:color w:val="B60000"/>
    </w:rPr>
  </w:style>
  <w:style w:type="character" w:customStyle="1" w:styleId="123">
    <w:name w:val="red"/>
    <w:qFormat/>
    <w:uiPriority w:val="0"/>
    <w:rPr>
      <w:rFonts w:hint="default" w:ascii="Arial" w:hAnsi="Arial" w:cs="Arial"/>
      <w:color w:val="E50000"/>
    </w:rPr>
  </w:style>
  <w:style w:type="character" w:customStyle="1" w:styleId="124">
    <w:name w:val="Char Char4"/>
    <w:qFormat/>
    <w:uiPriority w:val="0"/>
    <w:rPr>
      <w:rFonts w:eastAsia="宋体"/>
      <w:b/>
      <w:bCs/>
      <w:kern w:val="44"/>
      <w:sz w:val="44"/>
      <w:szCs w:val="44"/>
      <w:lang w:val="en-US" w:eastAsia="zh-CN" w:bidi="ar-SA"/>
    </w:rPr>
  </w:style>
  <w:style w:type="character" w:customStyle="1" w:styleId="125">
    <w:name w:val="font161"/>
    <w:qFormat/>
    <w:uiPriority w:val="0"/>
    <w:rPr>
      <w:b/>
      <w:bCs/>
      <w:sz w:val="32"/>
      <w:szCs w:val="32"/>
    </w:rPr>
  </w:style>
  <w:style w:type="character" w:customStyle="1" w:styleId="126">
    <w:name w:val="Char Char8"/>
    <w:qFormat/>
    <w:uiPriority w:val="0"/>
    <w:rPr>
      <w:rFonts w:ascii="Arial" w:hAnsi="Arial" w:eastAsia="黑体"/>
      <w:b/>
      <w:bCs/>
      <w:kern w:val="2"/>
      <w:sz w:val="32"/>
      <w:szCs w:val="32"/>
      <w:lang w:val="en-US" w:eastAsia="zh-CN" w:bidi="ar-SA"/>
    </w:rPr>
  </w:style>
  <w:style w:type="character" w:customStyle="1" w:styleId="127">
    <w:name w:val="msg-box29"/>
    <w:basedOn w:val="48"/>
    <w:qFormat/>
    <w:uiPriority w:val="0"/>
  </w:style>
  <w:style w:type="character" w:customStyle="1" w:styleId="128">
    <w:name w:val="over2"/>
    <w:qFormat/>
    <w:uiPriority w:val="0"/>
    <w:rPr>
      <w:color w:val="999999"/>
    </w:rPr>
  </w:style>
  <w:style w:type="character" w:customStyle="1" w:styleId="129">
    <w:name w:val="img_title7"/>
    <w:qFormat/>
    <w:uiPriority w:val="0"/>
    <w:rPr>
      <w:vanish/>
    </w:rPr>
  </w:style>
  <w:style w:type="character" w:customStyle="1" w:styleId="130">
    <w:name w:val="l7"/>
    <w:qFormat/>
    <w:uiPriority w:val="0"/>
    <w:rPr>
      <w:color w:val="999999"/>
    </w:rPr>
  </w:style>
  <w:style w:type="character" w:customStyle="1" w:styleId="131">
    <w:name w:val="标题 5 Char"/>
    <w:link w:val="6"/>
    <w:qFormat/>
    <w:uiPriority w:val="0"/>
    <w:rPr>
      <w:b/>
      <w:bCs/>
      <w:kern w:val="2"/>
      <w:sz w:val="28"/>
      <w:szCs w:val="28"/>
    </w:rPr>
  </w:style>
  <w:style w:type="character" w:customStyle="1" w:styleId="132">
    <w:name w:val="l51"/>
    <w:qFormat/>
    <w:uiPriority w:val="0"/>
    <w:rPr>
      <w:color w:val="999999"/>
    </w:rPr>
  </w:style>
  <w:style w:type="character" w:customStyle="1" w:styleId="133">
    <w:name w:val="num81"/>
    <w:basedOn w:val="48"/>
    <w:qFormat/>
    <w:uiPriority w:val="0"/>
  </w:style>
  <w:style w:type="character" w:customStyle="1" w:styleId="134">
    <w:name w:val="Char Char1"/>
    <w:qFormat/>
    <w:uiPriority w:val="0"/>
    <w:rPr>
      <w:rFonts w:eastAsia="宋体"/>
      <w:kern w:val="2"/>
      <w:sz w:val="21"/>
      <w:szCs w:val="24"/>
      <w:lang w:val="en-US" w:eastAsia="zh-CN" w:bidi="ar-SA"/>
    </w:rPr>
  </w:style>
  <w:style w:type="character" w:customStyle="1" w:styleId="135">
    <w:name w:val="zs"/>
    <w:qFormat/>
    <w:uiPriority w:val="0"/>
    <w:rPr>
      <w:color w:val="8D744B"/>
      <w:sz w:val="18"/>
      <w:szCs w:val="18"/>
    </w:rPr>
  </w:style>
  <w:style w:type="character" w:customStyle="1" w:styleId="136">
    <w:name w:val="bigfont"/>
    <w:basedOn w:val="48"/>
    <w:qFormat/>
    <w:uiPriority w:val="0"/>
  </w:style>
  <w:style w:type="character" w:customStyle="1" w:styleId="137">
    <w:name w:val="txt"/>
    <w:qFormat/>
    <w:uiPriority w:val="0"/>
    <w:rPr>
      <w:color w:val="C0C0C0"/>
    </w:rPr>
  </w:style>
  <w:style w:type="character" w:customStyle="1" w:styleId="138">
    <w:name w:val="纯文本 Char2"/>
    <w:link w:val="25"/>
    <w:qFormat/>
    <w:uiPriority w:val="0"/>
    <w:rPr>
      <w:rFonts w:ascii="Courier New" w:hAnsi="Courier New" w:eastAsia="宋体"/>
      <w:kern w:val="2"/>
      <w:sz w:val="21"/>
      <w:lang w:val="en-US" w:eastAsia="zh-CN" w:bidi="ar-SA"/>
    </w:rPr>
  </w:style>
  <w:style w:type="character" w:customStyle="1" w:styleId="139">
    <w:name w:val="jg"/>
    <w:basedOn w:val="48"/>
    <w:qFormat/>
    <w:uiPriority w:val="0"/>
  </w:style>
  <w:style w:type="character" w:customStyle="1" w:styleId="140">
    <w:name w:val="17"/>
    <w:qFormat/>
    <w:uiPriority w:val="0"/>
    <w:rPr>
      <w:rFonts w:ascii="仿宋_GB2312" w:eastAsia="仿宋_GB2312"/>
      <w:color w:val="auto"/>
      <w:sz w:val="28"/>
      <w:szCs w:val="28"/>
      <w:u w:val="single"/>
    </w:rPr>
  </w:style>
  <w:style w:type="character" w:customStyle="1" w:styleId="141">
    <w:name w:val="job"/>
    <w:basedOn w:val="48"/>
    <w:qFormat/>
    <w:uiPriority w:val="0"/>
  </w:style>
  <w:style w:type="character" w:customStyle="1" w:styleId="142">
    <w:name w:val="job1"/>
    <w:basedOn w:val="48"/>
    <w:qFormat/>
    <w:uiPriority w:val="0"/>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8"/>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8"/>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8"/>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8"/>
    <w:qFormat/>
    <w:uiPriority w:val="0"/>
  </w:style>
  <w:style w:type="character" w:customStyle="1" w:styleId="152">
    <w:name w:val="msg-box30"/>
    <w:basedOn w:val="48"/>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2"/>
    <w:qFormat/>
    <w:uiPriority w:val="0"/>
    <w:rPr>
      <w:b/>
      <w:bCs/>
      <w:sz w:val="32"/>
      <w:szCs w:val="32"/>
    </w:rPr>
  </w:style>
  <w:style w:type="character" w:customStyle="1" w:styleId="155">
    <w:name w:val="c1"/>
    <w:basedOn w:val="48"/>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8"/>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8"/>
    <w:qFormat/>
    <w:uiPriority w:val="0"/>
  </w:style>
  <w:style w:type="character" w:customStyle="1" w:styleId="171">
    <w:name w:val="mesg-myd"/>
    <w:qFormat/>
    <w:uiPriority w:val="0"/>
    <w:rPr>
      <w:color w:val="EE0000"/>
    </w:rPr>
  </w:style>
  <w:style w:type="character" w:customStyle="1" w:styleId="172">
    <w:name w:val="c2"/>
    <w:basedOn w:val="48"/>
    <w:qFormat/>
    <w:uiPriority w:val="0"/>
  </w:style>
  <w:style w:type="character" w:customStyle="1" w:styleId="173">
    <w:name w:val="c3"/>
    <w:basedOn w:val="48"/>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8"/>
    <w:qFormat/>
    <w:uiPriority w:val="0"/>
  </w:style>
  <w:style w:type="character" w:customStyle="1" w:styleId="180">
    <w:name w:val="starting4"/>
    <w:basedOn w:val="48"/>
    <w:qFormat/>
    <w:uiPriority w:val="0"/>
  </w:style>
  <w:style w:type="character" w:customStyle="1" w:styleId="181">
    <w:name w:val="bsharetext"/>
    <w:basedOn w:val="48"/>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8"/>
    <w:qFormat/>
    <w:uiPriority w:val="0"/>
  </w:style>
  <w:style w:type="character" w:customStyle="1" w:styleId="189">
    <w:name w:val="buvis1"/>
    <w:qFormat/>
    <w:uiPriority w:val="0"/>
    <w:rPr>
      <w:color w:val="CC0000"/>
    </w:rPr>
  </w:style>
  <w:style w:type="character" w:customStyle="1" w:styleId="190">
    <w:name w:val="starting3"/>
    <w:basedOn w:val="48"/>
    <w:qFormat/>
    <w:uiPriority w:val="0"/>
  </w:style>
  <w:style w:type="character" w:customStyle="1" w:styleId="191">
    <w:name w:val="textcontents"/>
    <w:basedOn w:val="48"/>
    <w:qFormat/>
    <w:uiPriority w:val="0"/>
  </w:style>
  <w:style w:type="character" w:customStyle="1" w:styleId="192">
    <w:name w:val="num41"/>
    <w:basedOn w:val="48"/>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4"/>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qFormat/>
    <w:uiPriority w:val="0"/>
    <w:rPr>
      <w:rFonts w:hint="eastAsia" w:ascii="仿宋" w:hAnsi="仿宋" w:eastAsia="仿宋" w:cs="仿宋"/>
      <w:b/>
      <w:color w:val="000000"/>
      <w:sz w:val="32"/>
      <w:szCs w:val="32"/>
      <w:u w:val="none"/>
    </w:rPr>
  </w:style>
  <w:style w:type="character" w:customStyle="1" w:styleId="201">
    <w:name w:val="font101"/>
    <w:basedOn w:val="48"/>
    <w:qFormat/>
    <w:uiPriority w:val="0"/>
    <w:rPr>
      <w:rFonts w:hint="default" w:ascii="Times New Roman" w:hAnsi="Times New Roman" w:cs="Times New Roman"/>
      <w:color w:val="000000"/>
      <w:sz w:val="24"/>
      <w:szCs w:val="24"/>
      <w:u w:val="none"/>
    </w:rPr>
  </w:style>
  <w:style w:type="character" w:customStyle="1" w:styleId="202">
    <w:name w:val="font111"/>
    <w:basedOn w:val="48"/>
    <w:qFormat/>
    <w:uiPriority w:val="0"/>
    <w:rPr>
      <w:rFonts w:ascii="仿宋_GB2312" w:eastAsia="仿宋_GB2312" w:cs="仿宋_GB2312"/>
      <w:color w:val="000000"/>
      <w:sz w:val="24"/>
      <w:szCs w:val="24"/>
      <w:u w:val="none"/>
    </w:rPr>
  </w:style>
  <w:style w:type="character" w:customStyle="1" w:styleId="203">
    <w:name w:val="font91"/>
    <w:basedOn w:val="48"/>
    <w:qFormat/>
    <w:uiPriority w:val="0"/>
    <w:rPr>
      <w:rFonts w:hint="eastAsia" w:ascii="仿宋" w:hAnsi="仿宋" w:eastAsia="仿宋" w:cs="仿宋"/>
      <w:color w:val="000000"/>
      <w:sz w:val="24"/>
      <w:szCs w:val="24"/>
      <w:u w:val="single"/>
    </w:rPr>
  </w:style>
  <w:style w:type="character" w:customStyle="1" w:styleId="204">
    <w:name w:val="font81"/>
    <w:basedOn w:val="48"/>
    <w:qFormat/>
    <w:uiPriority w:val="0"/>
    <w:rPr>
      <w:rFonts w:hint="default" w:ascii="Times New Roman" w:hAnsi="Times New Roman" w:cs="Times New Roman"/>
      <w:color w:val="000000"/>
      <w:sz w:val="24"/>
      <w:szCs w:val="24"/>
      <w:u w:val="none"/>
    </w:rPr>
  </w:style>
  <w:style w:type="character" w:customStyle="1" w:styleId="205">
    <w:name w:val="font61"/>
    <w:basedOn w:val="48"/>
    <w:qFormat/>
    <w:uiPriority w:val="0"/>
    <w:rPr>
      <w:rFonts w:hint="eastAsia" w:ascii="仿宋_GB2312" w:eastAsia="仿宋_GB2312" w:cs="仿宋_GB2312"/>
      <w:color w:val="000000"/>
      <w:sz w:val="24"/>
      <w:szCs w:val="24"/>
      <w:u w:val="none"/>
    </w:rPr>
  </w:style>
  <w:style w:type="character" w:customStyle="1" w:styleId="206">
    <w:name w:val="font21"/>
    <w:basedOn w:val="48"/>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8"/>
    <w:qFormat/>
    <w:uiPriority w:val="0"/>
  </w:style>
  <w:style w:type="character" w:customStyle="1" w:styleId="209">
    <w:name w:val="hover1"/>
    <w:basedOn w:val="48"/>
    <w:qFormat/>
    <w:uiPriority w:val="0"/>
    <w:rPr>
      <w:color w:val="2590EB"/>
    </w:rPr>
  </w:style>
  <w:style w:type="character" w:customStyle="1" w:styleId="210">
    <w:name w:val="hover2"/>
    <w:basedOn w:val="48"/>
    <w:qFormat/>
    <w:uiPriority w:val="0"/>
  </w:style>
  <w:style w:type="character" w:customStyle="1" w:styleId="211">
    <w:name w:val="hover3"/>
    <w:basedOn w:val="48"/>
    <w:qFormat/>
    <w:uiPriority w:val="0"/>
    <w:rPr>
      <w:color w:val="2590EB"/>
    </w:rPr>
  </w:style>
  <w:style w:type="character" w:customStyle="1" w:styleId="212">
    <w:name w:val="hover4"/>
    <w:basedOn w:val="48"/>
    <w:qFormat/>
    <w:uiPriority w:val="0"/>
    <w:rPr>
      <w:color w:val="2590EB"/>
      <w:shd w:val="clear" w:fill="E9F4FD"/>
    </w:rPr>
  </w:style>
  <w:style w:type="character" w:customStyle="1" w:styleId="213">
    <w:name w:val="mini-outputtext1"/>
    <w:basedOn w:val="48"/>
    <w:qFormat/>
    <w:uiPriority w:val="0"/>
  </w:style>
  <w:style w:type="character" w:customStyle="1" w:styleId="214">
    <w:name w:val="hover"/>
    <w:basedOn w:val="48"/>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39987</Words>
  <Characters>41924</Characters>
  <Lines>1</Lines>
  <Paragraphs>1</Paragraphs>
  <TotalTime>4</TotalTime>
  <ScaleCrop>false</ScaleCrop>
  <LinksUpToDate>false</LinksUpToDate>
  <CharactersWithSpaces>47570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周光月</cp:lastModifiedBy>
  <cp:lastPrinted>2023-06-08T00:43:00Z</cp:lastPrinted>
  <dcterms:modified xsi:type="dcterms:W3CDTF">2024-08-28T09:19:40Z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56B7F986CA544B94B4D8E465006B398E_13</vt:lpwstr>
  </property>
</Properties>
</file>