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9FB246">
      <w:pPr>
        <w:ind w:right="-315" w:rightChars="-150"/>
        <w:jc w:val="center"/>
        <w:rPr>
          <w:rFonts w:ascii="仿宋" w:hAnsi="仿宋" w:eastAsia="仿宋" w:cs="仿宋"/>
          <w:b/>
          <w:bCs/>
          <w:color w:val="auto"/>
          <w:sz w:val="92"/>
          <w:szCs w:val="92"/>
          <w:highlight w:val="none"/>
          <w:u w:val="single"/>
          <w:vertAlign w:val="subscript"/>
        </w:rPr>
      </w:pPr>
    </w:p>
    <w:p w14:paraId="230B2AA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bCs/>
          <w:color w:val="auto"/>
          <w:sz w:val="44"/>
          <w:szCs w:val="44"/>
          <w:highlight w:val="none"/>
          <w:lang w:eastAsia="zh-CN"/>
        </w:rPr>
      </w:pPr>
      <w:r>
        <w:rPr>
          <w:rFonts w:hint="eastAsia" w:ascii="宋体" w:hAnsi="宋体" w:eastAsia="仿宋" w:cs="宋体"/>
          <w:b/>
          <w:bCs/>
          <w:color w:val="auto"/>
          <w:spacing w:val="-10"/>
          <w:sz w:val="44"/>
          <w:szCs w:val="44"/>
          <w:highlight w:val="none"/>
          <w:lang w:eastAsia="zh-CN"/>
        </w:rPr>
        <w:t>滁州市建筑垃圾综合处置项目（一期）跟踪审计服务项目</w:t>
      </w:r>
    </w:p>
    <w:p w14:paraId="5D190B12">
      <w:pPr>
        <w:spacing w:line="400" w:lineRule="atLeast"/>
        <w:jc w:val="center"/>
        <w:rPr>
          <w:rFonts w:hint="eastAsia" w:ascii="宋体" w:hAnsi="宋体" w:cs="宋体"/>
          <w:b/>
          <w:bCs/>
          <w:color w:val="auto"/>
          <w:sz w:val="72"/>
          <w:szCs w:val="72"/>
          <w:highlight w:val="none"/>
        </w:rPr>
      </w:pPr>
    </w:p>
    <w:p w14:paraId="61ECC06F">
      <w:pPr>
        <w:spacing w:line="400" w:lineRule="atLeast"/>
        <w:jc w:val="center"/>
        <w:rPr>
          <w:rFonts w:hint="eastAsia" w:ascii="宋体" w:hAnsi="宋体" w:cs="宋体"/>
          <w:b/>
          <w:bCs/>
          <w:color w:val="auto"/>
          <w:sz w:val="72"/>
          <w:szCs w:val="72"/>
          <w:highlight w:val="none"/>
        </w:rPr>
      </w:pPr>
    </w:p>
    <w:p w14:paraId="23B69139">
      <w:pPr>
        <w:spacing w:line="400" w:lineRule="atLeast"/>
        <w:jc w:val="center"/>
        <w:rPr>
          <w:rFonts w:ascii="仿宋" w:hAnsi="仿宋" w:eastAsia="仿宋" w:cs="仿宋"/>
          <w:b/>
          <w:bCs/>
          <w:color w:val="auto"/>
          <w:sz w:val="72"/>
          <w:szCs w:val="72"/>
          <w:highlight w:val="none"/>
        </w:rPr>
      </w:pPr>
      <w:r>
        <w:rPr>
          <w:rFonts w:hint="eastAsia" w:ascii="宋体" w:hAnsi="宋体" w:cs="宋体"/>
          <w:b/>
          <w:bCs/>
          <w:color w:val="auto"/>
          <w:sz w:val="72"/>
          <w:szCs w:val="72"/>
          <w:highlight w:val="none"/>
        </w:rPr>
        <w:t>招标文件</w:t>
      </w:r>
    </w:p>
    <w:p w14:paraId="56A8D79B">
      <w:pPr>
        <w:spacing w:line="480" w:lineRule="exact"/>
        <w:rPr>
          <w:rFonts w:ascii="仿宋" w:hAnsi="仿宋" w:eastAsia="仿宋" w:cs="仿宋"/>
          <w:b/>
          <w:bCs/>
          <w:color w:val="auto"/>
          <w:sz w:val="44"/>
          <w:szCs w:val="44"/>
          <w:highlight w:val="none"/>
        </w:rPr>
      </w:pPr>
    </w:p>
    <w:p w14:paraId="5577C6D3">
      <w:pPr>
        <w:spacing w:line="480" w:lineRule="exact"/>
        <w:ind w:firstLine="643" w:firstLineChars="200"/>
        <w:jc w:val="center"/>
        <w:rPr>
          <w:rFonts w:ascii="仿宋" w:hAnsi="仿宋" w:eastAsia="仿宋" w:cs="仿宋"/>
          <w:b/>
          <w:bCs/>
          <w:color w:val="auto"/>
          <w:sz w:val="32"/>
          <w:szCs w:val="32"/>
          <w:highlight w:val="none"/>
        </w:rPr>
      </w:pPr>
    </w:p>
    <w:p w14:paraId="2C384CD9">
      <w:pPr>
        <w:spacing w:line="480" w:lineRule="exact"/>
        <w:ind w:firstLine="472" w:firstLineChars="147"/>
        <w:rPr>
          <w:rFonts w:ascii="仿宋" w:hAnsi="仿宋" w:eastAsia="仿宋" w:cs="仿宋"/>
          <w:b/>
          <w:bCs/>
          <w:color w:val="auto"/>
          <w:sz w:val="32"/>
          <w:szCs w:val="32"/>
          <w:highlight w:val="none"/>
        </w:rPr>
      </w:pPr>
    </w:p>
    <w:p w14:paraId="6E347307">
      <w:pPr>
        <w:spacing w:line="480" w:lineRule="exact"/>
        <w:ind w:firstLine="472" w:firstLineChars="147"/>
        <w:rPr>
          <w:rFonts w:ascii="仿宋" w:hAnsi="仿宋" w:eastAsia="仿宋" w:cs="仿宋"/>
          <w:b/>
          <w:bCs/>
          <w:color w:val="auto"/>
          <w:sz w:val="32"/>
          <w:szCs w:val="32"/>
          <w:highlight w:val="none"/>
        </w:rPr>
      </w:pPr>
    </w:p>
    <w:p w14:paraId="712D8FE9">
      <w:pPr>
        <w:spacing w:line="480" w:lineRule="exact"/>
        <w:rPr>
          <w:rFonts w:ascii="仿宋" w:hAnsi="仿宋" w:eastAsia="仿宋" w:cs="仿宋"/>
          <w:b/>
          <w:bCs/>
          <w:color w:val="auto"/>
          <w:sz w:val="32"/>
          <w:szCs w:val="32"/>
          <w:highlight w:val="none"/>
        </w:rPr>
      </w:pPr>
    </w:p>
    <w:p w14:paraId="057CBD57">
      <w:pPr>
        <w:spacing w:line="480" w:lineRule="exact"/>
        <w:rPr>
          <w:rFonts w:ascii="仿宋" w:hAnsi="仿宋" w:eastAsia="仿宋" w:cs="仿宋"/>
          <w:b/>
          <w:bCs/>
          <w:color w:val="auto"/>
          <w:sz w:val="32"/>
          <w:szCs w:val="32"/>
          <w:highlight w:val="none"/>
        </w:rPr>
      </w:pPr>
    </w:p>
    <w:p w14:paraId="771747BE">
      <w:pPr>
        <w:spacing w:line="480" w:lineRule="exact"/>
        <w:ind w:firstLine="472" w:firstLineChars="147"/>
        <w:rPr>
          <w:rFonts w:ascii="仿宋" w:hAnsi="仿宋" w:eastAsia="仿宋" w:cs="仿宋"/>
          <w:b/>
          <w:bCs/>
          <w:color w:val="auto"/>
          <w:sz w:val="32"/>
          <w:szCs w:val="32"/>
          <w:highlight w:val="none"/>
        </w:rPr>
      </w:pPr>
    </w:p>
    <w:p w14:paraId="449DDDFC">
      <w:pPr>
        <w:rPr>
          <w:rFonts w:ascii="仿宋" w:hAnsi="仿宋" w:eastAsia="仿宋" w:cs="仿宋"/>
          <w:color w:val="auto"/>
          <w:highlight w:val="none"/>
        </w:rPr>
      </w:pPr>
    </w:p>
    <w:p w14:paraId="5C1EE0E1">
      <w:pPr>
        <w:spacing w:line="480" w:lineRule="exact"/>
        <w:rPr>
          <w:rFonts w:ascii="仿宋" w:hAnsi="仿宋" w:eastAsia="仿宋" w:cs="仿宋"/>
          <w:b/>
          <w:bCs/>
          <w:color w:val="auto"/>
          <w:sz w:val="32"/>
          <w:szCs w:val="32"/>
          <w:highlight w:val="none"/>
        </w:rPr>
      </w:pPr>
    </w:p>
    <w:p w14:paraId="379F64A8">
      <w:pPr>
        <w:pStyle w:val="7"/>
        <w:rPr>
          <w:color w:val="auto"/>
          <w:highlight w:val="none"/>
        </w:rPr>
      </w:pPr>
    </w:p>
    <w:p w14:paraId="7EAF9C3A">
      <w:pPr>
        <w:rPr>
          <w:color w:val="auto"/>
          <w:highlight w:val="none"/>
        </w:rPr>
      </w:pPr>
    </w:p>
    <w:p w14:paraId="7A1ED531">
      <w:pPr>
        <w:wordWrap w:val="0"/>
        <w:spacing w:line="700" w:lineRule="exact"/>
        <w:ind w:right="480" w:firstLine="321" w:firstLineChars="100"/>
        <w:rPr>
          <w:rFonts w:ascii="宋体" w:cs="宋体"/>
          <w:b/>
          <w:bCs/>
          <w:color w:val="auto"/>
          <w:sz w:val="32"/>
          <w:highlight w:val="none"/>
        </w:rPr>
      </w:pPr>
      <w:r>
        <w:rPr>
          <w:rFonts w:hint="eastAsia" w:ascii="宋体" w:cs="宋体"/>
          <w:b/>
          <w:bCs/>
          <w:color w:val="auto"/>
          <w:sz w:val="32"/>
          <w:highlight w:val="none"/>
        </w:rPr>
        <w:t>招标单位</w:t>
      </w:r>
      <w:r>
        <w:rPr>
          <w:rFonts w:ascii="宋体" w:cs="宋体"/>
          <w:b/>
          <w:bCs/>
          <w:color w:val="auto"/>
          <w:sz w:val="32"/>
          <w:highlight w:val="none"/>
        </w:rPr>
        <w:t xml:space="preserve"> </w:t>
      </w:r>
      <w:r>
        <w:rPr>
          <w:rFonts w:hint="eastAsia" w:ascii="宋体" w:cs="宋体"/>
          <w:b/>
          <w:bCs/>
          <w:color w:val="auto"/>
          <w:sz w:val="32"/>
          <w:highlight w:val="none"/>
        </w:rPr>
        <w:t>：</w:t>
      </w:r>
      <w:r>
        <w:rPr>
          <w:rFonts w:ascii="宋体" w:cs="宋体"/>
          <w:b/>
          <w:bCs/>
          <w:color w:val="auto"/>
          <w:sz w:val="32"/>
          <w:highlight w:val="none"/>
          <w:u w:val="single"/>
        </w:rPr>
        <w:t xml:space="preserve"> </w:t>
      </w:r>
      <w:r>
        <w:rPr>
          <w:rFonts w:hint="eastAsia" w:ascii="宋体" w:cs="宋体"/>
          <w:b/>
          <w:bCs/>
          <w:color w:val="auto"/>
          <w:sz w:val="32"/>
          <w:highlight w:val="none"/>
          <w:u w:val="single"/>
        </w:rPr>
        <w:t xml:space="preserve">  滁州市皖能兴滁环境科技有限公司</w:t>
      </w:r>
      <w:r>
        <w:rPr>
          <w:rFonts w:hint="eastAsia" w:ascii="宋体" w:cs="宋体"/>
          <w:b/>
          <w:bCs/>
          <w:color w:val="auto"/>
          <w:sz w:val="30"/>
          <w:szCs w:val="30"/>
          <w:highlight w:val="none"/>
          <w:u w:val="single"/>
        </w:rPr>
        <w:t xml:space="preserve">   </w:t>
      </w:r>
      <w:r>
        <w:rPr>
          <w:rFonts w:ascii="宋体" w:cs="宋体"/>
          <w:b/>
          <w:bCs/>
          <w:color w:val="auto"/>
          <w:sz w:val="30"/>
          <w:szCs w:val="30"/>
          <w:highlight w:val="none"/>
          <w:u w:val="single"/>
        </w:rPr>
        <w:t xml:space="preserve"> </w:t>
      </w:r>
      <w:r>
        <w:rPr>
          <w:rFonts w:hint="eastAsia" w:ascii="宋体" w:cs="宋体"/>
          <w:b/>
          <w:bCs/>
          <w:color w:val="auto"/>
          <w:sz w:val="32"/>
          <w:highlight w:val="none"/>
          <w:u w:val="single"/>
        </w:rPr>
        <w:t>（盖章）</w:t>
      </w:r>
    </w:p>
    <w:p w14:paraId="11AAF356">
      <w:pPr>
        <w:spacing w:line="700" w:lineRule="exact"/>
        <w:ind w:firstLine="321" w:firstLineChars="100"/>
        <w:rPr>
          <w:rFonts w:ascii="宋体" w:cs="宋体"/>
          <w:b/>
          <w:bCs/>
          <w:color w:val="auto"/>
          <w:sz w:val="32"/>
          <w:highlight w:val="none"/>
        </w:rPr>
      </w:pPr>
    </w:p>
    <w:p w14:paraId="03F9C7E6">
      <w:pPr>
        <w:spacing w:line="700" w:lineRule="exact"/>
        <w:ind w:firstLine="321" w:firstLineChars="100"/>
        <w:outlineLvl w:val="0"/>
        <w:rPr>
          <w:rFonts w:ascii="宋体" w:cs="宋体"/>
          <w:b/>
          <w:bCs/>
          <w:color w:val="auto"/>
          <w:sz w:val="32"/>
          <w:highlight w:val="none"/>
          <w:u w:val="single"/>
        </w:rPr>
      </w:pPr>
      <w:bookmarkStart w:id="0" w:name="_Toc7956"/>
      <w:bookmarkStart w:id="1" w:name="_Toc10545"/>
      <w:bookmarkStart w:id="2" w:name="_Toc13101"/>
      <w:r>
        <w:rPr>
          <w:rFonts w:hint="eastAsia" w:ascii="宋体" w:cs="宋体"/>
          <w:b/>
          <w:bCs/>
          <w:color w:val="auto"/>
          <w:sz w:val="32"/>
          <w:highlight w:val="none"/>
        </w:rPr>
        <w:t>代理机构：</w:t>
      </w:r>
      <w:r>
        <w:rPr>
          <w:rFonts w:ascii="宋体" w:cs="宋体"/>
          <w:b/>
          <w:bCs/>
          <w:color w:val="auto"/>
          <w:sz w:val="32"/>
          <w:highlight w:val="none"/>
          <w:u w:val="single"/>
        </w:rPr>
        <w:t xml:space="preserve">    </w:t>
      </w:r>
      <w:r>
        <w:rPr>
          <w:rFonts w:hint="eastAsia" w:ascii="宋体" w:cs="宋体"/>
          <w:b/>
          <w:bCs/>
          <w:color w:val="auto"/>
          <w:sz w:val="32"/>
          <w:highlight w:val="none"/>
          <w:u w:val="single"/>
        </w:rPr>
        <w:t>滁州市城投工程咨询管理有限公司</w:t>
      </w:r>
      <w:r>
        <w:rPr>
          <w:rFonts w:ascii="宋体" w:cs="宋体"/>
          <w:b/>
          <w:bCs/>
          <w:color w:val="auto"/>
          <w:sz w:val="32"/>
          <w:highlight w:val="none"/>
          <w:u w:val="single"/>
        </w:rPr>
        <w:t xml:space="preserve"> </w:t>
      </w:r>
      <w:r>
        <w:rPr>
          <w:rFonts w:hint="eastAsia" w:ascii="宋体" w:cs="宋体"/>
          <w:b/>
          <w:bCs/>
          <w:color w:val="auto"/>
          <w:sz w:val="32"/>
          <w:highlight w:val="none"/>
          <w:u w:val="single"/>
        </w:rPr>
        <w:t>（盖章）</w:t>
      </w:r>
      <w:bookmarkEnd w:id="0"/>
      <w:bookmarkEnd w:id="1"/>
      <w:bookmarkEnd w:id="2"/>
    </w:p>
    <w:p w14:paraId="48F46022">
      <w:pPr>
        <w:spacing w:line="700" w:lineRule="exact"/>
        <w:ind w:firstLine="4016" w:firstLineChars="1250"/>
        <w:rPr>
          <w:rFonts w:ascii="宋体" w:cs="宋体"/>
          <w:b/>
          <w:bCs/>
          <w:color w:val="auto"/>
          <w:sz w:val="32"/>
          <w:highlight w:val="none"/>
          <w:u w:val="single"/>
        </w:rPr>
      </w:pPr>
    </w:p>
    <w:p w14:paraId="03AAB7E4">
      <w:pPr>
        <w:spacing w:line="700" w:lineRule="exact"/>
        <w:ind w:firstLine="4016" w:firstLineChars="1250"/>
        <w:rPr>
          <w:rFonts w:hint="default" w:ascii="宋体" w:eastAsia="宋体" w:cs="宋体"/>
          <w:b/>
          <w:bCs/>
          <w:color w:val="auto"/>
          <w:spacing w:val="20"/>
          <w:sz w:val="32"/>
          <w:szCs w:val="32"/>
          <w:highlight w:val="none"/>
          <w:lang w:val="en-US" w:eastAsia="zh-CN"/>
        </w:rPr>
      </w:pPr>
      <w:r>
        <w:rPr>
          <w:rFonts w:ascii="宋体" w:cs="宋体"/>
          <w:b/>
          <w:bCs/>
          <w:color w:val="auto"/>
          <w:sz w:val="32"/>
          <w:highlight w:val="none"/>
          <w:u w:val="single"/>
        </w:rPr>
        <w:t>202</w:t>
      </w:r>
      <w:r>
        <w:rPr>
          <w:rFonts w:hint="eastAsia" w:ascii="宋体" w:cs="宋体"/>
          <w:b/>
          <w:bCs/>
          <w:color w:val="auto"/>
          <w:sz w:val="32"/>
          <w:highlight w:val="none"/>
          <w:u w:val="single"/>
          <w:lang w:val="en-US" w:eastAsia="zh-CN"/>
        </w:rPr>
        <w:t>4</w:t>
      </w:r>
      <w:r>
        <w:rPr>
          <w:rFonts w:ascii="宋体" w:cs="宋体"/>
          <w:b/>
          <w:bCs/>
          <w:color w:val="auto"/>
          <w:sz w:val="32"/>
          <w:highlight w:val="none"/>
          <w:u w:val="single"/>
        </w:rPr>
        <w:t xml:space="preserve"> </w:t>
      </w:r>
      <w:r>
        <w:rPr>
          <w:rFonts w:hint="eastAsia" w:ascii="宋体" w:cs="宋体"/>
          <w:b/>
          <w:bCs/>
          <w:color w:val="auto"/>
          <w:sz w:val="32"/>
          <w:highlight w:val="none"/>
        </w:rPr>
        <w:t>年</w:t>
      </w:r>
      <w:r>
        <w:rPr>
          <w:rFonts w:hint="eastAsia" w:ascii="宋体" w:cs="宋体"/>
          <w:b/>
          <w:bCs/>
          <w:color w:val="auto"/>
          <w:sz w:val="32"/>
          <w:highlight w:val="none"/>
          <w:u w:val="single"/>
          <w:lang w:val="en-US" w:eastAsia="zh-CN"/>
        </w:rPr>
        <w:t xml:space="preserve"> 9</w:t>
      </w:r>
      <w:r>
        <w:rPr>
          <w:rFonts w:ascii="宋体" w:cs="宋体"/>
          <w:b/>
          <w:bCs/>
          <w:color w:val="auto"/>
          <w:sz w:val="32"/>
          <w:highlight w:val="none"/>
          <w:u w:val="single"/>
        </w:rPr>
        <w:t xml:space="preserve"> </w:t>
      </w:r>
      <w:r>
        <w:rPr>
          <w:rFonts w:hint="eastAsia" w:ascii="宋体" w:cs="宋体"/>
          <w:b/>
          <w:bCs/>
          <w:color w:val="auto"/>
          <w:sz w:val="32"/>
          <w:highlight w:val="none"/>
        </w:rPr>
        <w:t>月</w:t>
      </w:r>
      <w:r>
        <w:rPr>
          <w:rFonts w:hint="eastAsia" w:ascii="宋体" w:cs="宋体"/>
          <w:b/>
          <w:bCs/>
          <w:color w:val="auto"/>
          <w:sz w:val="32"/>
          <w:highlight w:val="none"/>
          <w:u w:val="single"/>
          <w:lang w:val="en-US" w:eastAsia="zh-CN"/>
        </w:rPr>
        <w:t xml:space="preserve"> 20 </w:t>
      </w:r>
      <w:r>
        <w:rPr>
          <w:rFonts w:hint="eastAsia" w:ascii="宋体" w:cs="宋体"/>
          <w:b/>
          <w:bCs/>
          <w:color w:val="auto"/>
          <w:sz w:val="32"/>
          <w:highlight w:val="none"/>
          <w:lang w:val="en-US" w:eastAsia="zh-CN"/>
        </w:rPr>
        <w:t>日</w:t>
      </w:r>
    </w:p>
    <w:p w14:paraId="030F4E95">
      <w:pPr>
        <w:spacing w:line="700" w:lineRule="exact"/>
        <w:rPr>
          <w:rFonts w:ascii="宋体"/>
          <w:color w:val="auto"/>
          <w:highlight w:val="none"/>
        </w:rPr>
        <w:sectPr>
          <w:headerReference r:id="rId4" w:type="first"/>
          <w:footerReference r:id="rId6" w:type="first"/>
          <w:headerReference r:id="rId3" w:type="default"/>
          <w:footerReference r:id="rId5" w:type="default"/>
          <w:pgSz w:w="11906" w:h="16838"/>
          <w:pgMar w:top="935" w:right="1106" w:bottom="936" w:left="1259" w:header="680" w:footer="680" w:gutter="0"/>
          <w:pgNumType w:fmt="decimal"/>
          <w:cols w:space="0" w:num="1"/>
          <w:titlePg/>
          <w:docGrid w:type="lines" w:linePitch="318" w:charSpace="0"/>
        </w:sectPr>
      </w:pPr>
    </w:p>
    <w:p w14:paraId="6D169B62">
      <w:pPr>
        <w:spacing w:line="700" w:lineRule="exact"/>
        <w:jc w:val="center"/>
        <w:rPr>
          <w:rFonts w:ascii="宋体" w:hAnsi="宋体" w:cs="宋体"/>
          <w:b/>
          <w:bCs/>
          <w:color w:val="auto"/>
          <w:highlight w:val="none"/>
        </w:rPr>
      </w:pPr>
    </w:p>
    <w:p w14:paraId="22C8E241">
      <w:pPr>
        <w:spacing w:line="7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sdt>
      <w:sdtPr>
        <w:rPr>
          <w:rFonts w:ascii="宋体" w:hAnsi="宋体"/>
          <w:b/>
          <w:bCs/>
          <w:color w:val="auto"/>
          <w:highlight w:val="none"/>
        </w:rPr>
        <w:id w:val="147454049"/>
        <w15:color w:val="DBDBDB"/>
        <w:docPartObj>
          <w:docPartGallery w:val="Table of Contents"/>
          <w:docPartUnique/>
        </w:docPartObj>
      </w:sdtPr>
      <w:sdtEndPr>
        <w:rPr>
          <w:rFonts w:hint="eastAsia" w:ascii="Times New Roman" w:hAnsi="Times New Roman"/>
          <w:b/>
          <w:bCs/>
          <w:color w:val="auto"/>
          <w:sz w:val="28"/>
          <w:szCs w:val="28"/>
          <w:highlight w:val="none"/>
        </w:rPr>
      </w:sdtEndPr>
      <w:sdtContent>
        <w:p w14:paraId="2C5A659E">
          <w:pPr>
            <w:jc w:val="center"/>
            <w:rPr>
              <w:color w:val="auto"/>
              <w:highlight w:val="none"/>
            </w:rPr>
          </w:pPr>
        </w:p>
        <w:p w14:paraId="5D8A92A8">
          <w:pPr>
            <w:pStyle w:val="31"/>
            <w:tabs>
              <w:tab w:val="right" w:leader="dot" w:pos="9541"/>
              <w:tab w:val="clear" w:pos="829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16811383">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w:t>
          </w: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32"/>
              <w:highlight w:val="none"/>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AD7DFC">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EE19BF">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第三章 </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评标办法</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2</w:t>
          </w:r>
        </w:p>
        <w:p w14:paraId="343786E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lang w:val="en-US" w:eastAsia="zh-CN"/>
            </w:rPr>
            <w:t>第四章</w:t>
          </w:r>
          <w:r>
            <w:rPr>
              <w:rFonts w:hint="eastAsia" w:ascii="宋体" w:hAnsi="宋体" w:eastAsia="宋体" w:cs="宋体"/>
              <w:color w:val="auto"/>
              <w:kern w:val="2"/>
              <w:szCs w:val="28"/>
              <w:highlight w:val="none"/>
            </w:rPr>
            <w:t xml:space="preserve">  采购需求及服务要求</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6</w:t>
          </w:r>
        </w:p>
        <w:p w14:paraId="5C3E1834">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_Toc14427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五</w:t>
          </w:r>
          <w:r>
            <w:rPr>
              <w:rFonts w:hint="eastAsia" w:ascii="宋体" w:hAnsi="宋体" w:eastAsia="宋体" w:cs="宋体"/>
              <w:color w:val="auto"/>
              <w:kern w:val="2"/>
              <w:szCs w:val="28"/>
              <w:highlight w:val="none"/>
            </w:rPr>
            <w:t>章  合同条款</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7</w:t>
          </w:r>
        </w:p>
        <w:p w14:paraId="6A8F341F">
          <w:pPr>
            <w:pStyle w:val="31"/>
            <w:tabs>
              <w:tab w:val="right" w:leader="dot" w:pos="9541"/>
              <w:tab w:val="clear" w:pos="8296"/>
            </w:tabs>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_Toc20559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六</w:t>
          </w:r>
          <w:r>
            <w:rPr>
              <w:rFonts w:hint="eastAsia" w:ascii="宋体" w:hAnsi="宋体" w:eastAsia="宋体" w:cs="宋体"/>
              <w:color w:val="auto"/>
              <w:kern w:val="2"/>
              <w:szCs w:val="28"/>
              <w:highlight w:val="none"/>
            </w:rPr>
            <w:t>章投标文件格式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25</w:t>
          </w:r>
        </w:p>
        <w:p w14:paraId="49D3A054">
          <w:pPr>
            <w:pStyle w:val="31"/>
            <w:tabs>
              <w:tab w:val="right" w:leader="dot" w:pos="9541"/>
              <w:tab w:val="clear" w:pos="8296"/>
            </w:tabs>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七</w:t>
          </w:r>
          <w:r>
            <w:rPr>
              <w:rFonts w:hint="eastAsia" w:ascii="宋体" w:hAnsi="宋体" w:eastAsia="宋体" w:cs="宋体"/>
              <w:color w:val="auto"/>
              <w:kern w:val="2"/>
              <w:szCs w:val="28"/>
              <w:highlight w:val="none"/>
            </w:rPr>
            <w:t>章招标单位、招标代理机构对本招标文件的确认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33</w:t>
          </w:r>
        </w:p>
        <w:p w14:paraId="7CF76FC2">
          <w:pPr>
            <w:rPr>
              <w:color w:val="auto"/>
              <w:highlight w:val="none"/>
            </w:rPr>
          </w:pPr>
          <w:r>
            <w:rPr>
              <w:color w:val="auto"/>
              <w:highlight w:val="none"/>
            </w:rPr>
            <w:fldChar w:fldCharType="end"/>
          </w:r>
        </w:p>
        <w:p w14:paraId="02C17448">
          <w:pPr>
            <w:pStyle w:val="6"/>
            <w:spacing w:before="0" w:after="0" w:line="700" w:lineRule="exact"/>
            <w:rPr>
              <w:rFonts w:ascii="仿宋" w:cs="仿宋"/>
              <w:b w:val="0"/>
              <w:bCs w:val="0"/>
              <w:color w:val="auto"/>
              <w:sz w:val="24"/>
              <w:szCs w:val="24"/>
              <w:highlight w:val="none"/>
            </w:rPr>
          </w:pPr>
        </w:p>
      </w:sdtContent>
    </w:sdt>
    <w:p w14:paraId="5B30DC2C">
      <w:pPr>
        <w:rPr>
          <w:color w:val="auto"/>
          <w:highlight w:val="none"/>
        </w:rPr>
        <w:sectPr>
          <w:footerReference r:id="rId8" w:type="first"/>
          <w:footerReference r:id="rId7" w:type="default"/>
          <w:pgSz w:w="11906" w:h="16838"/>
          <w:pgMar w:top="935" w:right="1106" w:bottom="936" w:left="1259" w:header="680" w:footer="680" w:gutter="0"/>
          <w:pgNumType w:fmt="decimal" w:start="1"/>
          <w:cols w:space="0" w:num="1"/>
          <w:docGrid w:type="lines" w:linePitch="318" w:charSpace="0"/>
        </w:sectPr>
      </w:pPr>
    </w:p>
    <w:p w14:paraId="04805201">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0"/>
        <w:rPr>
          <w:rFonts w:ascii="宋体" w:hAnsi="宋体" w:cs="宋体"/>
          <w:b/>
          <w:color w:val="auto"/>
          <w:sz w:val="32"/>
          <w:szCs w:val="32"/>
          <w:highlight w:val="none"/>
        </w:rPr>
      </w:pPr>
      <w:bookmarkStart w:id="3" w:name="_Toc24106"/>
      <w:bookmarkStart w:id="4" w:name="_Toc27970"/>
      <w:bookmarkStart w:id="5" w:name="_Toc11640"/>
      <w:r>
        <w:rPr>
          <w:rFonts w:hint="eastAsia" w:ascii="宋体" w:hAnsi="宋体" w:eastAsia="宋体" w:cs="宋体"/>
          <w:b/>
          <w:color w:val="auto"/>
          <w:sz w:val="32"/>
          <w:szCs w:val="32"/>
          <w:highlight w:val="none"/>
        </w:rPr>
        <w:t>第一章</w:t>
      </w:r>
      <w:r>
        <w:rPr>
          <w:rFonts w:hint="eastAsia" w:ascii="宋体" w:hAnsi="宋体" w:cs="宋体"/>
          <w:color w:val="auto"/>
          <w:sz w:val="28"/>
          <w:szCs w:val="28"/>
          <w:highlight w:val="none"/>
        </w:rPr>
        <w:t xml:space="preserve"> </w:t>
      </w:r>
      <w:bookmarkEnd w:id="3"/>
      <w:r>
        <w:rPr>
          <w:rFonts w:hint="eastAsia" w:ascii="宋体" w:hAnsi="宋体" w:cs="宋体"/>
          <w:b/>
          <w:color w:val="auto"/>
          <w:sz w:val="32"/>
          <w:szCs w:val="32"/>
          <w:highlight w:val="none"/>
        </w:rPr>
        <w:t>招标公告</w:t>
      </w:r>
      <w:bookmarkEnd w:id="4"/>
      <w:bookmarkEnd w:id="5"/>
    </w:p>
    <w:p w14:paraId="5A37CB58">
      <w:pPr>
        <w:pStyle w:val="7"/>
        <w:numPr>
          <w:ilvl w:val="1"/>
          <w:numId w:val="0"/>
        </w:numPr>
        <w:spacing w:line="400" w:lineRule="exact"/>
        <w:ind w:left="431"/>
        <w:rPr>
          <w:rFonts w:ascii="宋体" w:hAnsi="宋体" w:eastAsia="宋体" w:cs="宋体"/>
          <w:color w:val="auto"/>
          <w:sz w:val="24"/>
          <w:szCs w:val="24"/>
          <w:highlight w:val="none"/>
        </w:rPr>
      </w:pPr>
      <w:bookmarkStart w:id="6" w:name="_Toc28359002"/>
      <w:bookmarkStart w:id="7" w:name="_Toc35393790"/>
      <w:bookmarkStart w:id="8" w:name="_Toc35393621"/>
      <w:bookmarkStart w:id="9" w:name="_Toc28359079"/>
      <w:bookmarkStart w:id="10" w:name="_Toc58430305"/>
      <w:bookmarkStart w:id="11" w:name="_Hlk24379207"/>
      <w:r>
        <w:rPr>
          <w:rFonts w:hint="eastAsia" w:ascii="宋体" w:hAnsi="宋体" w:eastAsia="宋体" w:cs="宋体"/>
          <w:color w:val="auto"/>
          <w:sz w:val="24"/>
          <w:szCs w:val="24"/>
          <w:highlight w:val="none"/>
        </w:rPr>
        <w:t>一、项目基本情况</w:t>
      </w:r>
      <w:bookmarkEnd w:id="6"/>
      <w:bookmarkEnd w:id="7"/>
      <w:bookmarkEnd w:id="8"/>
      <w:bookmarkEnd w:id="9"/>
      <w:bookmarkEnd w:id="10"/>
    </w:p>
    <w:bookmarkEnd w:id="11"/>
    <w:p w14:paraId="5A4E78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2" w:name="_Toc28359003"/>
      <w:bookmarkStart w:id="13" w:name="_Toc28359080"/>
      <w:bookmarkStart w:id="14" w:name="_Toc35393791"/>
      <w:bookmarkStart w:id="15" w:name="_Toc58430306"/>
      <w:bookmarkStart w:id="16" w:name="_Toc35393622"/>
      <w:r>
        <w:rPr>
          <w:rFonts w:hint="eastAsia" w:ascii="宋体" w:hAnsi="宋体" w:eastAsia="宋体" w:cs="宋体"/>
          <w:color w:val="auto"/>
          <w:sz w:val="24"/>
          <w:szCs w:val="24"/>
          <w:highlight w:val="none"/>
        </w:rPr>
        <w:t>项目名称：滁州市建筑垃圾综合处置项目（一期）跟踪审计服务项目</w:t>
      </w:r>
    </w:p>
    <w:p w14:paraId="0AC404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预算金额：项目工程</w:t>
      </w:r>
      <w:r>
        <w:rPr>
          <w:rFonts w:hint="eastAsia" w:ascii="宋体" w:hAnsi="宋体" w:cs="宋体"/>
          <w:color w:val="auto"/>
          <w:sz w:val="24"/>
          <w:szCs w:val="24"/>
          <w:highlight w:val="none"/>
          <w:lang w:val="en-US" w:eastAsia="zh-CN"/>
        </w:rPr>
        <w:t>总投资</w:t>
      </w:r>
      <w:r>
        <w:rPr>
          <w:rFonts w:hint="eastAsia" w:ascii="宋体" w:hAnsi="宋体" w:eastAsia="宋体" w:cs="宋体"/>
          <w:color w:val="auto"/>
          <w:sz w:val="24"/>
          <w:szCs w:val="24"/>
          <w:highlight w:val="none"/>
        </w:rPr>
        <w:t>约</w:t>
      </w:r>
      <w:r>
        <w:rPr>
          <w:rFonts w:hint="eastAsia" w:ascii="宋体" w:hAnsi="宋体" w:cs="宋体"/>
          <w:color w:val="auto"/>
          <w:sz w:val="24"/>
          <w:szCs w:val="24"/>
          <w:highlight w:val="none"/>
          <w:lang w:val="en-US" w:eastAsia="zh-CN"/>
        </w:rPr>
        <w:t>8000万元，服务费用约24万元</w:t>
      </w:r>
      <w:r>
        <w:rPr>
          <w:rFonts w:hint="eastAsia" w:ascii="宋体" w:hAnsi="宋体" w:eastAsia="宋体" w:cs="宋体"/>
          <w:color w:val="auto"/>
          <w:sz w:val="24"/>
          <w:szCs w:val="24"/>
          <w:highlight w:val="none"/>
        </w:rPr>
        <w:t>。</w:t>
      </w:r>
    </w:p>
    <w:p w14:paraId="6A322E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最高限价：本项目的最高限价为基本费率</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‰（投标报价保留两位小数，第三位四舍五入）；审核成果费率</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%（审核成果费率为不可竞争费率，固定不变），投标单位投标报价不得高于上述基本费率最高限价，否则按无效标处理。</w:t>
      </w:r>
    </w:p>
    <w:p w14:paraId="2C0D12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：施工阶段全过程跟踪审计，结算审计，根据建设单位、监理单位、施工单位提供的有关资料在规定的工作日内完成审核工作</w:t>
      </w:r>
      <w:r>
        <w:rPr>
          <w:rFonts w:hint="eastAsia" w:ascii="宋体" w:hAnsi="宋体" w:cs="宋体"/>
          <w:color w:val="auto"/>
          <w:sz w:val="24"/>
          <w:szCs w:val="24"/>
          <w:highlight w:val="none"/>
          <w:lang w:eastAsia="zh-CN"/>
        </w:rPr>
        <w:t>。</w:t>
      </w:r>
    </w:p>
    <w:p w14:paraId="3F976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合同履行期限：施工阶段全过程工程造价控制</w:t>
      </w:r>
      <w:r>
        <w:rPr>
          <w:rFonts w:hint="eastAsia" w:ascii="宋体" w:hAnsi="宋体" w:eastAsia="宋体" w:cs="宋体"/>
          <w:color w:val="auto"/>
          <w:sz w:val="24"/>
          <w:szCs w:val="24"/>
          <w:highlight w:val="none"/>
          <w:lang w:val="en-US" w:eastAsia="zh-CN"/>
        </w:rPr>
        <w:t>。</w:t>
      </w:r>
    </w:p>
    <w:p w14:paraId="45274A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615869AD">
      <w:pPr>
        <w:pStyle w:val="7"/>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12"/>
      <w:bookmarkEnd w:id="13"/>
      <w:bookmarkEnd w:id="14"/>
      <w:bookmarkEnd w:id="15"/>
      <w:bookmarkEnd w:id="16"/>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p>
    <w:p w14:paraId="2CD62E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7" w:name="_Toc58430307"/>
      <w:bookmarkStart w:id="18" w:name="_Toc28359081"/>
      <w:bookmarkStart w:id="19" w:name="_Toc35393623"/>
      <w:bookmarkStart w:id="20" w:name="_Toc28359004"/>
      <w:bookmarkStart w:id="21" w:name="_Toc35393792"/>
      <w:r>
        <w:rPr>
          <w:rFonts w:hint="eastAsia" w:ascii="宋体" w:hAnsi="宋体" w:eastAsia="宋体" w:cs="宋体"/>
          <w:color w:val="auto"/>
          <w:sz w:val="24"/>
          <w:szCs w:val="24"/>
          <w:highlight w:val="none"/>
        </w:rPr>
        <w:t>1.投标人要求：投标人为具有承担本项目相应服务能力的企业；有效的营业执照、税务登记证、组织机构码证（或“三证合一证书”）；</w:t>
      </w:r>
      <w:r>
        <w:rPr>
          <w:rFonts w:hint="eastAsia" w:ascii="宋体" w:hAnsi="宋体" w:eastAsia="宋体" w:cs="宋体"/>
          <w:color w:val="auto"/>
          <w:sz w:val="24"/>
          <w:szCs w:val="24"/>
          <w:highlight w:val="none"/>
          <w:lang w:val="en-US" w:eastAsia="zh-CN"/>
        </w:rPr>
        <w:t xml:space="preserve"> </w:t>
      </w:r>
    </w:p>
    <w:p w14:paraId="2563AD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2.项目负责人要求：须具有建设部颁发的中华人民共和国注册造价工程师（或一级造价工程师）资格且专业为土木建筑工程；</w:t>
      </w:r>
    </w:p>
    <w:p w14:paraId="01A27D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项目组成员（不含项目负责人）要求：项目组成员不少于2人（土建专业不少于1名、安装专业不少于1名），须具有二级及以上注册造价师证书。</w:t>
      </w:r>
    </w:p>
    <w:p w14:paraId="5C90A2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4.投标人业绩要求：自2019年1月1日至投标文件提交截止时间前，投标人承担过工程造价在6400万元及以上的工业厂房工程跟踪审计业绩。（业绩时间以合同签订时间为准，业绩金额以成果文件出具的审核金额为准）</w:t>
      </w:r>
    </w:p>
    <w:p w14:paraId="23536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14:paraId="47F07E50">
      <w:pPr>
        <w:pStyle w:val="7"/>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7"/>
      <w:bookmarkEnd w:id="18"/>
      <w:bookmarkEnd w:id="19"/>
      <w:bookmarkEnd w:id="20"/>
      <w:bookmarkEnd w:id="21"/>
    </w:p>
    <w:p w14:paraId="557556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i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日</w:t>
      </w:r>
    </w:p>
    <w:p w14:paraId="17211B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14:paraId="46B304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5210E396">
      <w:pPr>
        <w:pStyle w:val="7"/>
        <w:numPr>
          <w:ilvl w:val="1"/>
          <w:numId w:val="0"/>
        </w:numPr>
        <w:spacing w:line="400" w:lineRule="exact"/>
        <w:ind w:left="851" w:hanging="420"/>
        <w:rPr>
          <w:rFonts w:ascii="宋体" w:hAnsi="宋体" w:eastAsia="宋体" w:cs="宋体"/>
          <w:color w:val="auto"/>
          <w:sz w:val="24"/>
          <w:szCs w:val="24"/>
          <w:highlight w:val="none"/>
        </w:rPr>
      </w:pPr>
      <w:bookmarkStart w:id="22" w:name="_Toc28359082"/>
      <w:bookmarkStart w:id="23" w:name="_Toc28359005"/>
      <w:bookmarkStart w:id="24" w:name="_Toc58430308"/>
      <w:bookmarkStart w:id="25" w:name="_Toc35393793"/>
      <w:bookmarkStart w:id="26" w:name="_Toc35393624"/>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bookmarkEnd w:id="26"/>
    </w:p>
    <w:p w14:paraId="471242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p w14:paraId="5D3FDB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递交方式：网上递交，发送至电子邮箱：czsctgczx@163.com（滁州市城投工程咨询管理有限公司邮箱）</w:t>
      </w:r>
    </w:p>
    <w:p w14:paraId="6F517C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开标时间地点：开标时间同投标文件递交截止时间，滁州市龙蟠大道109号房产商务大厦6楼603会议室。</w:t>
      </w:r>
    </w:p>
    <w:p w14:paraId="4B309495">
      <w:pPr>
        <w:pStyle w:val="7"/>
        <w:numPr>
          <w:ilvl w:val="1"/>
          <w:numId w:val="0"/>
        </w:numPr>
        <w:spacing w:line="400" w:lineRule="exact"/>
        <w:ind w:left="851" w:hanging="420"/>
        <w:rPr>
          <w:rFonts w:ascii="宋体" w:hAnsi="宋体" w:eastAsia="宋体" w:cs="宋体"/>
          <w:color w:val="auto"/>
          <w:sz w:val="24"/>
          <w:szCs w:val="24"/>
          <w:highlight w:val="none"/>
        </w:rPr>
      </w:pPr>
      <w:bookmarkStart w:id="27" w:name="_Toc35393794"/>
      <w:bookmarkStart w:id="28" w:name="_Toc28359007"/>
      <w:bookmarkStart w:id="29" w:name="_Toc58430309"/>
      <w:bookmarkStart w:id="30" w:name="_Toc35393625"/>
      <w:bookmarkStart w:id="31" w:name="_Toc28359084"/>
      <w:r>
        <w:rPr>
          <w:rFonts w:hint="eastAsia" w:ascii="宋体" w:hAnsi="宋体" w:eastAsia="宋体" w:cs="宋体"/>
          <w:color w:val="auto"/>
          <w:sz w:val="24"/>
          <w:szCs w:val="24"/>
          <w:highlight w:val="none"/>
        </w:rPr>
        <w:t>五、</w:t>
      </w:r>
      <w:bookmarkEnd w:id="27"/>
      <w:bookmarkEnd w:id="28"/>
      <w:bookmarkEnd w:id="29"/>
      <w:bookmarkEnd w:id="30"/>
      <w:bookmarkEnd w:id="31"/>
      <w:bookmarkStart w:id="32" w:name="_Toc58430310"/>
      <w:r>
        <w:rPr>
          <w:rFonts w:hint="eastAsia" w:ascii="宋体" w:hAnsi="宋体" w:eastAsia="宋体" w:cs="宋体"/>
          <w:color w:val="auto"/>
          <w:sz w:val="24"/>
          <w:szCs w:val="24"/>
          <w:highlight w:val="none"/>
        </w:rPr>
        <w:t>投标保证金金额及缴纳账户</w:t>
      </w:r>
      <w:bookmarkEnd w:id="32"/>
    </w:p>
    <w:p w14:paraId="7AF68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是否要求投标人提交投标保证金：</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w:t>
      </w:r>
    </w:p>
    <w:p w14:paraId="4752C3E8">
      <w:pPr>
        <w:pStyle w:val="7"/>
        <w:numPr>
          <w:ilvl w:val="1"/>
          <w:numId w:val="0"/>
        </w:numPr>
        <w:spacing w:line="400" w:lineRule="exact"/>
        <w:ind w:left="851" w:hanging="420"/>
        <w:rPr>
          <w:rFonts w:ascii="宋体" w:hAnsi="宋体" w:eastAsia="宋体" w:cs="宋体"/>
          <w:color w:val="auto"/>
          <w:sz w:val="24"/>
          <w:szCs w:val="24"/>
          <w:highlight w:val="none"/>
        </w:rPr>
      </w:pPr>
      <w:bookmarkStart w:id="33" w:name="_Toc58430312"/>
      <w:r>
        <w:rPr>
          <w:rFonts w:hint="eastAsia" w:ascii="宋体" w:hAnsi="宋体" w:eastAsia="宋体" w:cs="宋体"/>
          <w:color w:val="auto"/>
          <w:sz w:val="24"/>
          <w:szCs w:val="24"/>
          <w:highlight w:val="none"/>
        </w:rPr>
        <w:t>六、对本次招标提出询问，请按以下方式联系</w:t>
      </w:r>
      <w:bookmarkEnd w:id="33"/>
    </w:p>
    <w:p w14:paraId="2F7147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14:paraId="1B69E6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称：滁州市皖能兴滁环境科技有限公司</w:t>
      </w:r>
    </w:p>
    <w:p w14:paraId="7192E6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址：滁州市城投大厦</w:t>
      </w:r>
      <w:r>
        <w:rPr>
          <w:rFonts w:hint="eastAsia" w:ascii="宋体" w:hAnsi="宋体" w:cs="宋体"/>
          <w:color w:val="auto"/>
          <w:sz w:val="24"/>
          <w:szCs w:val="24"/>
          <w:highlight w:val="none"/>
          <w:lang w:val="en-US" w:eastAsia="zh-CN"/>
        </w:rPr>
        <w:t>内</w:t>
      </w:r>
    </w:p>
    <w:p w14:paraId="0B961C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4" w:name="_Toc28359009"/>
      <w:bookmarkStart w:id="35" w:name="_Toc28359086"/>
      <w:r>
        <w:rPr>
          <w:rFonts w:hint="eastAsia" w:ascii="宋体" w:hAnsi="宋体" w:eastAsia="宋体" w:cs="宋体"/>
          <w:color w:val="auto"/>
          <w:sz w:val="24"/>
          <w:szCs w:val="24"/>
          <w:highlight w:val="none"/>
        </w:rPr>
        <w:t>2.代理机构信息</w:t>
      </w:r>
      <w:bookmarkEnd w:id="34"/>
      <w:bookmarkEnd w:id="35"/>
    </w:p>
    <w:p w14:paraId="14FA69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称：滁州市城投工程咨询管理有限公司</w:t>
      </w:r>
    </w:p>
    <w:p w14:paraId="5522B9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址：滁州市龙蟠大道109号房产大厦六楼</w:t>
      </w:r>
    </w:p>
    <w:p w14:paraId="7D03B6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6" w:name="_Toc28359087"/>
      <w:bookmarkStart w:id="37" w:name="_Toc28359010"/>
      <w:r>
        <w:rPr>
          <w:rFonts w:hint="eastAsia" w:ascii="宋体" w:hAnsi="宋体" w:eastAsia="宋体" w:cs="宋体"/>
          <w:color w:val="auto"/>
          <w:sz w:val="24"/>
          <w:szCs w:val="24"/>
          <w:highlight w:val="none"/>
        </w:rPr>
        <w:t>3.项目联系方式</w:t>
      </w:r>
      <w:bookmarkEnd w:id="36"/>
      <w:bookmarkEnd w:id="37"/>
    </w:p>
    <w:p w14:paraId="445416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项目联系人：陈倩倩、江玉龙</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田甜</w:t>
      </w:r>
    </w:p>
    <w:p w14:paraId="3AD81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话：18726618862、18130062551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15955005370</w:t>
      </w:r>
    </w:p>
    <w:p w14:paraId="1FA4F102">
      <w:pPr>
        <w:spacing w:before="159" w:beforeLines="50" w:after="159" w:afterLines="50" w:line="440" w:lineRule="exact"/>
        <w:rPr>
          <w:rFonts w:ascii="宋体" w:hAnsi="宋体" w:cs="宋体"/>
          <w:b/>
          <w:bCs/>
          <w:color w:val="auto"/>
          <w:sz w:val="28"/>
          <w:szCs w:val="28"/>
          <w:highlight w:val="none"/>
        </w:rPr>
      </w:pPr>
    </w:p>
    <w:p w14:paraId="386B7F9E">
      <w:pPr>
        <w:pStyle w:val="27"/>
        <w:rPr>
          <w:rFonts w:ascii="宋体" w:hAnsi="宋体" w:cs="宋体"/>
          <w:b/>
          <w:bCs/>
          <w:color w:val="auto"/>
          <w:sz w:val="28"/>
          <w:szCs w:val="28"/>
          <w:highlight w:val="none"/>
        </w:rPr>
      </w:pPr>
      <w:bookmarkStart w:id="38" w:name="_Toc5455"/>
    </w:p>
    <w:p w14:paraId="144B8021">
      <w:pPr>
        <w:pStyle w:val="27"/>
        <w:rPr>
          <w:rFonts w:ascii="宋体" w:hAnsi="宋体" w:cs="宋体"/>
          <w:b/>
          <w:bCs/>
          <w:color w:val="auto"/>
          <w:sz w:val="28"/>
          <w:szCs w:val="28"/>
          <w:highlight w:val="none"/>
        </w:rPr>
      </w:pPr>
    </w:p>
    <w:p w14:paraId="3C91656F">
      <w:pPr>
        <w:pStyle w:val="27"/>
        <w:rPr>
          <w:rFonts w:ascii="宋体" w:hAnsi="宋体" w:cs="宋体"/>
          <w:b/>
          <w:bCs/>
          <w:color w:val="auto"/>
          <w:sz w:val="28"/>
          <w:szCs w:val="28"/>
          <w:highlight w:val="none"/>
        </w:rPr>
      </w:pPr>
    </w:p>
    <w:p w14:paraId="4B935267">
      <w:pPr>
        <w:pStyle w:val="27"/>
        <w:rPr>
          <w:rFonts w:ascii="宋体" w:hAnsi="宋体" w:cs="宋体"/>
          <w:b/>
          <w:bCs/>
          <w:color w:val="auto"/>
          <w:sz w:val="28"/>
          <w:szCs w:val="28"/>
          <w:highlight w:val="none"/>
        </w:rPr>
      </w:pPr>
    </w:p>
    <w:p w14:paraId="3297F29C">
      <w:pPr>
        <w:pStyle w:val="27"/>
        <w:rPr>
          <w:rFonts w:ascii="宋体" w:hAnsi="宋体" w:cs="宋体"/>
          <w:b/>
          <w:bCs/>
          <w:color w:val="auto"/>
          <w:sz w:val="28"/>
          <w:szCs w:val="28"/>
          <w:highlight w:val="none"/>
        </w:rPr>
      </w:pPr>
    </w:p>
    <w:p w14:paraId="566969AC">
      <w:pPr>
        <w:spacing w:before="159" w:beforeLines="50" w:after="159" w:afterLines="50" w:line="440" w:lineRule="exact"/>
        <w:jc w:val="center"/>
        <w:outlineLvl w:val="0"/>
        <w:rPr>
          <w:rFonts w:ascii="宋体" w:hAnsi="宋体" w:cs="宋体"/>
          <w:b/>
          <w:bCs/>
          <w:color w:val="auto"/>
          <w:sz w:val="28"/>
          <w:szCs w:val="28"/>
          <w:highlight w:val="none"/>
        </w:rPr>
      </w:pPr>
    </w:p>
    <w:p w14:paraId="1E1A40D9">
      <w:pPr>
        <w:spacing w:before="159" w:beforeLines="50" w:after="159" w:afterLines="50" w:line="440" w:lineRule="exact"/>
        <w:jc w:val="center"/>
        <w:outlineLvl w:val="0"/>
        <w:rPr>
          <w:rFonts w:hint="eastAsia" w:ascii="宋体" w:hAnsi="宋体" w:cs="宋体"/>
          <w:b/>
          <w:bCs/>
          <w:color w:val="auto"/>
          <w:sz w:val="28"/>
          <w:szCs w:val="28"/>
          <w:highlight w:val="none"/>
        </w:rPr>
      </w:pPr>
    </w:p>
    <w:p w14:paraId="0846B767">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AB962F">
      <w:pPr>
        <w:pStyle w:val="27"/>
        <w:ind w:left="0" w:leftChars="0" w:firstLine="0" w:firstLineChars="0"/>
        <w:jc w:val="center"/>
        <w:outlineLvl w:val="0"/>
        <w:rPr>
          <w:rFonts w:hint="eastAsia" w:ascii="宋体" w:hAnsi="宋体" w:cs="宋体"/>
          <w:b/>
          <w:bCs/>
          <w:color w:val="auto"/>
          <w:sz w:val="28"/>
          <w:szCs w:val="28"/>
          <w:highlight w:val="none"/>
        </w:rPr>
      </w:pPr>
      <w:bookmarkStart w:id="39" w:name="_Toc21817"/>
      <w:r>
        <w:rPr>
          <w:rFonts w:hint="eastAsia" w:ascii="宋体" w:hAnsi="宋体" w:cs="宋体"/>
          <w:b/>
          <w:bCs/>
          <w:color w:val="auto"/>
          <w:sz w:val="28"/>
          <w:szCs w:val="28"/>
          <w:highlight w:val="none"/>
        </w:rPr>
        <w:t>第二章投标须知</w:t>
      </w:r>
      <w:bookmarkEnd w:id="39"/>
    </w:p>
    <w:p w14:paraId="41C53C30">
      <w:pPr>
        <w:spacing w:before="159" w:beforeLines="50" w:after="159" w:afterLines="50" w:line="440" w:lineRule="exact"/>
        <w:jc w:val="center"/>
        <w:outlineLvl w:val="0"/>
        <w:rPr>
          <w:rFonts w:ascii="宋体" w:hAnsi="宋体" w:cs="宋体"/>
          <w:color w:val="auto"/>
          <w:highlight w:val="none"/>
        </w:rPr>
      </w:pPr>
      <w:bookmarkStart w:id="40" w:name="_Toc23102"/>
      <w:bookmarkStart w:id="41" w:name="_Toc13347"/>
      <w:r>
        <w:rPr>
          <w:rFonts w:hint="eastAsia" w:ascii="宋体" w:hAnsi="宋体" w:cs="宋体"/>
          <w:b/>
          <w:bCs/>
          <w:color w:val="auto"/>
          <w:sz w:val="28"/>
          <w:szCs w:val="28"/>
          <w:highlight w:val="none"/>
        </w:rPr>
        <w:t>A、投标须知前附表</w:t>
      </w:r>
      <w:bookmarkEnd w:id="38"/>
      <w:bookmarkEnd w:id="40"/>
      <w:bookmarkEnd w:id="41"/>
    </w:p>
    <w:tbl>
      <w:tblPr>
        <w:tblStyle w:val="45"/>
        <w:tblW w:w="9967" w:type="dxa"/>
        <w:jc w:val="center"/>
        <w:tblLayout w:type="fixed"/>
        <w:tblCellMar>
          <w:top w:w="0" w:type="dxa"/>
          <w:left w:w="0" w:type="dxa"/>
          <w:bottom w:w="0" w:type="dxa"/>
          <w:right w:w="0" w:type="dxa"/>
        </w:tblCellMar>
      </w:tblPr>
      <w:tblGrid>
        <w:gridCol w:w="831"/>
        <w:gridCol w:w="1881"/>
        <w:gridCol w:w="7255"/>
      </w:tblGrid>
      <w:tr w14:paraId="571A27D6">
        <w:tblPrEx>
          <w:tblCellMar>
            <w:top w:w="0" w:type="dxa"/>
            <w:left w:w="0" w:type="dxa"/>
            <w:bottom w:w="0" w:type="dxa"/>
            <w:right w:w="0" w:type="dxa"/>
          </w:tblCellMar>
        </w:tblPrEx>
        <w:trPr>
          <w:trHeight w:val="58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5A2DF55">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编号</w:t>
            </w:r>
          </w:p>
        </w:tc>
        <w:tc>
          <w:tcPr>
            <w:tcW w:w="1881" w:type="dxa"/>
            <w:tcBorders>
              <w:top w:val="single" w:color="auto" w:sz="8" w:space="0"/>
              <w:left w:val="single" w:color="auto" w:sz="4" w:space="0"/>
              <w:bottom w:val="single" w:color="auto" w:sz="8" w:space="0"/>
              <w:right w:val="single" w:color="auto" w:sz="4" w:space="0"/>
            </w:tcBorders>
            <w:vAlign w:val="center"/>
          </w:tcPr>
          <w:p w14:paraId="0AE025D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内容</w:t>
            </w:r>
          </w:p>
        </w:tc>
        <w:tc>
          <w:tcPr>
            <w:tcW w:w="7255" w:type="dxa"/>
            <w:tcBorders>
              <w:top w:val="single" w:color="auto" w:sz="8" w:space="0"/>
              <w:left w:val="single" w:color="auto" w:sz="4" w:space="0"/>
              <w:bottom w:val="single" w:color="auto" w:sz="8" w:space="0"/>
              <w:right w:val="single" w:color="auto" w:sz="8" w:space="0"/>
            </w:tcBorders>
            <w:vAlign w:val="center"/>
          </w:tcPr>
          <w:p w14:paraId="5285D5E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说明与要求</w:t>
            </w:r>
          </w:p>
        </w:tc>
      </w:tr>
      <w:tr w14:paraId="236F2C0B">
        <w:tblPrEx>
          <w:tblCellMar>
            <w:top w:w="0" w:type="dxa"/>
            <w:left w:w="0" w:type="dxa"/>
            <w:bottom w:w="0" w:type="dxa"/>
            <w:right w:w="0" w:type="dxa"/>
          </w:tblCellMar>
        </w:tblPrEx>
        <w:trPr>
          <w:trHeight w:val="9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BB9BC6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81" w:type="dxa"/>
            <w:tcBorders>
              <w:top w:val="single" w:color="auto" w:sz="8" w:space="0"/>
              <w:left w:val="single" w:color="auto" w:sz="4" w:space="0"/>
              <w:bottom w:val="single" w:color="auto" w:sz="8" w:space="0"/>
              <w:right w:val="single" w:color="auto" w:sz="4" w:space="0"/>
            </w:tcBorders>
            <w:vAlign w:val="center"/>
          </w:tcPr>
          <w:p w14:paraId="35B5D18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14:paraId="08E41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工程名称：</w:t>
            </w:r>
            <w:r>
              <w:rPr>
                <w:rFonts w:hint="eastAsia" w:ascii="宋体" w:hAnsi="宋体" w:eastAsia="宋体" w:cs="宋体"/>
                <w:color w:val="auto"/>
                <w:sz w:val="24"/>
                <w:szCs w:val="24"/>
                <w:highlight w:val="none"/>
              </w:rPr>
              <w:t>滁州市建筑垃圾综合处置项目（一期）跟踪审计服务项目</w:t>
            </w:r>
          </w:p>
          <w:p w14:paraId="06190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建设地点：</w:t>
            </w:r>
            <w:r>
              <w:rPr>
                <w:rFonts w:hint="eastAsia" w:ascii="宋体" w:hAnsi="宋体" w:eastAsia="宋体" w:cs="宋体"/>
                <w:color w:val="auto"/>
                <w:kern w:val="0"/>
                <w:sz w:val="24"/>
                <w:szCs w:val="24"/>
                <w:highlight w:val="none"/>
                <w:lang w:val="en-US" w:eastAsia="zh-CN"/>
              </w:rPr>
              <w:t>滁州市</w:t>
            </w:r>
            <w:r>
              <w:rPr>
                <w:rFonts w:hint="eastAsia" w:ascii="宋体" w:hAnsi="宋体" w:cs="宋体"/>
                <w:color w:val="auto"/>
                <w:kern w:val="0"/>
                <w:sz w:val="24"/>
                <w:szCs w:val="24"/>
                <w:highlight w:val="none"/>
                <w:lang w:val="en-US" w:eastAsia="zh-CN"/>
              </w:rPr>
              <w:t>内</w:t>
            </w:r>
          </w:p>
          <w:p w14:paraId="30692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建设规模：项目工程总投资约8000万元，服务费用约24万元。</w:t>
            </w:r>
          </w:p>
        </w:tc>
      </w:tr>
      <w:tr w14:paraId="2268CE76">
        <w:tblPrEx>
          <w:tblCellMar>
            <w:top w:w="0" w:type="dxa"/>
            <w:left w:w="0" w:type="dxa"/>
            <w:bottom w:w="0" w:type="dxa"/>
            <w:right w:w="0" w:type="dxa"/>
          </w:tblCellMar>
        </w:tblPrEx>
        <w:trPr>
          <w:trHeight w:val="25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F64799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81" w:type="dxa"/>
            <w:tcBorders>
              <w:top w:val="single" w:color="auto" w:sz="8" w:space="0"/>
              <w:left w:val="single" w:color="auto" w:sz="4" w:space="0"/>
              <w:bottom w:val="single" w:color="auto" w:sz="8" w:space="0"/>
              <w:right w:val="single" w:color="auto" w:sz="4" w:space="0"/>
            </w:tcBorders>
            <w:vAlign w:val="center"/>
          </w:tcPr>
          <w:p w14:paraId="250B863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14:paraId="11561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施工阶段全过程跟踪审计，结算审计，根据建设单位、监理单位、施工单位提供的有关资料在规定的工作日内完成审核工作。</w:t>
            </w:r>
          </w:p>
        </w:tc>
      </w:tr>
      <w:tr w14:paraId="66DD1831">
        <w:tblPrEx>
          <w:tblCellMar>
            <w:top w:w="0" w:type="dxa"/>
            <w:left w:w="0" w:type="dxa"/>
            <w:bottom w:w="0" w:type="dxa"/>
            <w:right w:w="0" w:type="dxa"/>
          </w:tblCellMar>
        </w:tblPrEx>
        <w:trPr>
          <w:trHeight w:val="31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ED92ED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81" w:type="dxa"/>
            <w:tcBorders>
              <w:top w:val="single" w:color="auto" w:sz="8" w:space="0"/>
              <w:left w:val="single" w:color="auto" w:sz="4" w:space="0"/>
              <w:bottom w:val="single" w:color="auto" w:sz="8" w:space="0"/>
              <w:right w:val="single" w:color="auto" w:sz="4" w:space="0"/>
            </w:tcBorders>
            <w:vAlign w:val="center"/>
          </w:tcPr>
          <w:p w14:paraId="0E773BE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合同履行期</w:t>
            </w:r>
          </w:p>
        </w:tc>
        <w:tc>
          <w:tcPr>
            <w:tcW w:w="7255" w:type="dxa"/>
            <w:tcBorders>
              <w:top w:val="single" w:color="auto" w:sz="8" w:space="0"/>
              <w:left w:val="single" w:color="auto" w:sz="4" w:space="0"/>
              <w:bottom w:val="single" w:color="auto" w:sz="8" w:space="0"/>
              <w:right w:val="single" w:color="auto" w:sz="8" w:space="0"/>
            </w:tcBorders>
            <w:vAlign w:val="center"/>
          </w:tcPr>
          <w:p w14:paraId="5132396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施工阶段全过程工程造价控制。</w:t>
            </w:r>
          </w:p>
        </w:tc>
      </w:tr>
      <w:tr w14:paraId="2572BE98">
        <w:tblPrEx>
          <w:tblCellMar>
            <w:top w:w="0" w:type="dxa"/>
            <w:left w:w="0" w:type="dxa"/>
            <w:bottom w:w="0" w:type="dxa"/>
            <w:right w:w="0" w:type="dxa"/>
          </w:tblCellMar>
        </w:tblPrEx>
        <w:trPr>
          <w:trHeight w:val="42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C25BC6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81" w:type="dxa"/>
            <w:tcBorders>
              <w:top w:val="single" w:color="auto" w:sz="8" w:space="0"/>
              <w:left w:val="single" w:color="auto" w:sz="4" w:space="0"/>
              <w:bottom w:val="single" w:color="auto" w:sz="8" w:space="0"/>
              <w:right w:val="single" w:color="auto" w:sz="4" w:space="0"/>
            </w:tcBorders>
            <w:vAlign w:val="center"/>
          </w:tcPr>
          <w:p w14:paraId="0C74765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14:paraId="2E3118C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出具的工程造价咨询成果文件质量应符合现行国家或行业工程计价有关规定、标准、规范的要求</w:t>
            </w:r>
            <w:r>
              <w:rPr>
                <w:rFonts w:hint="eastAsia" w:ascii="宋体" w:hAnsi="宋体" w:eastAsia="宋体" w:cs="宋体"/>
                <w:color w:val="auto"/>
                <w:sz w:val="24"/>
                <w:szCs w:val="24"/>
                <w:highlight w:val="none"/>
                <w:lang w:eastAsia="zh-CN"/>
              </w:rPr>
              <w:t>。</w:t>
            </w:r>
          </w:p>
        </w:tc>
      </w:tr>
      <w:tr w14:paraId="15AECA61">
        <w:tblPrEx>
          <w:tblCellMar>
            <w:top w:w="0" w:type="dxa"/>
            <w:left w:w="0" w:type="dxa"/>
            <w:bottom w:w="0" w:type="dxa"/>
            <w:right w:w="0" w:type="dxa"/>
          </w:tblCellMar>
        </w:tblPrEx>
        <w:trPr>
          <w:trHeight w:val="991"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3E0385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81" w:type="dxa"/>
            <w:tcBorders>
              <w:top w:val="single" w:color="auto" w:sz="8" w:space="0"/>
              <w:left w:val="single" w:color="auto" w:sz="4" w:space="0"/>
              <w:bottom w:val="single" w:color="auto" w:sz="8" w:space="0"/>
              <w:right w:val="single" w:color="auto" w:sz="4" w:space="0"/>
            </w:tcBorders>
            <w:vAlign w:val="center"/>
          </w:tcPr>
          <w:p w14:paraId="076E3F82">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投标人资质</w:t>
            </w:r>
          </w:p>
          <w:p w14:paraId="46AE28B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14:paraId="7FBFBF8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详见招标公告</w:t>
            </w:r>
          </w:p>
        </w:tc>
      </w:tr>
      <w:tr w14:paraId="151A314A">
        <w:tblPrEx>
          <w:tblCellMar>
            <w:top w:w="0" w:type="dxa"/>
            <w:left w:w="0" w:type="dxa"/>
            <w:bottom w:w="0" w:type="dxa"/>
            <w:right w:w="0" w:type="dxa"/>
          </w:tblCellMar>
        </w:tblPrEx>
        <w:trPr>
          <w:trHeight w:val="65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23D07B0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81" w:type="dxa"/>
            <w:tcBorders>
              <w:top w:val="single" w:color="auto" w:sz="8" w:space="0"/>
              <w:left w:val="single" w:color="auto" w:sz="4" w:space="0"/>
              <w:bottom w:val="single" w:color="auto" w:sz="8" w:space="0"/>
              <w:right w:val="single" w:color="auto" w:sz="4" w:space="0"/>
            </w:tcBorders>
            <w:vAlign w:val="center"/>
          </w:tcPr>
          <w:p w14:paraId="6AF82C3C">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14:paraId="57C9ABFC">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不再集中召开招标答疑会；投标人自行组织勘察现场。</w:t>
            </w:r>
          </w:p>
        </w:tc>
      </w:tr>
      <w:tr w14:paraId="42CCCA27">
        <w:tblPrEx>
          <w:tblCellMar>
            <w:top w:w="0" w:type="dxa"/>
            <w:left w:w="0" w:type="dxa"/>
            <w:bottom w:w="0" w:type="dxa"/>
            <w:right w:w="0" w:type="dxa"/>
          </w:tblCellMar>
        </w:tblPrEx>
        <w:trPr>
          <w:trHeight w:val="43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46EB09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81" w:type="dxa"/>
            <w:tcBorders>
              <w:top w:val="single" w:color="auto" w:sz="8" w:space="0"/>
              <w:left w:val="single" w:color="auto" w:sz="4" w:space="0"/>
              <w:bottom w:val="single" w:color="auto" w:sz="8" w:space="0"/>
              <w:right w:val="single" w:color="auto" w:sz="4" w:space="0"/>
            </w:tcBorders>
            <w:vAlign w:val="center"/>
          </w:tcPr>
          <w:p w14:paraId="6862273B">
            <w:pPr>
              <w:pStyle w:val="26"/>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260" w:right="0" w:hanging="1440" w:hangingChars="6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14:paraId="6A8A6806">
            <w:pPr>
              <w:pStyle w:val="26"/>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网上递交的电子投标文件：一份。以投标人在投标截止时间前网上递交的电子投标文件为准，逾期提交的，投标文件将被拒绝。</w:t>
            </w:r>
          </w:p>
        </w:tc>
      </w:tr>
      <w:tr w14:paraId="3C145A1E">
        <w:tblPrEx>
          <w:tblCellMar>
            <w:top w:w="0" w:type="dxa"/>
            <w:left w:w="0" w:type="dxa"/>
            <w:bottom w:w="0" w:type="dxa"/>
            <w:right w:w="0" w:type="dxa"/>
          </w:tblCellMar>
        </w:tblPrEx>
        <w:trPr>
          <w:trHeight w:val="6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7199310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881" w:type="dxa"/>
            <w:tcBorders>
              <w:top w:val="single" w:color="auto" w:sz="8" w:space="0"/>
              <w:left w:val="single" w:color="auto" w:sz="4" w:space="0"/>
              <w:bottom w:val="single" w:color="auto" w:sz="8" w:space="0"/>
              <w:right w:val="single" w:color="auto" w:sz="4" w:space="0"/>
            </w:tcBorders>
            <w:vAlign w:val="center"/>
          </w:tcPr>
          <w:p w14:paraId="6F227D6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14:paraId="58829BBD">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不要求</w:t>
            </w:r>
          </w:p>
        </w:tc>
      </w:tr>
      <w:tr w14:paraId="2125CDDF">
        <w:tblPrEx>
          <w:tblCellMar>
            <w:top w:w="0" w:type="dxa"/>
            <w:left w:w="0" w:type="dxa"/>
            <w:bottom w:w="0" w:type="dxa"/>
            <w:right w:w="0" w:type="dxa"/>
          </w:tblCellMar>
        </w:tblPrEx>
        <w:trPr>
          <w:trHeight w:val="637"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BC4CA4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881" w:type="dxa"/>
            <w:tcBorders>
              <w:top w:val="single" w:color="auto" w:sz="8" w:space="0"/>
              <w:left w:val="single" w:color="auto" w:sz="4" w:space="0"/>
              <w:bottom w:val="single" w:color="auto" w:sz="8" w:space="0"/>
              <w:right w:val="single" w:color="auto" w:sz="4" w:space="0"/>
            </w:tcBorders>
            <w:vAlign w:val="center"/>
          </w:tcPr>
          <w:p w14:paraId="2F189ED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14:paraId="06EF3AF5">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本项目不设置履约保证金。</w:t>
            </w:r>
          </w:p>
        </w:tc>
      </w:tr>
      <w:tr w14:paraId="619845AF">
        <w:tblPrEx>
          <w:tblCellMar>
            <w:top w:w="0" w:type="dxa"/>
            <w:left w:w="0" w:type="dxa"/>
            <w:bottom w:w="0" w:type="dxa"/>
            <w:right w:w="0" w:type="dxa"/>
          </w:tblCellMar>
        </w:tblPrEx>
        <w:trPr>
          <w:trHeight w:val="4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707F87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881" w:type="dxa"/>
            <w:tcBorders>
              <w:top w:val="single" w:color="auto" w:sz="8" w:space="0"/>
              <w:left w:val="single" w:color="auto" w:sz="4" w:space="0"/>
              <w:bottom w:val="single" w:color="auto" w:sz="8" w:space="0"/>
              <w:right w:val="single" w:color="auto" w:sz="4" w:space="0"/>
            </w:tcBorders>
            <w:vAlign w:val="center"/>
          </w:tcPr>
          <w:p w14:paraId="4C0C9620">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255" w:type="dxa"/>
            <w:tcBorders>
              <w:top w:val="single" w:color="auto" w:sz="8" w:space="0"/>
              <w:left w:val="single" w:color="auto" w:sz="4" w:space="0"/>
              <w:bottom w:val="single" w:color="auto" w:sz="8" w:space="0"/>
              <w:right w:val="single" w:color="auto" w:sz="8" w:space="0"/>
            </w:tcBorders>
            <w:vAlign w:val="center"/>
          </w:tcPr>
          <w:p w14:paraId="390870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本项目的最高限价为基本费率1.5‰</w:t>
            </w:r>
            <w:r>
              <w:rPr>
                <w:rFonts w:hint="eastAsia" w:ascii="宋体" w:hAnsi="宋体" w:cs="宋体"/>
                <w:color w:val="auto"/>
                <w:sz w:val="24"/>
                <w:szCs w:val="24"/>
                <w:highlight w:val="none"/>
                <w:lang w:val="en-US" w:eastAsia="zh-CN"/>
              </w:rPr>
              <w:t>（投标报价保留两位小数，第三位四舍五入）</w:t>
            </w:r>
            <w:r>
              <w:rPr>
                <w:rFonts w:hint="default" w:ascii="宋体" w:hAnsi="宋体" w:eastAsia="宋体" w:cs="宋体"/>
                <w:color w:val="auto"/>
                <w:sz w:val="24"/>
                <w:szCs w:val="24"/>
                <w:highlight w:val="none"/>
                <w:lang w:val="en-US"/>
              </w:rPr>
              <w:t>；审核成果费率1.5%（审核成果费率为不可竞争费率，固定不变），投标单位投标报价不得高于上述基本费率最高限价，否则按无效标处理。注：</w:t>
            </w:r>
          </w:p>
          <w:p w14:paraId="1808846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1、投标报价（费率）不得为0或负数，</w:t>
            </w:r>
            <w:r>
              <w:rPr>
                <w:rFonts w:hint="default" w:ascii="宋体" w:hAnsi="宋体" w:eastAsia="宋体" w:cs="宋体"/>
                <w:color w:val="auto"/>
                <w:sz w:val="24"/>
                <w:szCs w:val="24"/>
                <w:highlight w:val="none"/>
                <w:lang w:val="en-US"/>
              </w:rPr>
              <w:t>否则按无效标处理</w:t>
            </w:r>
            <w:r>
              <w:rPr>
                <w:rFonts w:hint="eastAsia" w:ascii="宋体" w:hAnsi="宋体" w:cs="宋体"/>
                <w:color w:val="auto"/>
                <w:sz w:val="24"/>
                <w:szCs w:val="24"/>
                <w:highlight w:val="none"/>
                <w:lang w:val="en-US" w:eastAsia="zh-CN"/>
              </w:rPr>
              <w:t>。</w:t>
            </w:r>
          </w:p>
          <w:p w14:paraId="380662F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2、跟踪审计费用结算标准：工程结算审定金额×中标基本费率+结算审计净核减额*1.5%。</w:t>
            </w:r>
          </w:p>
          <w:p w14:paraId="3295565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rPr>
              <w:t>、无论任何原因（包含但不限于设计图纸变更等）导致的项目期限延长，委托人均不再增加编制费用</w:t>
            </w:r>
            <w:r>
              <w:rPr>
                <w:rFonts w:hint="eastAsia" w:ascii="宋体" w:hAnsi="宋体" w:cs="宋体"/>
                <w:color w:val="auto"/>
                <w:sz w:val="24"/>
                <w:szCs w:val="24"/>
                <w:highlight w:val="none"/>
                <w:lang w:val="en-US" w:eastAsia="zh-CN"/>
              </w:rPr>
              <w:t>。</w:t>
            </w:r>
          </w:p>
          <w:p w14:paraId="1B65AE7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rPr>
              <w:t>、投标人须认真研究项目的招标文件，并仔细踏勘现场，若对本项目有异议，应在投标答疑时向招标人提出。</w:t>
            </w:r>
          </w:p>
        </w:tc>
      </w:tr>
      <w:tr w14:paraId="77D9C95C">
        <w:tblPrEx>
          <w:tblCellMar>
            <w:top w:w="0" w:type="dxa"/>
            <w:left w:w="0" w:type="dxa"/>
            <w:bottom w:w="0" w:type="dxa"/>
            <w:right w:w="0" w:type="dxa"/>
          </w:tblCellMar>
        </w:tblPrEx>
        <w:trPr>
          <w:trHeight w:val="559"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0B734C8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881" w:type="dxa"/>
            <w:tcBorders>
              <w:top w:val="single" w:color="auto" w:sz="8" w:space="0"/>
              <w:left w:val="single" w:color="auto" w:sz="4" w:space="0"/>
              <w:bottom w:val="single" w:color="auto" w:sz="8" w:space="0"/>
              <w:right w:val="single" w:color="auto" w:sz="4" w:space="0"/>
            </w:tcBorders>
            <w:vAlign w:val="center"/>
          </w:tcPr>
          <w:p w14:paraId="6FD94C2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投标文件提交截止时间</w:t>
            </w:r>
          </w:p>
        </w:tc>
        <w:tc>
          <w:tcPr>
            <w:tcW w:w="7255" w:type="dxa"/>
            <w:tcBorders>
              <w:top w:val="single" w:color="auto" w:sz="8" w:space="0"/>
              <w:left w:val="single" w:color="auto" w:sz="4" w:space="0"/>
              <w:bottom w:val="single" w:color="auto" w:sz="8" w:space="0"/>
              <w:right w:val="single" w:color="auto" w:sz="8" w:space="0"/>
            </w:tcBorders>
            <w:vAlign w:val="center"/>
          </w:tcPr>
          <w:p w14:paraId="666A270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1、投标人须在投标文件截止时间前（2024年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日8时30分前）将投标文件以电子邮件的方式一次性发送至czsctgczx@163.com（滁州市城投工程咨询管理有限公司邮箱），投标文件格式限定为加密PDF格式，将文件命名为\“投标单位名称+项目名称\”，未在规定时间内发送的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时00分前）将投标文件以电子邮件的方式一次性发送至czsctgczx@163.com（滁州市城投工程咨询管理有限公司邮箱），投标文件格式限定为加密PDF格式，将文件命名为“投标单位名称+项目名称</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en-US"/>
              </w:rPr>
              <w:t>”，未在规定时间内发送加密PDF格式投标文件，投标将被拒绝，投标文件送达时间以滁州市城投工程咨询管理有限公司邮箱显示的邮件送达时间为准，若投标人重复发送电子投标文件的，将以2024年</w:t>
            </w:r>
            <w:r>
              <w:rPr>
                <w:rFonts w:hint="eastAsia" w:ascii="宋体" w:hAnsi="宋体" w:eastAsia="宋体" w:cs="宋体"/>
                <w:color w:val="auto"/>
                <w:sz w:val="24"/>
                <w:szCs w:val="24"/>
                <w:highlight w:val="none"/>
                <w:lang w:val="en-US"/>
              </w:rPr>
              <w:fldChar w:fldCharType="end"/>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时00分前最后收到的投标文件为准,投标文件无法打开的，由投标人自行承担后果。</w:t>
            </w:r>
          </w:p>
          <w:p w14:paraId="47AD4AFD">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"mailto:3、投标人在2021年11月23日8时30分至2021年11月23日9时内将投标文件的密码（投标单位名称+密码）发送至czsctgczx@163.com（滁州市城投工程咨询管理有限公司邮箱）。不在规定时间内发送密码的，投标将被拒绝。"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2、投标人在2024年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时00分至2024年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时30分将投标文件的密码（投标单位名称+密码）发送至czsctgczx@163.com（滁州市城投工程咨询管理有限公司邮箱）。未在规定时间内发送密码的，投标将被拒绝。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 w:val="24"/>
                <w:szCs w:val="24"/>
                <w:highlight w:val="none"/>
                <w:lang w:val="en-US"/>
              </w:rPr>
              <w:fldChar w:fldCharType="end"/>
            </w:r>
          </w:p>
        </w:tc>
      </w:tr>
      <w:tr w14:paraId="3AEE1663">
        <w:tblPrEx>
          <w:tblCellMar>
            <w:top w:w="0" w:type="dxa"/>
            <w:left w:w="0" w:type="dxa"/>
            <w:bottom w:w="0" w:type="dxa"/>
            <w:right w:w="0" w:type="dxa"/>
          </w:tblCellMar>
        </w:tblPrEx>
        <w:trPr>
          <w:trHeight w:val="91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1392DC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881" w:type="dxa"/>
            <w:tcBorders>
              <w:top w:val="single" w:color="auto" w:sz="8" w:space="0"/>
              <w:left w:val="single" w:color="auto" w:sz="4" w:space="0"/>
              <w:bottom w:val="single" w:color="auto" w:sz="8" w:space="0"/>
              <w:right w:val="single" w:color="auto" w:sz="4" w:space="0"/>
            </w:tcBorders>
            <w:vAlign w:val="center"/>
          </w:tcPr>
          <w:p w14:paraId="0261F43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w:t>
            </w:r>
          </w:p>
        </w:tc>
        <w:tc>
          <w:tcPr>
            <w:tcW w:w="7255" w:type="dxa"/>
            <w:tcBorders>
              <w:top w:val="single" w:color="auto" w:sz="8" w:space="0"/>
              <w:left w:val="single" w:color="auto" w:sz="4" w:space="0"/>
              <w:bottom w:val="single" w:color="auto" w:sz="8" w:space="0"/>
              <w:right w:val="single" w:color="auto" w:sz="8" w:space="0"/>
            </w:tcBorders>
            <w:vAlign w:val="center"/>
          </w:tcPr>
          <w:p w14:paraId="10368E3D">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开标时间：2024年</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点00分（北京时间）</w:t>
            </w:r>
          </w:p>
          <w:p w14:paraId="38698D3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开标地点：滁州市龙蟠大道109号房产商务大厦6楼</w:t>
            </w:r>
            <w:r>
              <w:rPr>
                <w:rFonts w:hint="eastAsia" w:ascii="宋体" w:hAnsi="宋体" w:cs="宋体"/>
                <w:color w:val="auto"/>
                <w:sz w:val="24"/>
                <w:szCs w:val="24"/>
                <w:highlight w:val="none"/>
                <w:u w:val="single"/>
                <w:lang w:val="en-US" w:eastAsia="zh-CN"/>
              </w:rPr>
              <w:t>622</w:t>
            </w:r>
            <w:r>
              <w:rPr>
                <w:rFonts w:hint="eastAsia" w:ascii="宋体" w:hAnsi="宋体" w:eastAsia="宋体" w:cs="宋体"/>
                <w:color w:val="auto"/>
                <w:sz w:val="24"/>
                <w:szCs w:val="24"/>
                <w:highlight w:val="none"/>
                <w:u w:val="single"/>
                <w:lang w:eastAsia="zh-CN"/>
              </w:rPr>
              <w:t>会议室</w:t>
            </w:r>
          </w:p>
        </w:tc>
      </w:tr>
      <w:tr w14:paraId="6E678711">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6105F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881" w:type="dxa"/>
            <w:tcBorders>
              <w:top w:val="single" w:color="auto" w:sz="8" w:space="0"/>
              <w:left w:val="single" w:color="auto" w:sz="4" w:space="0"/>
              <w:bottom w:val="single" w:color="auto" w:sz="8" w:space="0"/>
              <w:right w:val="single" w:color="auto" w:sz="4" w:space="0"/>
            </w:tcBorders>
            <w:vAlign w:val="center"/>
          </w:tcPr>
          <w:p w14:paraId="0C556FC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14:paraId="249A42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本项目的招标代理服务费</w:t>
            </w:r>
            <w:r>
              <w:rPr>
                <w:rFonts w:hint="eastAsia" w:ascii="宋体" w:hAnsi="宋体" w:cs="宋体"/>
                <w:color w:val="auto"/>
                <w:kern w:val="0"/>
                <w:sz w:val="24"/>
                <w:szCs w:val="24"/>
                <w:highlight w:val="none"/>
                <w:u w:val="single"/>
                <w:lang w:val="en-US" w:eastAsia="zh-CN"/>
              </w:rPr>
              <w:t xml:space="preserve"> 3000 </w:t>
            </w:r>
            <w:r>
              <w:rPr>
                <w:rFonts w:hint="eastAsia" w:ascii="宋体" w:hAnsi="宋体" w:eastAsia="宋体" w:cs="宋体"/>
                <w:color w:val="auto"/>
                <w:kern w:val="0"/>
                <w:sz w:val="24"/>
                <w:szCs w:val="24"/>
                <w:highlight w:val="none"/>
              </w:rPr>
              <w:t>元和专家评委费（专家评委费以实际发生为准），由中标人在领取中标通知书时，一次性支付给代理公司。</w:t>
            </w:r>
          </w:p>
        </w:tc>
      </w:tr>
      <w:tr w14:paraId="35C0BB47">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C170BB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881" w:type="dxa"/>
            <w:tcBorders>
              <w:top w:val="single" w:color="auto" w:sz="8" w:space="0"/>
              <w:left w:val="single" w:color="auto" w:sz="4" w:space="0"/>
              <w:bottom w:val="single" w:color="auto" w:sz="8" w:space="0"/>
              <w:right w:val="single" w:color="auto" w:sz="4" w:space="0"/>
            </w:tcBorders>
            <w:vAlign w:val="center"/>
          </w:tcPr>
          <w:p w14:paraId="10CB10E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付款方式、时间、条件</w:t>
            </w:r>
          </w:p>
        </w:tc>
        <w:tc>
          <w:tcPr>
            <w:tcW w:w="7255" w:type="dxa"/>
            <w:tcBorders>
              <w:top w:val="single" w:color="auto" w:sz="8" w:space="0"/>
              <w:left w:val="single" w:color="auto" w:sz="4" w:space="0"/>
              <w:bottom w:val="single" w:color="auto" w:sz="8" w:space="0"/>
              <w:right w:val="single" w:color="auto" w:sz="8" w:space="0"/>
            </w:tcBorders>
            <w:vAlign w:val="center"/>
          </w:tcPr>
          <w:p w14:paraId="1918CD5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出具</w:t>
            </w:r>
            <w:r>
              <w:rPr>
                <w:rFonts w:hint="eastAsia" w:ascii="宋体" w:hAnsi="宋体" w:eastAsia="宋体" w:cs="宋体"/>
                <w:color w:val="auto"/>
                <w:kern w:val="0"/>
                <w:sz w:val="24"/>
                <w:szCs w:val="24"/>
                <w:highlight w:val="none"/>
              </w:rPr>
              <w:t>正式成果文件</w:t>
            </w:r>
            <w:r>
              <w:rPr>
                <w:rFonts w:hint="eastAsia" w:ascii="宋体" w:hAnsi="宋体" w:cs="宋体"/>
                <w:color w:val="auto"/>
                <w:kern w:val="0"/>
                <w:sz w:val="24"/>
                <w:szCs w:val="24"/>
                <w:highlight w:val="none"/>
                <w:lang w:val="en-US" w:eastAsia="zh-CN"/>
              </w:rPr>
              <w:t>且</w:t>
            </w:r>
            <w:r>
              <w:rPr>
                <w:rFonts w:hint="eastAsia" w:ascii="宋体" w:hAnsi="宋体" w:eastAsia="宋体" w:cs="宋体"/>
                <w:color w:val="auto"/>
                <w:kern w:val="0"/>
                <w:sz w:val="24"/>
                <w:szCs w:val="24"/>
                <w:highlight w:val="none"/>
              </w:rPr>
              <w:t>审核备案完成后一次性付清。</w:t>
            </w:r>
          </w:p>
        </w:tc>
      </w:tr>
      <w:tr w14:paraId="7A3218C5">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20CF8EA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p>
        </w:tc>
        <w:tc>
          <w:tcPr>
            <w:tcW w:w="1881" w:type="dxa"/>
            <w:tcBorders>
              <w:top w:val="single" w:color="auto" w:sz="8" w:space="0"/>
              <w:left w:val="single" w:color="auto" w:sz="4" w:space="0"/>
              <w:bottom w:val="single" w:color="auto" w:sz="8" w:space="0"/>
              <w:right w:val="single" w:color="auto" w:sz="4" w:space="0"/>
            </w:tcBorders>
            <w:vAlign w:val="center"/>
          </w:tcPr>
          <w:p w14:paraId="45A4641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招标文件获取方式和时间</w:t>
            </w:r>
          </w:p>
        </w:tc>
        <w:tc>
          <w:tcPr>
            <w:tcW w:w="7255" w:type="dxa"/>
            <w:tcBorders>
              <w:top w:val="single" w:color="auto" w:sz="8" w:space="0"/>
              <w:left w:val="single" w:color="auto" w:sz="4" w:space="0"/>
              <w:bottom w:val="single" w:color="auto" w:sz="8" w:space="0"/>
              <w:right w:val="single" w:color="auto" w:sz="8" w:space="0"/>
            </w:tcBorders>
          </w:tcPr>
          <w:p w14:paraId="0773D5BD">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招标文件获取方式：网上下载；</w:t>
            </w:r>
          </w:p>
          <w:p w14:paraId="61FC90E7">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获取时间：招标文件发布至投标截止时间。</w:t>
            </w:r>
          </w:p>
        </w:tc>
      </w:tr>
      <w:tr w14:paraId="0B8C6DB5">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1ED274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6</w:t>
            </w:r>
          </w:p>
        </w:tc>
        <w:tc>
          <w:tcPr>
            <w:tcW w:w="1881" w:type="dxa"/>
            <w:tcBorders>
              <w:top w:val="single" w:color="auto" w:sz="8" w:space="0"/>
              <w:left w:val="single" w:color="auto" w:sz="4" w:space="0"/>
              <w:bottom w:val="single" w:color="auto" w:sz="8" w:space="0"/>
              <w:right w:val="single" w:color="auto" w:sz="4" w:space="0"/>
            </w:tcBorders>
            <w:vAlign w:val="center"/>
          </w:tcPr>
          <w:p w14:paraId="27B633B6">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特别提示</w:t>
            </w:r>
          </w:p>
        </w:tc>
        <w:tc>
          <w:tcPr>
            <w:tcW w:w="7255" w:type="dxa"/>
            <w:tcBorders>
              <w:top w:val="single" w:color="auto" w:sz="8" w:space="0"/>
              <w:left w:val="single" w:color="auto" w:sz="4" w:space="0"/>
              <w:bottom w:val="single" w:color="auto" w:sz="8" w:space="0"/>
              <w:right w:val="single" w:color="auto" w:sz="8" w:space="0"/>
            </w:tcBorders>
          </w:tcPr>
          <w:p w14:paraId="4107F1B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投标人单方面出现其他投标人材料的，由评标委员会否决其投标。</w:t>
            </w:r>
          </w:p>
        </w:tc>
      </w:tr>
    </w:tbl>
    <w:p w14:paraId="1DB79284">
      <w:pPr>
        <w:spacing w:line="420" w:lineRule="exact"/>
        <w:rPr>
          <w:rFonts w:ascii="仿宋" w:hAnsi="仿宋" w:eastAsia="仿宋" w:cs="仿宋"/>
          <w:color w:val="auto"/>
          <w:sz w:val="32"/>
          <w:szCs w:val="32"/>
          <w:highlight w:val="none"/>
        </w:rPr>
      </w:pPr>
    </w:p>
    <w:p w14:paraId="4D044E6E">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A3F8E69">
      <w:pPr>
        <w:spacing w:before="95" w:beforeLines="30" w:after="95" w:afterLines="30" w:line="440" w:lineRule="exact"/>
        <w:jc w:val="center"/>
        <w:outlineLvl w:val="1"/>
        <w:rPr>
          <w:rFonts w:ascii="宋体" w:hAnsi="宋体" w:cs="宋体"/>
          <w:b/>
          <w:bCs/>
          <w:color w:val="auto"/>
          <w:sz w:val="24"/>
          <w:szCs w:val="24"/>
          <w:highlight w:val="none"/>
        </w:rPr>
      </w:pPr>
      <w:bookmarkStart w:id="42" w:name="_Toc515"/>
      <w:r>
        <w:rPr>
          <w:rFonts w:hint="eastAsia" w:ascii="宋体" w:hAnsi="宋体" w:cs="宋体"/>
          <w:b/>
          <w:bCs/>
          <w:color w:val="auto"/>
          <w:sz w:val="24"/>
          <w:szCs w:val="24"/>
          <w:highlight w:val="none"/>
        </w:rPr>
        <w:t>一、总  则</w:t>
      </w:r>
      <w:bookmarkEnd w:id="42"/>
    </w:p>
    <w:p w14:paraId="75BF629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1.工程概况</w:t>
      </w:r>
    </w:p>
    <w:p w14:paraId="3A32D9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1.1本次招标工程名称：滁州市建筑垃圾综合处置项目（一期）跟踪审计服务项目</w:t>
      </w:r>
    </w:p>
    <w:p w14:paraId="5F15D2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工程地址：</w:t>
      </w:r>
      <w:r>
        <w:rPr>
          <w:rFonts w:hint="eastAsia" w:ascii="宋体" w:hAnsi="宋体" w:cs="宋体"/>
          <w:color w:val="auto"/>
          <w:sz w:val="24"/>
          <w:szCs w:val="24"/>
          <w:highlight w:val="none"/>
          <w:lang w:val="en-US" w:eastAsia="zh-CN"/>
        </w:rPr>
        <w:t>滁州市内</w:t>
      </w:r>
    </w:p>
    <w:p w14:paraId="48371D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建设单位：滁州市皖能兴滁环境科技有限公司 </w:t>
      </w:r>
    </w:p>
    <w:p w14:paraId="0BAFD6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1.2本工程建设规模：</w:t>
      </w:r>
      <w:r>
        <w:rPr>
          <w:rFonts w:hint="eastAsia" w:ascii="宋体" w:hAnsi="宋体" w:eastAsia="宋体" w:cs="宋体"/>
          <w:color w:val="auto"/>
          <w:kern w:val="0"/>
          <w:sz w:val="24"/>
          <w:szCs w:val="24"/>
          <w:highlight w:val="none"/>
        </w:rPr>
        <w:t>项目工程总投资约8000万元，服务费用约24万元。</w:t>
      </w:r>
      <w:r>
        <w:rPr>
          <w:rFonts w:hint="eastAsia" w:ascii="宋体" w:hAnsi="宋体" w:cs="宋体"/>
          <w:color w:val="auto"/>
          <w:kern w:val="0"/>
          <w:sz w:val="24"/>
          <w:szCs w:val="24"/>
          <w:highlight w:val="none"/>
        </w:rPr>
        <w:t xml:space="preserve"> </w:t>
      </w:r>
    </w:p>
    <w:p w14:paraId="46A8627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2. 招标范围</w:t>
      </w:r>
    </w:p>
    <w:p w14:paraId="62F5F8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42D29C0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3.承包方式</w:t>
      </w:r>
    </w:p>
    <w:p w14:paraId="620D59C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3.1承包方式：</w:t>
      </w:r>
      <w:r>
        <w:rPr>
          <w:rFonts w:hint="eastAsia" w:ascii="宋体" w:hAnsi="宋体" w:cs="宋体"/>
          <w:color w:val="auto"/>
          <w:sz w:val="24"/>
          <w:szCs w:val="24"/>
          <w:highlight w:val="none"/>
          <w:u w:val="single"/>
        </w:rPr>
        <w:t xml:space="preserve">总承包 </w:t>
      </w:r>
      <w:r>
        <w:rPr>
          <w:rFonts w:hint="eastAsia" w:ascii="宋体" w:hAnsi="宋体" w:cs="宋体"/>
          <w:color w:val="auto"/>
          <w:sz w:val="24"/>
          <w:szCs w:val="24"/>
          <w:highlight w:val="none"/>
        </w:rPr>
        <w:t>。</w:t>
      </w:r>
    </w:p>
    <w:p w14:paraId="1E0DC2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4.工期要求</w:t>
      </w:r>
    </w:p>
    <w:p w14:paraId="5ECC90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74300E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5.质量要求</w:t>
      </w:r>
    </w:p>
    <w:p w14:paraId="444C7B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45464C8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6.投标人资质等级要求</w:t>
      </w:r>
    </w:p>
    <w:p w14:paraId="142626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789550A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7.资金来源</w:t>
      </w:r>
    </w:p>
    <w:p w14:paraId="31F2C8D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7.1资金来源：</w:t>
      </w:r>
      <w:r>
        <w:rPr>
          <w:rFonts w:hint="eastAsia" w:ascii="宋体" w:hAnsi="宋体" w:cs="宋体"/>
          <w:color w:val="auto"/>
          <w:sz w:val="24"/>
          <w:szCs w:val="24"/>
          <w:highlight w:val="none"/>
          <w:u w:val="single"/>
        </w:rPr>
        <w:t xml:space="preserve"> 自筹资金 </w:t>
      </w:r>
      <w:r>
        <w:rPr>
          <w:rFonts w:hint="eastAsia" w:ascii="宋体" w:hAnsi="宋体" w:cs="宋体"/>
          <w:color w:val="auto"/>
          <w:sz w:val="24"/>
          <w:szCs w:val="24"/>
          <w:highlight w:val="none"/>
        </w:rPr>
        <w:t>；资金已落实。</w:t>
      </w:r>
    </w:p>
    <w:p w14:paraId="4AE1EA3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8.标段划分</w:t>
      </w:r>
    </w:p>
    <w:p w14:paraId="5F326A92">
      <w:pPr>
        <w:keepNext w:val="0"/>
        <w:keepLines w:val="0"/>
        <w:pageBreakBefore w:val="0"/>
        <w:widowControl w:val="0"/>
        <w:kinsoku/>
        <w:wordWrap/>
        <w:overflowPunct/>
        <w:topLinePunct w:val="0"/>
        <w:autoSpaceDE/>
        <w:autoSpaceDN/>
        <w:bidi w:val="0"/>
        <w:adjustRightInd/>
        <w:snapToGrid/>
        <w:spacing w:line="440" w:lineRule="exact"/>
        <w:ind w:right="-155" w:rightChars="-74"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8.1该工程划分：</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 xml:space="preserve">个标段  </w:t>
      </w:r>
    </w:p>
    <w:p w14:paraId="0BE69B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9.招标方式</w:t>
      </w:r>
    </w:p>
    <w:p w14:paraId="1A8C1D4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9.1本工程招标方式：</w:t>
      </w:r>
      <w:r>
        <w:rPr>
          <w:rFonts w:hint="eastAsia" w:ascii="宋体" w:hAnsi="宋体" w:cs="宋体"/>
          <w:color w:val="auto"/>
          <w:sz w:val="24"/>
          <w:szCs w:val="24"/>
          <w:highlight w:val="none"/>
          <w:u w:val="single"/>
        </w:rPr>
        <w:t xml:space="preserve"> 自行招标 </w:t>
      </w:r>
      <w:r>
        <w:rPr>
          <w:rFonts w:hint="eastAsia" w:ascii="宋体" w:hAnsi="宋体" w:cs="宋体"/>
          <w:color w:val="auto"/>
          <w:sz w:val="24"/>
          <w:szCs w:val="24"/>
          <w:highlight w:val="none"/>
        </w:rPr>
        <w:t>。</w:t>
      </w:r>
    </w:p>
    <w:p w14:paraId="3818EF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10.计价方式</w:t>
      </w:r>
    </w:p>
    <w:p w14:paraId="5D880CB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10.1本工程合同计价方式：</w:t>
      </w:r>
      <w:r>
        <w:rPr>
          <w:rFonts w:hint="eastAsia" w:ascii="宋体" w:hAnsi="宋体" w:cs="宋体"/>
          <w:color w:val="auto"/>
          <w:sz w:val="24"/>
          <w:szCs w:val="24"/>
          <w:highlight w:val="none"/>
          <w:u w:val="single"/>
        </w:rPr>
        <w:t xml:space="preserve">  固定</w:t>
      </w:r>
      <w:r>
        <w:rPr>
          <w:rFonts w:hint="eastAsia" w:ascii="宋体" w:hAnsi="宋体" w:cs="宋体"/>
          <w:color w:val="auto"/>
          <w:sz w:val="24"/>
          <w:szCs w:val="24"/>
          <w:highlight w:val="none"/>
          <w:u w:val="single"/>
          <w:lang w:val="en-US" w:eastAsia="zh-CN"/>
        </w:rPr>
        <w:t>费率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1040B1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11.评标办法</w:t>
      </w:r>
    </w:p>
    <w:p w14:paraId="27538B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11.1本工程评标办法：</w:t>
      </w:r>
      <w:r>
        <w:rPr>
          <w:rFonts w:hint="eastAsia" w:ascii="宋体" w:hAnsi="宋体" w:cs="宋体"/>
          <w:color w:val="auto"/>
          <w:sz w:val="24"/>
          <w:szCs w:val="24"/>
          <w:highlight w:val="none"/>
          <w:u w:val="single"/>
        </w:rPr>
        <w:t>最低评标价法</w:t>
      </w:r>
      <w:r>
        <w:rPr>
          <w:rFonts w:hint="eastAsia" w:ascii="宋体" w:hAnsi="宋体" w:cs="宋体"/>
          <w:color w:val="auto"/>
          <w:sz w:val="24"/>
          <w:szCs w:val="24"/>
          <w:highlight w:val="none"/>
        </w:rPr>
        <w:t>。</w:t>
      </w:r>
    </w:p>
    <w:p w14:paraId="476B0BB9">
      <w:pPr>
        <w:spacing w:before="95" w:beforeLines="30" w:after="95" w:afterLines="30" w:line="440" w:lineRule="exact"/>
        <w:jc w:val="center"/>
        <w:outlineLvl w:val="1"/>
        <w:rPr>
          <w:rFonts w:ascii="宋体" w:hAnsi="宋体" w:cs="宋体"/>
          <w:color w:val="auto"/>
          <w:highlight w:val="none"/>
        </w:rPr>
      </w:pPr>
      <w:bookmarkStart w:id="43" w:name="_Toc29988"/>
      <w:r>
        <w:rPr>
          <w:rFonts w:hint="eastAsia" w:ascii="宋体" w:hAnsi="宋体" w:cs="宋体"/>
          <w:b/>
          <w:bCs/>
          <w:color w:val="auto"/>
          <w:sz w:val="24"/>
          <w:szCs w:val="24"/>
          <w:highlight w:val="none"/>
        </w:rPr>
        <w:t>二、招标文件</w:t>
      </w:r>
      <w:bookmarkEnd w:id="43"/>
    </w:p>
    <w:p w14:paraId="1E12DB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招标文件的编制依据</w:t>
      </w:r>
    </w:p>
    <w:p w14:paraId="5B8502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根据《中华人民共和国招标投标法》、《工程建设项目施工招标投标办法》（七部委联合部令第30号）、《评标委员会和评标方法暂行规定》（七部委联合部令第12号）、《建设工程工程量清单计价规范》（GB50500-2013）、《安徽省建设工程工程量清单计价规范》（DBJ34/T-206-2005）和《滁州市工程量清单计价方式招标评标实施细则（试行）》等相关法律法规和规章及部、省、市级规范性文件的规定，编制本招标文件。</w:t>
      </w:r>
    </w:p>
    <w:p w14:paraId="662DF1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bCs/>
          <w:color w:val="auto"/>
          <w:sz w:val="24"/>
          <w:szCs w:val="24"/>
          <w:highlight w:val="none"/>
        </w:rPr>
        <w:t>招标文件的组成</w:t>
      </w:r>
    </w:p>
    <w:p w14:paraId="2F4D54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招标文件包括内容：</w:t>
      </w:r>
    </w:p>
    <w:p w14:paraId="74FB29E9">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投标须知</w:t>
      </w:r>
    </w:p>
    <w:p w14:paraId="1322F021">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14:paraId="1BA90299">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14:paraId="1701DE65">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技术标准和要求</w:t>
      </w:r>
    </w:p>
    <w:p w14:paraId="3C4AB402">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14:paraId="37E9EC70">
      <w:pPr>
        <w:adjustRightInd w:val="0"/>
        <w:snapToGrid w:val="0"/>
        <w:spacing w:line="440" w:lineRule="exact"/>
        <w:ind w:firstLine="1200" w:firstLineChars="50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第六章  招标单位、招标代理机构对本招标文件的确认</w:t>
      </w:r>
    </w:p>
    <w:p w14:paraId="100DC8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13.2除13.1内容外，招标答疑亦为招标文件的组成部分，对招标人和投标人起约束作用。</w:t>
      </w:r>
    </w:p>
    <w:p w14:paraId="195EBF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13.3投标人应仔细检查招标文件的所有内容，</w:t>
      </w:r>
      <w:r>
        <w:rPr>
          <w:rFonts w:hint="eastAsia" w:ascii="宋体" w:hAnsi="宋体" w:eastAsia="宋体" w:cs="宋体"/>
          <w:bCs/>
          <w:color w:val="auto"/>
          <w:sz w:val="24"/>
          <w:szCs w:val="24"/>
          <w:highlight w:val="none"/>
        </w:rPr>
        <w:t>如有残缺等问题应在</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23</w:t>
      </w:r>
      <w:r>
        <w:rPr>
          <w:rFonts w:hint="eastAsia" w:ascii="宋体" w:hAnsi="宋体" w:eastAsia="宋体" w:cs="宋体"/>
          <w:b/>
          <w:color w:val="auto"/>
          <w:sz w:val="24"/>
          <w:szCs w:val="24"/>
          <w:highlight w:val="none"/>
        </w:rPr>
        <w:t>日1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时前</w:t>
      </w:r>
      <w:r>
        <w:rPr>
          <w:rFonts w:hint="eastAsia" w:ascii="宋体" w:hAnsi="宋体" w:eastAsia="宋体" w:cs="宋体"/>
          <w:bCs/>
          <w:color w:val="auto"/>
          <w:sz w:val="24"/>
          <w:szCs w:val="24"/>
          <w:highlight w:val="none"/>
        </w:rPr>
        <w:t>投标人将所遇到的问题以电子邮件形式传czsctgczx@163.com滁州市城投工程咨询管理有限公司电子邮箱</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否则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4DAB20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bCs/>
          <w:color w:val="auto"/>
          <w:sz w:val="24"/>
          <w:szCs w:val="24"/>
          <w:highlight w:val="none"/>
        </w:rPr>
        <w:t>招标文件的澄清、修改、补充、解释</w:t>
      </w:r>
    </w:p>
    <w:p w14:paraId="3846BF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14.1</w:t>
      </w:r>
      <w:r>
        <w:rPr>
          <w:rFonts w:hint="eastAsia" w:ascii="宋体" w:hAnsi="宋体" w:eastAsia="宋体" w:cs="宋体"/>
          <w:color w:val="auto"/>
          <w:kern w:val="0"/>
          <w:sz w:val="24"/>
          <w:szCs w:val="24"/>
          <w:highlight w:val="none"/>
          <w:lang w:val="zh-CN"/>
        </w:rPr>
        <w:t>招标文件发出后</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招标人可对招标文件进行必要的澄清、修改和补充</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澄清内容</w:t>
      </w:r>
      <w:r>
        <w:rPr>
          <w:rFonts w:hint="eastAsia" w:ascii="宋体" w:hAnsi="宋体" w:eastAsia="宋体" w:cs="宋体"/>
          <w:color w:val="auto"/>
          <w:kern w:val="0"/>
          <w:sz w:val="24"/>
          <w:szCs w:val="24"/>
          <w:highlight w:val="none"/>
        </w:rPr>
        <w:t>将于</w:t>
      </w:r>
      <w:r>
        <w:rPr>
          <w:rFonts w:hint="eastAsia" w:ascii="宋体" w:hAnsi="宋体" w:eastAsia="宋体" w:cs="宋体"/>
          <w:b/>
          <w:color w:val="auto"/>
          <w:kern w:val="0"/>
          <w:sz w:val="24"/>
          <w:szCs w:val="24"/>
          <w:highlight w:val="none"/>
        </w:rPr>
        <w:t>202</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年</w:t>
      </w:r>
      <w:r>
        <w:rPr>
          <w:rFonts w:hint="eastAsia" w:ascii="宋体" w:hAnsi="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月</w:t>
      </w:r>
      <w:r>
        <w:rPr>
          <w:rFonts w:hint="eastAsia" w:ascii="宋体" w:hAnsi="宋体" w:cs="宋体"/>
          <w:b/>
          <w:color w:val="auto"/>
          <w:kern w:val="0"/>
          <w:sz w:val="24"/>
          <w:szCs w:val="24"/>
          <w:highlight w:val="none"/>
          <w:lang w:val="en-US" w:eastAsia="zh-CN"/>
        </w:rPr>
        <w:t>24</w:t>
      </w:r>
      <w:r>
        <w:rPr>
          <w:rFonts w:hint="eastAsia" w:ascii="宋体" w:hAnsi="宋体" w:eastAsia="宋体" w:cs="宋体"/>
          <w:b/>
          <w:color w:val="auto"/>
          <w:kern w:val="0"/>
          <w:sz w:val="24"/>
          <w:szCs w:val="24"/>
          <w:highlight w:val="none"/>
        </w:rPr>
        <w:t>日17时</w:t>
      </w:r>
      <w:r>
        <w:rPr>
          <w:rFonts w:hint="eastAsia" w:ascii="宋体" w:hAnsi="宋体" w:eastAsia="宋体" w:cs="宋体"/>
          <w:color w:val="auto"/>
          <w:kern w:val="0"/>
          <w:sz w:val="24"/>
          <w:szCs w:val="24"/>
          <w:highlight w:val="none"/>
        </w:rPr>
        <w:t>后</w:t>
      </w:r>
      <w:r>
        <w:rPr>
          <w:rFonts w:hint="eastAsia" w:ascii="宋体" w:hAnsi="宋体" w:cs="宋体"/>
          <w:color w:val="auto"/>
          <w:kern w:val="0"/>
          <w:sz w:val="24"/>
          <w:szCs w:val="24"/>
          <w:highlight w:val="none"/>
          <w:lang w:val="en-US" w:eastAsia="zh-CN"/>
        </w:rPr>
        <w:t>在网站予以公布</w:t>
      </w:r>
      <w:r>
        <w:rPr>
          <w:rFonts w:hint="eastAsia" w:ascii="宋体" w:hAnsi="宋体" w:eastAsia="宋体" w:cs="宋体"/>
          <w:color w:val="auto"/>
          <w:kern w:val="0"/>
          <w:sz w:val="24"/>
          <w:szCs w:val="24"/>
          <w:highlight w:val="none"/>
          <w:lang w:val="zh-CN"/>
        </w:rPr>
        <w:t>。招标文件的修改内容作为招标文件的组成部分，具有约束作用。</w:t>
      </w:r>
    </w:p>
    <w:p w14:paraId="267834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本招标文件由招标人委托的招标代理机构负责解释。</w:t>
      </w:r>
    </w:p>
    <w:p w14:paraId="17045D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15.踏勘现场及投标预备会</w:t>
      </w:r>
    </w:p>
    <w:p w14:paraId="207630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踏勘现场</w:t>
      </w:r>
    </w:p>
    <w:p w14:paraId="72EA65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15.1.1</w:t>
      </w:r>
      <w:r>
        <w:rPr>
          <w:rFonts w:hint="eastAsia" w:ascii="宋体" w:hAnsi="宋体" w:eastAsia="宋体" w:cs="宋体"/>
          <w:color w:val="auto"/>
          <w:kern w:val="0"/>
          <w:sz w:val="24"/>
          <w:szCs w:val="24"/>
          <w:highlight w:val="none"/>
        </w:rPr>
        <w:t>不再集中召开招标答疑会；投标人自行组织勘察现场。</w:t>
      </w:r>
    </w:p>
    <w:p w14:paraId="2BB4B7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15.2  投标预备会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本项目不采用</w:t>
      </w:r>
      <w:r>
        <w:rPr>
          <w:rFonts w:hint="eastAsia" w:ascii="宋体" w:hAnsi="宋体" w:cs="宋体"/>
          <w:color w:val="auto"/>
          <w:sz w:val="24"/>
          <w:szCs w:val="24"/>
          <w:highlight w:val="none"/>
          <w:lang w:eastAsia="zh-CN"/>
        </w:rPr>
        <w:t>）</w:t>
      </w:r>
    </w:p>
    <w:p w14:paraId="4A03B6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招标文件的发出</w:t>
      </w:r>
    </w:p>
    <w:p w14:paraId="76331E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16.1招标文件、招标文件的澄清、修改、补充及招标答疑等均应报招标人备案后，方可发出。</w:t>
      </w:r>
    </w:p>
    <w:p w14:paraId="23FC16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最高投标限价的作用和说明</w:t>
      </w:r>
    </w:p>
    <w:p w14:paraId="2952B3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bookmarkStart w:id="44" w:name="_Toc2485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见投标须知前附表。</w:t>
      </w:r>
    </w:p>
    <w:p w14:paraId="22B1C02B">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三、投标文件的编制</w:t>
      </w:r>
      <w:bookmarkEnd w:id="44"/>
    </w:p>
    <w:p w14:paraId="421E3454">
      <w:pPr>
        <w:pStyle w:val="7"/>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 投标文件的组成</w:t>
      </w:r>
    </w:p>
    <w:p w14:paraId="4688CE24">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22．投标报价</w:t>
      </w:r>
    </w:p>
    <w:p w14:paraId="1556A352">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 投标人的投标报价包括按合同规定的范围所提供的全部服务所需的费用，即招标范围内人员工资、办公费用、成本、利润及税金等全部费用。</w:t>
      </w:r>
    </w:p>
    <w:p w14:paraId="237B99F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 投标报价不按规定报价的，其投标文件按无效标处理。</w:t>
      </w:r>
    </w:p>
    <w:p w14:paraId="03131942">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23.投标有效期</w:t>
      </w:r>
    </w:p>
    <w:p w14:paraId="682EAEF7">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23.1投标有效期为</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日历天（从投标截止之日算起）。在此期限内，凡符合本招标文件要求的投标文件均保持有效。</w:t>
      </w:r>
    </w:p>
    <w:p w14:paraId="1E32A41B">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w:t>
      </w:r>
    </w:p>
    <w:p w14:paraId="3016FEB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 投标保证金</w:t>
      </w:r>
    </w:p>
    <w:p w14:paraId="566D3D51">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24.1 详见须知前附表。</w:t>
      </w:r>
    </w:p>
    <w:p w14:paraId="1FB3DA1D">
      <w:pPr>
        <w:spacing w:before="95" w:beforeLines="30" w:after="95" w:afterLines="30" w:line="440" w:lineRule="exact"/>
        <w:jc w:val="center"/>
        <w:outlineLvl w:val="1"/>
        <w:rPr>
          <w:rFonts w:ascii="宋体" w:hAnsi="宋体" w:cs="宋体"/>
          <w:b/>
          <w:bCs/>
          <w:color w:val="auto"/>
          <w:sz w:val="24"/>
          <w:szCs w:val="24"/>
          <w:highlight w:val="none"/>
        </w:rPr>
      </w:pPr>
      <w:bookmarkStart w:id="45" w:name="_Toc27519"/>
      <w:r>
        <w:rPr>
          <w:rFonts w:hint="eastAsia" w:ascii="宋体" w:hAnsi="宋体" w:cs="宋体"/>
          <w:b/>
          <w:bCs/>
          <w:color w:val="auto"/>
          <w:sz w:val="24"/>
          <w:szCs w:val="24"/>
          <w:highlight w:val="none"/>
        </w:rPr>
        <w:t>四、投标文件的密封和递交</w:t>
      </w:r>
      <w:bookmarkEnd w:id="45"/>
    </w:p>
    <w:p w14:paraId="00368C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投标文件的份数和签署</w:t>
      </w:r>
    </w:p>
    <w:p w14:paraId="30686C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25.1  投标文件：</w:t>
      </w:r>
      <w:r>
        <w:rPr>
          <w:rFonts w:hint="eastAsia" w:ascii="宋体" w:hAnsi="宋体" w:cs="宋体"/>
          <w:color w:val="auto"/>
          <w:sz w:val="24"/>
          <w:szCs w:val="24"/>
          <w:highlight w:val="none"/>
          <w:lang w:val="en-US" w:eastAsia="zh-CN"/>
        </w:rPr>
        <w:t xml:space="preserve"> 网上递交的电子投标文件：一份。以投标人在投标截止时间前网上递交的电子投标文件为准，逾期提交的，投标文件将被拒绝。</w:t>
      </w:r>
      <w:r>
        <w:rPr>
          <w:rFonts w:hint="eastAsia" w:ascii="宋体" w:hAnsi="宋体" w:cs="宋体"/>
          <w:color w:val="auto"/>
          <w:sz w:val="24"/>
          <w:szCs w:val="24"/>
          <w:highlight w:val="none"/>
        </w:rPr>
        <w:t>。</w:t>
      </w:r>
    </w:p>
    <w:p w14:paraId="618568D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pacing w:val="-4"/>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投标文件中的授权书、投标函应当在格式文本要求的相应位置签字和盖章，否则，应当否决其投标。</w:t>
      </w:r>
    </w:p>
    <w:p w14:paraId="1C160BF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投标文件的提交</w:t>
      </w:r>
    </w:p>
    <w:p w14:paraId="38131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  投标文件提交的收件人、截止时间及地点：详见须知前附表</w:t>
      </w:r>
    </w:p>
    <w:p w14:paraId="6441DF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  迟交的投标文件</w:t>
      </w:r>
    </w:p>
    <w:p w14:paraId="6171DBB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.2.1招标人在本须知第2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.1款规定的投标截止时间以后收到的投标文件，将被拒绝。</w:t>
      </w:r>
    </w:p>
    <w:p w14:paraId="247DB8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投标文件的补充、修改与撤回</w:t>
      </w:r>
    </w:p>
    <w:p w14:paraId="3F1C5E4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  投标人在提交投标文件以后，在规定的投标截止时间之前，可以书面形式补充、修改或撤回已提交的投标文件，并以书面形式通知招标人。补充、修改的内容为投标文件的组成部分。</w:t>
      </w:r>
    </w:p>
    <w:p w14:paraId="650B4B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  投标人对投标文件的补充、修改，应按本须知第25条、第26条和第27条有关规定密封、标记和提交，并在投标文件上清楚标明“补充”、“修改”字样。</w:t>
      </w:r>
    </w:p>
    <w:p w14:paraId="1E15E5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  在投标截止时间之后，投标人不得补充、修改投标文件。</w:t>
      </w:r>
    </w:p>
    <w:p w14:paraId="46624E82">
      <w:pPr>
        <w:spacing w:before="95" w:beforeLines="30" w:after="95" w:afterLines="30" w:line="440" w:lineRule="exact"/>
        <w:jc w:val="center"/>
        <w:outlineLvl w:val="1"/>
        <w:rPr>
          <w:rFonts w:ascii="宋体" w:hAnsi="宋体" w:cs="宋体"/>
          <w:b/>
          <w:bCs/>
          <w:color w:val="auto"/>
          <w:sz w:val="24"/>
          <w:szCs w:val="24"/>
          <w:highlight w:val="none"/>
        </w:rPr>
      </w:pPr>
      <w:bookmarkStart w:id="46" w:name="_Toc18173"/>
      <w:r>
        <w:rPr>
          <w:rFonts w:hint="eastAsia" w:ascii="宋体" w:hAnsi="宋体" w:cs="宋体"/>
          <w:b/>
          <w:bCs/>
          <w:color w:val="auto"/>
          <w:sz w:val="24"/>
          <w:szCs w:val="24"/>
          <w:highlight w:val="none"/>
        </w:rPr>
        <w:t>五、开标、评标和定标</w:t>
      </w:r>
      <w:bookmarkEnd w:id="46"/>
    </w:p>
    <w:p w14:paraId="2001485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开标</w:t>
      </w:r>
    </w:p>
    <w:p w14:paraId="2A93571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开标的时间和地点</w:t>
      </w:r>
    </w:p>
    <w:p w14:paraId="18863B4A">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.1.1招标人按本须知第2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1条提交投标文件的截止时间和地点公开开标。</w:t>
      </w:r>
    </w:p>
    <w:p w14:paraId="3CCDFF37">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  参与开标的相关部门：招标人等。</w:t>
      </w:r>
    </w:p>
    <w:p w14:paraId="4114504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  对参加开标的投标人的要求</w:t>
      </w:r>
    </w:p>
    <w:p w14:paraId="0B257B0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val="en-US" w:eastAsia="zh-CN"/>
        </w:rPr>
        <w:t>投标人无需达到开标现场</w:t>
      </w:r>
      <w:r>
        <w:rPr>
          <w:rFonts w:hint="eastAsia" w:ascii="宋体" w:hAnsi="宋体" w:eastAsia="宋体" w:cs="宋体"/>
          <w:b/>
          <w:bCs/>
          <w:color w:val="auto"/>
          <w:sz w:val="24"/>
          <w:szCs w:val="24"/>
          <w:highlight w:val="none"/>
        </w:rPr>
        <w:t>。</w:t>
      </w:r>
    </w:p>
    <w:p w14:paraId="01FD895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  开标程序</w:t>
      </w:r>
    </w:p>
    <w:p w14:paraId="0EC17FEB">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①开标会议由招标代理机构：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滁州市城投工程咨询管理有限公司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（招标代理公司）主持；</w:t>
      </w:r>
    </w:p>
    <w:p w14:paraId="38ED9FF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评标委员会对投标文件进行评审</w:t>
      </w:r>
      <w:r>
        <w:rPr>
          <w:rFonts w:hint="eastAsia" w:ascii="宋体" w:hAnsi="宋体" w:eastAsia="宋体" w:cs="宋体"/>
          <w:color w:val="auto"/>
          <w:sz w:val="24"/>
          <w:szCs w:val="24"/>
          <w:highlight w:val="none"/>
        </w:rPr>
        <w:t>；</w:t>
      </w:r>
    </w:p>
    <w:p w14:paraId="54531C73">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经投标文件评审后，由评标委员会按修正后的投标报价由低到高顺序排序，确定中标候选人；</w:t>
      </w:r>
    </w:p>
    <w:p w14:paraId="1800D1A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rPr>
        <w:t>代理公司对开标过程进行记录，并存档备查。</w:t>
      </w:r>
    </w:p>
    <w:p w14:paraId="3C2166B1">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评标</w:t>
      </w:r>
    </w:p>
    <w:p w14:paraId="72E664E4">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  评标办法</w:t>
      </w:r>
    </w:p>
    <w:p w14:paraId="59DAB2C7">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.1.1评标委员会按照第三章“评标办法”规定的方法、评审因素、标准和程序对投标文件进行评审。第三章“评标办法”没有规定的方法、评审因素和标准，不作为评标依据。</w:t>
      </w:r>
    </w:p>
    <w:p w14:paraId="075212F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否决投标情况</w:t>
      </w:r>
    </w:p>
    <w:p w14:paraId="1606059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  投标文件出现下列情形之一的，应当否决其投标：</w:t>
      </w:r>
    </w:p>
    <w:p w14:paraId="1EF7C2DB">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逾期送达的；</w:t>
      </w:r>
    </w:p>
    <w:p w14:paraId="409DEB22">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无单位盖章、无法定代表人或法定代表人授权的代理人签字或盖章的；；</w:t>
      </w:r>
    </w:p>
    <w:p w14:paraId="4A67BC43">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未按规定的格式填写，内容不全或关键字迹模糊、无法辨认的；</w:t>
      </w:r>
    </w:p>
    <w:p w14:paraId="6167A878">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④服务</w:t>
      </w:r>
      <w:r>
        <w:rPr>
          <w:rFonts w:hint="eastAsia" w:ascii="宋体" w:hAnsi="宋体" w:eastAsia="宋体" w:cs="宋体"/>
          <w:color w:val="auto"/>
          <w:sz w:val="24"/>
          <w:szCs w:val="24"/>
          <w:highlight w:val="none"/>
        </w:rPr>
        <w:t>期或质量不符合招标文件要求的</w:t>
      </w:r>
      <w:r>
        <w:rPr>
          <w:rFonts w:hint="eastAsia" w:ascii="宋体" w:hAnsi="宋体" w:cs="宋体"/>
          <w:color w:val="auto"/>
          <w:sz w:val="24"/>
          <w:szCs w:val="24"/>
          <w:highlight w:val="none"/>
          <w:lang w:eastAsia="zh-CN"/>
        </w:rPr>
        <w:t>；</w:t>
      </w:r>
    </w:p>
    <w:p w14:paraId="6DB900B1">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⑤投标报价超出规定的</w:t>
      </w:r>
      <w:r>
        <w:rPr>
          <w:rFonts w:hint="eastAsia" w:ascii="宋体" w:hAnsi="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投标限价的</w:t>
      </w:r>
      <w:r>
        <w:rPr>
          <w:rFonts w:hint="eastAsia" w:ascii="宋体" w:hAnsi="宋体" w:cs="宋体"/>
          <w:color w:val="auto"/>
          <w:sz w:val="24"/>
          <w:szCs w:val="24"/>
          <w:highlight w:val="none"/>
          <w:lang w:eastAsia="zh-CN"/>
        </w:rPr>
        <w:t>；</w:t>
      </w:r>
    </w:p>
    <w:p w14:paraId="213A5C04">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rPr>
        <w:t>法律、法规、规章和招标文件规定的其他否决投标情形；</w:t>
      </w:r>
    </w:p>
    <w:p w14:paraId="5B16970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定标</w:t>
      </w:r>
    </w:p>
    <w:p w14:paraId="26CFA8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bookmarkStart w:id="47" w:name="_Toc21491"/>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中标人的确定</w:t>
      </w:r>
    </w:p>
    <w:p w14:paraId="257A3CC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.1.1除投标人须知前附表规定评标委员会直接确定中标人外，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依据评标委员会推荐的中标候选人确定中标人，评标委员会推荐中标候选人的人数见投标人须知前附表。</w:t>
      </w:r>
    </w:p>
    <w:p w14:paraId="69C7346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.1.2中标人确定后，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应将中标信息在网站上公告。</w:t>
      </w:r>
    </w:p>
    <w:p w14:paraId="16C4302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中标通知书</w:t>
      </w:r>
    </w:p>
    <w:p w14:paraId="28FF0785">
      <w:pPr>
        <w:pStyle w:val="1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或采购代理机构应在中标人确定之日起2个工作日内，向中标人发出中标通知书。</w:t>
      </w:r>
    </w:p>
    <w:p w14:paraId="2C73FC59">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六、合同的授予</w:t>
      </w:r>
      <w:bookmarkEnd w:id="47"/>
    </w:p>
    <w:p w14:paraId="534D056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合同授予标准</w:t>
      </w:r>
    </w:p>
    <w:p w14:paraId="09CAEE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  本招标工程的合同授予按本须知第32条规定所确定的中标人。</w:t>
      </w:r>
    </w:p>
    <w:p w14:paraId="55FA6FA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合同协议书的签订</w:t>
      </w:r>
    </w:p>
    <w:p w14:paraId="68696A0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  中标通知书发放后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日内，按照招标文件和中标人的投标文件订立书面合同。招标人和中标人不得再行订立背离合同实质性内容的其他协议。</w:t>
      </w:r>
    </w:p>
    <w:p w14:paraId="0D88EA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  招标人如不按本投标须知第33条的规定与中标人订立合同，或者招标人、中标人订立背离合同实质性内容的协议，招标人应当按给投标人造成的损失予以赔偿，同时依法承担相应法律责任。</w:t>
      </w:r>
    </w:p>
    <w:p w14:paraId="736016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  中标人如不按本投标须知第33条的规定与招标人订立合同，则招标人将取消其中标资格，给招标人造成的损失予以赔偿，同时依法承担相应法律责任。</w:t>
      </w:r>
    </w:p>
    <w:p w14:paraId="36167D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  中标人应当按照合同约定履行义务，完成中标项目的实施，不得将中标项目转让（转包）给他人。</w:t>
      </w:r>
    </w:p>
    <w:p w14:paraId="36EF44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.履约保证金</w:t>
      </w:r>
    </w:p>
    <w:p w14:paraId="446FA4F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详见须知前附表</w:t>
      </w:r>
    </w:p>
    <w:p w14:paraId="0EF3C74F">
      <w:pPr>
        <w:adjustRightInd w:val="0"/>
        <w:snapToGrid w:val="0"/>
        <w:spacing w:line="440" w:lineRule="exact"/>
        <w:jc w:val="center"/>
        <w:rPr>
          <w:rFonts w:hint="eastAsia" w:ascii="黑体" w:eastAsia="黑体"/>
          <w:color w:val="auto"/>
          <w:sz w:val="28"/>
          <w:szCs w:val="28"/>
          <w:highlight w:val="none"/>
        </w:rPr>
      </w:pPr>
      <w:bookmarkStart w:id="48" w:name="_Toc449028874"/>
    </w:p>
    <w:p w14:paraId="4DD14F2A">
      <w:pPr>
        <w:adjustRightInd w:val="0"/>
        <w:snapToGrid w:val="0"/>
        <w:spacing w:line="440" w:lineRule="exact"/>
        <w:jc w:val="center"/>
        <w:rPr>
          <w:rFonts w:hint="eastAsia" w:ascii="黑体" w:eastAsia="黑体"/>
          <w:color w:val="auto"/>
          <w:sz w:val="28"/>
          <w:szCs w:val="28"/>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纪律和监督</w:t>
      </w:r>
      <w:bookmarkEnd w:id="48"/>
    </w:p>
    <w:p w14:paraId="0040313F">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5</w:t>
      </w:r>
      <w:r>
        <w:rPr>
          <w:rFonts w:hint="eastAsia" w:ascii="宋体"/>
          <w:b/>
          <w:color w:val="auto"/>
          <w:sz w:val="24"/>
          <w:szCs w:val="24"/>
          <w:highlight w:val="none"/>
        </w:rPr>
        <w:t>. 对</w:t>
      </w:r>
      <w:r>
        <w:rPr>
          <w:rFonts w:hint="eastAsia" w:ascii="宋体"/>
          <w:b/>
          <w:color w:val="auto"/>
          <w:sz w:val="24"/>
          <w:szCs w:val="24"/>
          <w:highlight w:val="none"/>
          <w:lang w:eastAsia="zh-CN"/>
        </w:rPr>
        <w:t>招标人</w:t>
      </w:r>
      <w:r>
        <w:rPr>
          <w:rFonts w:hint="eastAsia" w:ascii="宋体"/>
          <w:b/>
          <w:color w:val="auto"/>
          <w:sz w:val="24"/>
          <w:szCs w:val="24"/>
          <w:highlight w:val="none"/>
        </w:rPr>
        <w:t xml:space="preserve">的纪律要求 </w:t>
      </w:r>
    </w:p>
    <w:p w14:paraId="7FA66E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5</w:t>
      </w:r>
      <w:r>
        <w:rPr>
          <w:rFonts w:hint="eastAsia" w:ascii="宋体"/>
          <w:color w:val="auto"/>
          <w:kern w:val="10"/>
          <w:sz w:val="24"/>
          <w:szCs w:val="24"/>
          <w:highlight w:val="none"/>
        </w:rPr>
        <w:t>.1</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 xml:space="preserve">不得泄漏招标投标活动中应当保密的情况和资料，不得与投标人串通损害国家利益，社会公共利益或者他人合法权益。 </w:t>
      </w:r>
    </w:p>
    <w:p w14:paraId="01E5FC77">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6</w:t>
      </w:r>
      <w:r>
        <w:rPr>
          <w:rFonts w:hint="eastAsia" w:ascii="宋体"/>
          <w:b/>
          <w:color w:val="auto"/>
          <w:sz w:val="24"/>
          <w:szCs w:val="24"/>
          <w:highlight w:val="none"/>
        </w:rPr>
        <w:t xml:space="preserve">. 对投标人的纪律要求 </w:t>
      </w:r>
    </w:p>
    <w:p w14:paraId="3E07DB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6</w:t>
      </w:r>
      <w:r>
        <w:rPr>
          <w:rFonts w:hint="eastAsia" w:ascii="宋体"/>
          <w:color w:val="auto"/>
          <w:kern w:val="10"/>
          <w:sz w:val="24"/>
          <w:szCs w:val="24"/>
          <w:highlight w:val="none"/>
        </w:rPr>
        <w:t>.1投标人不得相互串通投标或者与</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串通投标，不得向</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或者评标委员会成员行贿谋取中标，不得以他人名义投标或者以其他方式弄虚作假骗取中标；投标人不得以任何方式干扰、影响评标工作。</w:t>
      </w:r>
    </w:p>
    <w:p w14:paraId="6D133B37">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7</w:t>
      </w:r>
      <w:r>
        <w:rPr>
          <w:rFonts w:hint="eastAsia" w:ascii="宋体"/>
          <w:b/>
          <w:color w:val="auto"/>
          <w:sz w:val="24"/>
          <w:szCs w:val="24"/>
          <w:highlight w:val="none"/>
        </w:rPr>
        <w:t xml:space="preserve">. 对评标委员会成员的纪律要求 </w:t>
      </w:r>
    </w:p>
    <w:p w14:paraId="5ED3F3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.1评标委员会成员不得收受他人的财物或者其他好处，不得向他人透漏对投标文件的评审和比较、中标候选人的推荐情况以及评标有关的其他情况。</w:t>
      </w:r>
    </w:p>
    <w:p w14:paraId="0FE6D0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14:paraId="2B7BA668">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lang w:val="en-US" w:eastAsia="zh-CN"/>
        </w:rPr>
        <w:t>39</w:t>
      </w:r>
      <w:r>
        <w:rPr>
          <w:rFonts w:hint="eastAsia" w:ascii="宋体"/>
          <w:b/>
          <w:color w:val="auto"/>
          <w:sz w:val="24"/>
          <w:szCs w:val="24"/>
          <w:highlight w:val="none"/>
        </w:rPr>
        <w:t xml:space="preserve">. 对与评标活动有关的工作人员的纪律要求 </w:t>
      </w:r>
    </w:p>
    <w:p w14:paraId="35BB59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lang w:val="en-US" w:eastAsia="zh-CN"/>
        </w:rPr>
        <w:t>39</w:t>
      </w:r>
      <w:r>
        <w:rPr>
          <w:rFonts w:hint="eastAsia" w:ascii="宋体"/>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8DC958D">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bookmarkStart w:id="49" w:name="_Toc449028875"/>
    </w:p>
    <w:p w14:paraId="16E607B7">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八、质疑与投诉</w:t>
      </w:r>
      <w:bookmarkEnd w:id="49"/>
    </w:p>
    <w:p w14:paraId="6E897A5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异议</w:t>
      </w:r>
    </w:p>
    <w:p w14:paraId="668AFB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.1  若投标人或者其他利害关系人对</w:t>
      </w:r>
      <w:r>
        <w:rPr>
          <w:rFonts w:hint="eastAsia" w:ascii="宋体" w:hAnsi="Times New Roman" w:eastAsia="宋体" w:cs="Times New Roman"/>
          <w:color w:val="auto"/>
          <w:kern w:val="10"/>
          <w:sz w:val="24"/>
          <w:szCs w:val="24"/>
          <w:highlight w:val="none"/>
          <w:lang w:val="en-US" w:eastAsia="zh-CN"/>
        </w:rPr>
        <w:t>中标</w:t>
      </w:r>
      <w:r>
        <w:rPr>
          <w:rFonts w:hint="eastAsia" w:ascii="宋体" w:hAnsi="Times New Roman" w:eastAsia="宋体" w:cs="Times New Roman"/>
          <w:color w:val="auto"/>
          <w:kern w:val="10"/>
          <w:sz w:val="24"/>
          <w:szCs w:val="24"/>
          <w:highlight w:val="none"/>
          <w:lang w:eastAsia="zh-CN"/>
        </w:rPr>
        <w:t>结果有异议，可在公示期内以书面形式，并在工作时间内（上午8:00-12:00,下午2:30-5:30）向招标人或招标代理机构提出异议。</w:t>
      </w:r>
    </w:p>
    <w:p w14:paraId="067A17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异议应以书面形式实名提出，书面异议材料应当包括以下内容：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（1）异议人的名称、地址、有效联系方式；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（2）项目名称、项目编号、标段号（如有）；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（3）被异议人名称；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（4）具体的异议事项、基本事实及必要的证明材料；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（5）明确的请求及主张；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（6）提起异议的日期。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（7）异议人为法人的，应当由法定代表人或授权代表签字并加盖公章；为其他组织或个人的，异议材料须由其主要负责人或者异议人本人签字，并附有效身份证明复印件。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（8）异议人需要修改、补充异议材料的，应当在招标人或招标代理机构规定的期限内提交修改或补充材料。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xml:space="preserve">  </w:t>
      </w:r>
      <w:r>
        <w:rPr>
          <w:rFonts w:hint="eastAsia" w:ascii="宋体" w:hAnsi="Times New Roman" w:eastAsia="宋体" w:cs="Times New Roman"/>
          <w:color w:val="auto"/>
          <w:kern w:val="10"/>
          <w:sz w:val="24"/>
          <w:szCs w:val="24"/>
          <w:highlight w:val="none"/>
          <w:lang w:val="en-US" w:eastAsia="zh-CN"/>
        </w:rPr>
        <w:t xml:space="preserve"> 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val="en-US" w:eastAsia="zh-CN"/>
        </w:rPr>
        <w:t>.2</w:t>
      </w:r>
      <w:r>
        <w:rPr>
          <w:rFonts w:hint="eastAsia" w:ascii="宋体" w:hAnsi="Times New Roman" w:eastAsia="宋体" w:cs="Times New Roman"/>
          <w:color w:val="auto"/>
          <w:kern w:val="10"/>
          <w:sz w:val="24"/>
          <w:szCs w:val="24"/>
          <w:highlight w:val="none"/>
          <w:lang w:eastAsia="zh-CN"/>
        </w:rPr>
        <w:t> </w:t>
      </w:r>
      <w:r>
        <w:rPr>
          <w:rFonts w:hint="eastAsia" w:ascii="宋体" w:hAnsi="Times New Roman" w:eastAsia="宋体" w:cs="Times New Roman"/>
          <w:color w:val="auto"/>
          <w:kern w:val="10"/>
          <w:sz w:val="24"/>
          <w:szCs w:val="24"/>
          <w:highlight w:val="none"/>
          <w:lang w:val="en-US" w:eastAsia="zh-CN"/>
        </w:rPr>
        <w:t xml:space="preserve">  </w:t>
      </w:r>
      <w:r>
        <w:rPr>
          <w:rFonts w:hint="eastAsia" w:ascii="宋体" w:hAnsi="Times New Roman" w:eastAsia="宋体" w:cs="Times New Roman"/>
          <w:color w:val="auto"/>
          <w:kern w:val="10"/>
          <w:sz w:val="24"/>
          <w:szCs w:val="24"/>
          <w:highlight w:val="none"/>
          <w:lang w:eastAsia="zh-CN"/>
        </w:rPr>
        <w:t>有下列情形之一的，不予受理：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（1）提出异议的主体不是所异议项目投标人或者其他利害关系人的；</w:t>
      </w:r>
    </w:p>
    <w:p w14:paraId="79FAE8F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对于依法必须招标的项目，未在公示期间提出异议的；</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（3）异议材料不完整的；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（4）异议事项含有主观猜测等内容且未提供有效线索、难以查证的；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（5）对其他投标人的投标文件详细内容异议，无法提供合法来源渠道的；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（6）异议事项已进入投诉处理、行政复议或行政诉讼程序的。</w:t>
      </w:r>
    </w:p>
    <w:p w14:paraId="22B345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.3 投标人或其他利害关系人对招标文件有异议的，应在投标截止时间10日前以网上留言或书面形式（包括信函、电报、传真等可以有形的表现所载内容的形式，下同）提出。招标人将在收到异议之日起3日内作出答复。</w:t>
      </w:r>
    </w:p>
    <w:p w14:paraId="727315F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.4投标人对开标有异议的，应当在开标现场提出，招标人当场作出答复，并制作记录。异议与答复应通过电子交易系统进行。</w:t>
      </w:r>
    </w:p>
    <w:p w14:paraId="7B0B187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 投诉</w:t>
      </w:r>
    </w:p>
    <w:p w14:paraId="4B0B38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w:t>
      </w:r>
      <w:r>
        <w:rPr>
          <w:rFonts w:hint="eastAsia" w:ascii="宋体" w:hAnsi="宋体" w:cs="宋体"/>
          <w:color w:val="auto"/>
          <w:sz w:val="24"/>
          <w:szCs w:val="24"/>
          <w:highlight w:val="none"/>
        </w:rPr>
        <w:t>投标人和其他利害关系人认为本次招标活动违反法律、法规和规章规定的，有权向有关行政监督部门投诉。投诉应当有明确的请求和必要的证明材料。</w:t>
      </w:r>
    </w:p>
    <w:p w14:paraId="038650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41.2</w:t>
      </w:r>
      <w:r>
        <w:rPr>
          <w:rFonts w:hint="eastAsia" w:ascii="宋体" w:hAnsi="宋体" w:cs="宋体"/>
          <w:color w:val="auto"/>
          <w:sz w:val="24"/>
          <w:szCs w:val="24"/>
          <w:highlight w:val="none"/>
        </w:rPr>
        <w:t>投标人和其他利害关系人对评标结果等事项投诉的，应当在开标期间或中标</w:t>
      </w:r>
      <w:r>
        <w:rPr>
          <w:rFonts w:hint="eastAsia" w:ascii="宋体" w:hAnsi="宋体" w:cs="宋体"/>
          <w:color w:val="auto"/>
          <w:sz w:val="24"/>
          <w:szCs w:val="24"/>
          <w:highlight w:val="none"/>
          <w:lang w:val="en-US" w:eastAsia="zh-CN"/>
        </w:rPr>
        <w:t>结果</w:t>
      </w:r>
      <w:r>
        <w:rPr>
          <w:rFonts w:hint="eastAsia" w:ascii="宋体" w:hAnsi="宋体" w:cs="宋体"/>
          <w:color w:val="auto"/>
          <w:sz w:val="24"/>
          <w:szCs w:val="24"/>
          <w:highlight w:val="none"/>
        </w:rPr>
        <w:t>公示期间，先向招标人提出异议。</w:t>
      </w:r>
      <w:r>
        <w:rPr>
          <w:rFonts w:hint="eastAsia" w:ascii="宋体" w:hAnsi="宋体" w:cs="宋体"/>
          <w:b/>
          <w:bCs/>
          <w:color w:val="auto"/>
          <w:sz w:val="24"/>
          <w:szCs w:val="24"/>
          <w:highlight w:val="none"/>
        </w:rPr>
        <w:t>注：一份质疑（异议）函只能针对一个项目提出质疑（异议），且针对同一招标采购程序环节的质疑（异议）应当一次性提出。</w:t>
      </w:r>
    </w:p>
    <w:p w14:paraId="78998DFD">
      <w:pPr>
        <w:rPr>
          <w:rFonts w:ascii="仿宋" w:hAnsi="仿宋" w:eastAsia="仿宋" w:cs="仿宋"/>
          <w:b/>
          <w:color w:val="auto"/>
          <w:sz w:val="24"/>
          <w:szCs w:val="24"/>
          <w:highlight w:val="none"/>
        </w:rPr>
      </w:pPr>
      <w:r>
        <w:rPr>
          <w:rFonts w:ascii="宋体"/>
          <w:b/>
          <w:color w:val="auto"/>
          <w:sz w:val="24"/>
          <w:szCs w:val="24"/>
          <w:highlight w:val="none"/>
        </w:rPr>
        <w:br w:type="page"/>
      </w:r>
    </w:p>
    <w:p w14:paraId="3060F213">
      <w:pPr>
        <w:spacing w:before="156" w:beforeLines="50" w:after="156" w:afterLines="50"/>
        <w:jc w:val="center"/>
        <w:outlineLvl w:val="0"/>
        <w:rPr>
          <w:rFonts w:hint="eastAsia" w:ascii="宋体" w:eastAsia="宋体"/>
          <w:b/>
          <w:color w:val="auto"/>
          <w:sz w:val="32"/>
          <w:szCs w:val="32"/>
          <w:highlight w:val="none"/>
          <w:lang w:eastAsia="zh-CN"/>
        </w:rPr>
      </w:pPr>
      <w:bookmarkStart w:id="50" w:name="_Toc58430316"/>
      <w:bookmarkStart w:id="51" w:name="_Toc32192"/>
      <w:bookmarkStart w:id="52" w:name="_Toc14115"/>
      <w:bookmarkStart w:id="53" w:name="_Toc3222"/>
      <w:bookmarkStart w:id="54" w:name="_Toc12737"/>
      <w:bookmarkStart w:id="55" w:name="_Toc31589_WPSOffice_Level1"/>
      <w:r>
        <w:rPr>
          <w:rFonts w:hint="eastAsia" w:ascii="宋体"/>
          <w:b/>
          <w:color w:val="auto"/>
          <w:sz w:val="32"/>
          <w:szCs w:val="32"/>
          <w:highlight w:val="none"/>
        </w:rPr>
        <w:t>第三章 评标办法</w:t>
      </w:r>
      <w:bookmarkEnd w:id="50"/>
      <w:bookmarkEnd w:id="51"/>
      <w:bookmarkEnd w:id="52"/>
      <w:r>
        <w:rPr>
          <w:rFonts w:hint="eastAsia" w:ascii="宋体"/>
          <w:b/>
          <w:color w:val="auto"/>
          <w:sz w:val="32"/>
          <w:szCs w:val="32"/>
          <w:highlight w:val="none"/>
          <w:lang w:val="en-US" w:eastAsia="zh-CN"/>
        </w:rPr>
        <w:t xml:space="preserve"> </w:t>
      </w:r>
    </w:p>
    <w:p w14:paraId="0FEBF6A0">
      <w:pPr>
        <w:spacing w:before="156" w:beforeLines="50" w:after="156" w:afterLines="50" w:line="440" w:lineRule="exact"/>
        <w:jc w:val="center"/>
        <w:outlineLvl w:val="1"/>
        <w:rPr>
          <w:rFonts w:hint="eastAsia" w:ascii="宋体"/>
          <w:b/>
          <w:color w:val="auto"/>
          <w:sz w:val="28"/>
          <w:szCs w:val="28"/>
          <w:highlight w:val="none"/>
        </w:rPr>
      </w:pPr>
      <w:bookmarkStart w:id="56" w:name="_Toc58430317"/>
      <w:bookmarkStart w:id="57" w:name="_Toc362983801"/>
      <w:bookmarkStart w:id="58" w:name="_Toc449028877"/>
      <w:bookmarkStart w:id="59" w:name="_Toc267320058"/>
      <w:bookmarkStart w:id="60" w:name="_Toc363135205"/>
      <w:r>
        <w:rPr>
          <w:rFonts w:hint="eastAsia" w:ascii="宋体"/>
          <w:b/>
          <w:color w:val="auto"/>
          <w:sz w:val="28"/>
          <w:szCs w:val="28"/>
          <w:highlight w:val="none"/>
        </w:rPr>
        <w:t>一、总</w:t>
      </w:r>
      <w:r>
        <w:rPr>
          <w:rFonts w:hint="eastAsia" w:ascii="宋体"/>
          <w:b/>
          <w:color w:val="auto"/>
          <w:sz w:val="28"/>
          <w:szCs w:val="28"/>
          <w:highlight w:val="none"/>
          <w:lang w:val="en-US" w:eastAsia="zh-CN"/>
        </w:rPr>
        <w:t xml:space="preserve"> </w:t>
      </w:r>
      <w:r>
        <w:rPr>
          <w:rFonts w:hint="eastAsia" w:ascii="宋体"/>
          <w:b/>
          <w:color w:val="auto"/>
          <w:sz w:val="28"/>
          <w:szCs w:val="28"/>
          <w:highlight w:val="none"/>
        </w:rPr>
        <w:t>则</w:t>
      </w:r>
      <w:bookmarkEnd w:id="56"/>
      <w:bookmarkEnd w:id="57"/>
      <w:bookmarkEnd w:id="58"/>
    </w:p>
    <w:p w14:paraId="5F51E769">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eastAsia="宋体"/>
          <w:b/>
          <w:color w:val="auto"/>
          <w:sz w:val="24"/>
          <w:szCs w:val="24"/>
          <w:highlight w:val="none"/>
          <w:lang w:eastAsia="zh-CN"/>
        </w:rPr>
      </w:pPr>
      <w:r>
        <w:rPr>
          <w:rFonts w:hint="eastAsia" w:ascii="宋体"/>
          <w:b/>
          <w:color w:val="auto"/>
          <w:sz w:val="24"/>
          <w:szCs w:val="24"/>
          <w:highlight w:val="none"/>
        </w:rPr>
        <w:t xml:space="preserve"> 1. 本次评标采用最低评标价法</w:t>
      </w:r>
    </w:p>
    <w:p w14:paraId="0B30E5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1.1最低评标价法，是指投标文件满足招标文件全部实质性要求且投标报价由低到高的投标人为中标候选人的评标方法，若投标报价相同的有两名及以上，则由招标人或评标委员会主任随机抽取的顺序确定排名。</w:t>
      </w:r>
    </w:p>
    <w:p w14:paraId="26B314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b/>
          <w:color w:val="auto"/>
          <w:sz w:val="24"/>
          <w:szCs w:val="24"/>
          <w:highlight w:val="none"/>
        </w:rPr>
      </w:pPr>
      <w:r>
        <w:rPr>
          <w:rFonts w:hint="eastAsia" w:ascii="宋体"/>
          <w:b/>
          <w:color w:val="auto"/>
          <w:sz w:val="24"/>
          <w:szCs w:val="24"/>
          <w:highlight w:val="none"/>
        </w:rPr>
        <w:t>2．评标程序</w:t>
      </w:r>
    </w:p>
    <w:p w14:paraId="736952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2.1投标文件的初审</w:t>
      </w:r>
    </w:p>
    <w:p w14:paraId="066674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2.1.1资格性检查。依据法律法规和招标文件的规定，对投标文件进行审查，以确定投标人是否具备投标资格。 </w:t>
      </w:r>
    </w:p>
    <w:p w14:paraId="331750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2.1.2符合性检查。依据招标文件的规定，从投标文件的有效性、完整性和对招标文件的响应程度进行审查，以确定投标人是否对招标文件的实质性要求作出响应。</w:t>
      </w:r>
    </w:p>
    <w:p w14:paraId="00F9C0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2.2投标文件的澄清</w:t>
      </w:r>
    </w:p>
    <w:p w14:paraId="77DBA8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2.2.1在评标过程中，评标委员会认为需要，在见证人员在场的情况下，可要求投标人对投标文件中的有关问题进行澄清或提供补充说明及有关资料，投标人应做出书面答复。书面答复中不得变更价格、</w:t>
      </w:r>
      <w:r>
        <w:rPr>
          <w:rFonts w:hint="eastAsia" w:ascii="宋体"/>
          <w:color w:val="auto"/>
          <w:sz w:val="24"/>
          <w:szCs w:val="24"/>
          <w:highlight w:val="none"/>
          <w:lang w:val="en-US" w:eastAsia="zh-CN"/>
        </w:rPr>
        <w:t>服务</w:t>
      </w:r>
      <w:r>
        <w:rPr>
          <w:rFonts w:hint="eastAsia" w:ascii="宋体"/>
          <w:color w:val="auto"/>
          <w:sz w:val="24"/>
          <w:szCs w:val="24"/>
          <w:highlight w:val="none"/>
        </w:rPr>
        <w:t>期、自报质量等实质性内容。</w:t>
      </w:r>
    </w:p>
    <w:p w14:paraId="5AB61D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DB704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2.2.3  </w:t>
      </w:r>
      <w:r>
        <w:rPr>
          <w:rFonts w:hint="eastAsia" w:ascii="宋体"/>
          <w:color w:val="auto"/>
          <w:sz w:val="24"/>
          <w:szCs w:val="24"/>
          <w:highlight w:val="none"/>
          <w:lang w:eastAsia="zh-CN"/>
        </w:rPr>
        <w:t>招标人</w:t>
      </w:r>
      <w:r>
        <w:rPr>
          <w:rFonts w:hint="eastAsia" w:ascii="宋体"/>
          <w:color w:val="auto"/>
          <w:sz w:val="24"/>
          <w:szCs w:val="24"/>
          <w:highlight w:val="none"/>
        </w:rPr>
        <w:t>不接受投标人主动提出的澄清。</w:t>
      </w:r>
    </w:p>
    <w:p w14:paraId="6B6D1A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2.3比较与评价</w:t>
      </w:r>
    </w:p>
    <w:p w14:paraId="12BF55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2．3.1按招标文件中规定的评标方法和标准，对资格性检查和符合性检查合格的投标文件进行资信、商务评估，综合比较与评价。 </w:t>
      </w:r>
      <w:r>
        <w:rPr>
          <w:rFonts w:hint="eastAsia" w:ascii="宋体"/>
          <w:color w:val="auto"/>
          <w:sz w:val="24"/>
          <w:szCs w:val="24"/>
          <w:highlight w:val="none"/>
        </w:rPr>
        <w:br w:type="textWrapping"/>
      </w:r>
      <w:r>
        <w:rPr>
          <w:rFonts w:hint="eastAsia" w:ascii="宋体"/>
          <w:color w:val="auto"/>
          <w:sz w:val="24"/>
          <w:szCs w:val="24"/>
          <w:highlight w:val="none"/>
        </w:rPr>
        <w:t xml:space="preserve">    2.4推荐中标候选人名单</w:t>
      </w:r>
    </w:p>
    <w:p w14:paraId="422402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2.4.1中标候选人数量应当根据采购需要确定，但必须按顺序排列中标候选人。</w:t>
      </w:r>
    </w:p>
    <w:p w14:paraId="33B30F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2.5在投标文件的审查、澄清、评价和比较以及授予合同过程中，投标人对</w:t>
      </w:r>
      <w:r>
        <w:rPr>
          <w:rFonts w:hint="eastAsia" w:ascii="宋体"/>
          <w:color w:val="auto"/>
          <w:sz w:val="24"/>
          <w:szCs w:val="24"/>
          <w:highlight w:val="none"/>
          <w:lang w:eastAsia="zh-CN"/>
        </w:rPr>
        <w:t>招标人</w:t>
      </w:r>
      <w:r>
        <w:rPr>
          <w:rFonts w:hint="eastAsia" w:ascii="宋体"/>
          <w:color w:val="auto"/>
          <w:sz w:val="24"/>
          <w:szCs w:val="24"/>
          <w:highlight w:val="none"/>
        </w:rPr>
        <w:t>和评标委员会成员施加影响的任何行为，都将导致取消其中标资格。</w:t>
      </w:r>
    </w:p>
    <w:p w14:paraId="626A2784">
      <w:pPr>
        <w:spacing w:before="156" w:beforeLines="50" w:after="156" w:afterLines="50" w:line="360" w:lineRule="auto"/>
        <w:outlineLvl w:val="1"/>
        <w:rPr>
          <w:rFonts w:ascii="宋体"/>
          <w:b/>
          <w:color w:val="auto"/>
          <w:sz w:val="24"/>
          <w:szCs w:val="24"/>
          <w:highlight w:val="none"/>
        </w:rPr>
        <w:sectPr>
          <w:footerReference r:id="rId9" w:type="default"/>
          <w:pgSz w:w="11906" w:h="16838"/>
          <w:pgMar w:top="1440" w:right="1040" w:bottom="1440" w:left="1406" w:header="851" w:footer="992" w:gutter="0"/>
          <w:pgNumType w:fmt="decimal" w:start="1"/>
          <w:cols w:space="720" w:num="1"/>
          <w:docGrid w:type="lines" w:linePitch="312" w:charSpace="0"/>
        </w:sectPr>
      </w:pPr>
      <w:bookmarkStart w:id="61" w:name="_Toc362983802"/>
    </w:p>
    <w:p w14:paraId="3550071B">
      <w:pPr>
        <w:jc w:val="center"/>
        <w:outlineLvl w:val="1"/>
        <w:rPr>
          <w:rFonts w:hint="eastAsia" w:ascii="宋体" w:eastAsia="宋体"/>
          <w:b/>
          <w:color w:val="auto"/>
          <w:sz w:val="28"/>
          <w:szCs w:val="28"/>
          <w:highlight w:val="none"/>
          <w:lang w:eastAsia="zh-CN"/>
        </w:rPr>
      </w:pPr>
      <w:bookmarkStart w:id="62" w:name="_Toc58430318"/>
      <w:bookmarkStart w:id="63" w:name="_Toc449028878"/>
      <w:r>
        <w:rPr>
          <w:rFonts w:hint="eastAsia" w:ascii="宋体"/>
          <w:b/>
          <w:color w:val="auto"/>
          <w:sz w:val="28"/>
          <w:szCs w:val="28"/>
          <w:highlight w:val="none"/>
        </w:rPr>
        <w:t>二、投标文件</w:t>
      </w:r>
      <w:bookmarkEnd w:id="61"/>
      <w:bookmarkEnd w:id="62"/>
      <w:bookmarkEnd w:id="63"/>
      <w:r>
        <w:rPr>
          <w:rFonts w:hint="eastAsia" w:ascii="宋体"/>
          <w:b/>
          <w:color w:val="auto"/>
          <w:sz w:val="28"/>
          <w:szCs w:val="28"/>
          <w:highlight w:val="none"/>
          <w:lang w:val="en-US" w:eastAsia="zh-CN"/>
        </w:rPr>
        <w:t>评审</w:t>
      </w:r>
    </w:p>
    <w:p w14:paraId="29E637DC">
      <w:pPr>
        <w:pageBreakBefore w:val="0"/>
        <w:widowControl w:val="0"/>
        <w:kinsoku/>
        <w:wordWrap/>
        <w:overflowPunct/>
        <w:topLinePunct w:val="0"/>
        <w:autoSpaceDN/>
        <w:bidi w:val="0"/>
        <w:adjustRightInd/>
        <w:snapToGrid/>
        <w:spacing w:line="440" w:lineRule="exact"/>
        <w:ind w:firstLine="422" w:firstLineChars="200"/>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1</w:t>
      </w:r>
      <w:r>
        <w:rPr>
          <w:rFonts w:hint="eastAsia" w:ascii="宋体"/>
          <w:b/>
          <w:color w:val="auto"/>
          <w:sz w:val="21"/>
          <w:szCs w:val="21"/>
          <w:highlight w:val="none"/>
        </w:rPr>
        <w:t>.资格性审查:</w:t>
      </w:r>
    </w:p>
    <w:p w14:paraId="06336E4E">
      <w:pPr>
        <w:pageBreakBefore w:val="0"/>
        <w:widowControl w:val="0"/>
        <w:kinsoku/>
        <w:wordWrap/>
        <w:overflowPunct/>
        <w:topLinePunct w:val="0"/>
        <w:autoSpaceDN/>
        <w:bidi w:val="0"/>
        <w:adjustRightInd/>
        <w:snapToGrid/>
        <w:spacing w:line="440" w:lineRule="exact"/>
        <w:ind w:firstLine="420" w:firstLineChars="200"/>
        <w:textAlignment w:val="auto"/>
        <w:rPr>
          <w:rFonts w:hint="eastAsia"/>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rPr>
        <w:t>.1</w:t>
      </w:r>
      <w:r>
        <w:rPr>
          <w:rFonts w:hint="eastAsia"/>
          <w:color w:val="auto"/>
          <w:sz w:val="21"/>
          <w:szCs w:val="21"/>
          <w:highlight w:val="none"/>
        </w:rPr>
        <w:t>评审细则</w:t>
      </w:r>
    </w:p>
    <w:tbl>
      <w:tblPr>
        <w:tblStyle w:val="45"/>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6513"/>
        <w:gridCol w:w="1755"/>
      </w:tblGrid>
      <w:tr w14:paraId="697C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06" w:type="dxa"/>
            <w:vMerge w:val="restart"/>
            <w:noWrap w:val="0"/>
            <w:vAlign w:val="center"/>
          </w:tcPr>
          <w:p w14:paraId="7E43D03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审查资料</w:t>
            </w:r>
          </w:p>
        </w:tc>
        <w:tc>
          <w:tcPr>
            <w:tcW w:w="6513" w:type="dxa"/>
            <w:noWrap w:val="0"/>
            <w:vAlign w:val="center"/>
          </w:tcPr>
          <w:p w14:paraId="3F67AFF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审查内容</w:t>
            </w:r>
          </w:p>
        </w:tc>
        <w:tc>
          <w:tcPr>
            <w:tcW w:w="1755" w:type="dxa"/>
            <w:noWrap w:val="0"/>
            <w:vAlign w:val="center"/>
          </w:tcPr>
          <w:p w14:paraId="7D80C7A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宋体" w:hAnsi="宋体" w:cs="宋体"/>
                <w:b/>
                <w:bCs/>
                <w:color w:val="auto"/>
                <w:szCs w:val="21"/>
              </w:rPr>
              <w:t>评审标准</w:t>
            </w:r>
          </w:p>
        </w:tc>
      </w:tr>
      <w:tr w14:paraId="699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06" w:type="dxa"/>
            <w:vMerge w:val="continue"/>
            <w:noWrap w:val="0"/>
            <w:vAlign w:val="center"/>
          </w:tcPr>
          <w:p w14:paraId="223BD64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1"/>
                <w:szCs w:val="21"/>
                <w:highlight w:val="none"/>
              </w:rPr>
            </w:pPr>
          </w:p>
        </w:tc>
        <w:tc>
          <w:tcPr>
            <w:tcW w:w="6513" w:type="dxa"/>
            <w:noWrap w:val="0"/>
            <w:vAlign w:val="top"/>
          </w:tcPr>
          <w:p w14:paraId="023AD2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法定代表人身份证明文件和本人有效身份证(或法定代表人授权委托书和委托代理人有效身份证) （格式见附件）</w:t>
            </w:r>
          </w:p>
        </w:tc>
        <w:tc>
          <w:tcPr>
            <w:tcW w:w="1755" w:type="dxa"/>
            <w:vMerge w:val="restart"/>
            <w:noWrap w:val="0"/>
            <w:vAlign w:val="center"/>
          </w:tcPr>
          <w:p w14:paraId="77C1BE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检验电子投标文件</w:t>
            </w:r>
          </w:p>
        </w:tc>
      </w:tr>
      <w:tr w14:paraId="7151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06" w:type="dxa"/>
            <w:vMerge w:val="continue"/>
            <w:noWrap w:val="0"/>
            <w:vAlign w:val="center"/>
          </w:tcPr>
          <w:p w14:paraId="0D00C71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513" w:type="dxa"/>
            <w:noWrap w:val="0"/>
            <w:vAlign w:val="top"/>
          </w:tcPr>
          <w:p w14:paraId="7DBAFC1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color w:val="auto"/>
                <w:sz w:val="21"/>
                <w:szCs w:val="21"/>
                <w:highlight w:val="none"/>
              </w:rPr>
            </w:pPr>
            <w:r>
              <w:rPr>
                <w:rFonts w:hint="eastAsia" w:ascii="宋体" w:hAnsi="宋体" w:cs="宋体"/>
                <w:color w:val="auto"/>
                <w:sz w:val="21"/>
                <w:szCs w:val="21"/>
                <w:highlight w:val="none"/>
              </w:rPr>
              <w:t>诚信投标承诺书（格式见附件）</w:t>
            </w:r>
          </w:p>
        </w:tc>
        <w:tc>
          <w:tcPr>
            <w:tcW w:w="1755" w:type="dxa"/>
            <w:vMerge w:val="continue"/>
            <w:noWrap w:val="0"/>
            <w:vAlign w:val="top"/>
          </w:tcPr>
          <w:p w14:paraId="5ED0D91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ascii="宋体" w:hAnsi="宋体" w:cs="宋体"/>
                <w:color w:val="auto"/>
                <w:sz w:val="21"/>
                <w:szCs w:val="21"/>
                <w:highlight w:val="none"/>
              </w:rPr>
            </w:pPr>
          </w:p>
        </w:tc>
      </w:tr>
      <w:tr w14:paraId="5AC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6" w:type="dxa"/>
            <w:vMerge w:val="continue"/>
            <w:noWrap w:val="0"/>
            <w:vAlign w:val="center"/>
          </w:tcPr>
          <w:p w14:paraId="785AD43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513" w:type="dxa"/>
            <w:noWrap w:val="0"/>
            <w:vAlign w:val="top"/>
          </w:tcPr>
          <w:p w14:paraId="5263D1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投标人营业执照</w:t>
            </w:r>
            <w:r>
              <w:rPr>
                <w:rFonts w:hint="eastAsia" w:ascii="宋体" w:hAnsi="宋体"/>
                <w:color w:val="auto"/>
                <w:sz w:val="21"/>
                <w:szCs w:val="21"/>
                <w:highlight w:val="none"/>
              </w:rPr>
              <w:t>（或三证合一的有效证件）</w:t>
            </w:r>
          </w:p>
        </w:tc>
        <w:tc>
          <w:tcPr>
            <w:tcW w:w="1755" w:type="dxa"/>
            <w:vMerge w:val="continue"/>
            <w:noWrap w:val="0"/>
            <w:vAlign w:val="top"/>
          </w:tcPr>
          <w:p w14:paraId="7D5BB7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51B5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806" w:type="dxa"/>
            <w:vMerge w:val="continue"/>
            <w:noWrap w:val="0"/>
            <w:vAlign w:val="center"/>
          </w:tcPr>
          <w:p w14:paraId="1EC77F1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513" w:type="dxa"/>
            <w:noWrap w:val="0"/>
            <w:vAlign w:val="top"/>
          </w:tcPr>
          <w:p w14:paraId="4C5F9D1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：注册造价师证书且证明专业为土木建筑工程的证明材料</w:t>
            </w:r>
          </w:p>
        </w:tc>
        <w:tc>
          <w:tcPr>
            <w:tcW w:w="1755" w:type="dxa"/>
            <w:vMerge w:val="continue"/>
            <w:noWrap w:val="0"/>
            <w:vAlign w:val="top"/>
          </w:tcPr>
          <w:p w14:paraId="52E93A9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6397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1806" w:type="dxa"/>
            <w:vMerge w:val="continue"/>
            <w:noWrap w:val="0"/>
            <w:vAlign w:val="center"/>
          </w:tcPr>
          <w:p w14:paraId="03553A6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513" w:type="dxa"/>
            <w:noWrap w:val="0"/>
            <w:vAlign w:val="top"/>
          </w:tcPr>
          <w:p w14:paraId="073A154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项目组成员（不含项目负责人）：</w:t>
            </w:r>
            <w:r>
              <w:rPr>
                <w:rFonts w:hint="eastAsia" w:ascii="宋体" w:hAnsi="宋体" w:eastAsia="宋体" w:cs="宋体"/>
                <w:color w:val="auto"/>
                <w:sz w:val="21"/>
                <w:szCs w:val="21"/>
                <w:highlight w:val="none"/>
                <w:lang w:eastAsia="zh-CN"/>
              </w:rPr>
              <w:t>注册造价师证书且证明专业为土木建筑工程（</w:t>
            </w:r>
            <w:r>
              <w:rPr>
                <w:rFonts w:hint="eastAsia" w:ascii="宋体" w:hAnsi="宋体" w:eastAsia="宋体" w:cs="宋体"/>
                <w:color w:val="auto"/>
                <w:sz w:val="21"/>
                <w:szCs w:val="21"/>
                <w:highlight w:val="none"/>
                <w:lang w:val="en-US" w:eastAsia="zh-CN"/>
              </w:rPr>
              <w:t>或安装工程</w:t>
            </w:r>
            <w:r>
              <w:rPr>
                <w:rFonts w:hint="eastAsia" w:ascii="宋体" w:hAnsi="宋体" w:eastAsia="宋体" w:cs="宋体"/>
                <w:color w:val="auto"/>
                <w:sz w:val="21"/>
                <w:szCs w:val="21"/>
                <w:highlight w:val="none"/>
                <w:lang w:eastAsia="zh-CN"/>
              </w:rPr>
              <w:t>）的证明材料</w:t>
            </w:r>
          </w:p>
        </w:tc>
        <w:tc>
          <w:tcPr>
            <w:tcW w:w="1755" w:type="dxa"/>
            <w:vMerge w:val="continue"/>
            <w:noWrap w:val="0"/>
            <w:vAlign w:val="top"/>
          </w:tcPr>
          <w:p w14:paraId="149662A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7937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1806" w:type="dxa"/>
            <w:vMerge w:val="continue"/>
            <w:noWrap w:val="0"/>
            <w:vAlign w:val="center"/>
          </w:tcPr>
          <w:p w14:paraId="35C6084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513" w:type="dxa"/>
            <w:noWrap w:val="0"/>
            <w:vAlign w:val="top"/>
          </w:tcPr>
          <w:p w14:paraId="54E60EA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投标人的法定代表人(或委托代理人)和拟任项目负责人须持有社保部门出具的本单位为其缴纳的投标前近</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755" w:type="dxa"/>
            <w:vMerge w:val="continue"/>
            <w:noWrap w:val="0"/>
            <w:vAlign w:val="top"/>
          </w:tcPr>
          <w:p w14:paraId="27A8BD2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3356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806" w:type="dxa"/>
            <w:vMerge w:val="continue"/>
            <w:noWrap w:val="0"/>
            <w:vAlign w:val="center"/>
          </w:tcPr>
          <w:p w14:paraId="045713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bookmarkStart w:id="64" w:name="_Toc37230750"/>
            <w:bookmarkStart w:id="65" w:name="_Toc17672"/>
            <w:bookmarkStart w:id="66" w:name="_Toc506107320"/>
            <w:bookmarkStart w:id="67" w:name="_Toc15058909"/>
            <w:bookmarkStart w:id="68" w:name="_Toc324404867"/>
            <w:bookmarkStart w:id="69" w:name="_Toc449028880"/>
            <w:bookmarkStart w:id="70" w:name="_Toc58430320"/>
          </w:p>
        </w:tc>
        <w:tc>
          <w:tcPr>
            <w:tcW w:w="6513" w:type="dxa"/>
            <w:noWrap w:val="0"/>
            <w:vAlign w:val="top"/>
          </w:tcPr>
          <w:p w14:paraId="316F729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投标人业绩要求：自2019年1月1日至投标文件提交截止时间前，投标人承担过工程造价在6400万元及以上的工业厂房工程跟踪审计业绩。（业绩时间以合同签订时间为准，业绩金额以成果文件出具的审核金额为准）</w:t>
            </w:r>
          </w:p>
        </w:tc>
        <w:tc>
          <w:tcPr>
            <w:tcW w:w="1755" w:type="dxa"/>
            <w:noWrap w:val="0"/>
            <w:vAlign w:val="top"/>
          </w:tcPr>
          <w:p w14:paraId="5957820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检验电子投标文件：同时提供合同和跟踪审计结论性文书</w:t>
            </w:r>
          </w:p>
        </w:tc>
      </w:tr>
    </w:tbl>
    <w:p w14:paraId="66C6B317">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2.审查办法</w:t>
      </w:r>
      <w:bookmarkEnd w:id="64"/>
      <w:bookmarkEnd w:id="65"/>
      <w:bookmarkEnd w:id="66"/>
      <w:bookmarkEnd w:id="67"/>
      <w:bookmarkEnd w:id="68"/>
    </w:p>
    <w:p w14:paraId="761DCB87">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1、由资格审查委员会（评审委员会）按资格审查办法前附表中资格审查必要合格条件评审表要求对投标人审查资料进行核验。投标人有下列情形之一的，其资格审查为不合格：</w:t>
      </w:r>
      <w:bookmarkStart w:id="71" w:name="_Toc7413"/>
      <w:bookmarkStart w:id="72" w:name="_Toc506107321"/>
      <w:bookmarkStart w:id="73" w:name="_Toc15058910"/>
      <w:bookmarkStart w:id="74" w:name="_Toc37230751"/>
      <w:bookmarkStart w:id="75" w:name="_Toc324404868"/>
    </w:p>
    <w:p w14:paraId="413886CD">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①逾期送达的；</w:t>
      </w:r>
    </w:p>
    <w:p w14:paraId="79D68A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②无单位盖章、无法定代表人或法定代表人授权的代理人签字或盖章的；；</w:t>
      </w:r>
    </w:p>
    <w:p w14:paraId="61F060DD">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③未按规定的格式填写，内容不全或关键字迹模糊、无法辨认的；</w:t>
      </w:r>
    </w:p>
    <w:p w14:paraId="506A9115">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④服务期或质量不符合招标文件要求的</w:t>
      </w:r>
    </w:p>
    <w:p w14:paraId="545B7B7A">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⑤法律、法规、规章和招标文件规定的其他否决投标情形。</w:t>
      </w:r>
    </w:p>
    <w:p w14:paraId="7E9293C5">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3.资格审查委员会和审查标准</w:t>
      </w:r>
      <w:bookmarkEnd w:id="71"/>
      <w:bookmarkEnd w:id="72"/>
      <w:bookmarkEnd w:id="73"/>
      <w:bookmarkEnd w:id="74"/>
      <w:bookmarkEnd w:id="75"/>
    </w:p>
    <w:p w14:paraId="251B9045">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资格审查由招标单位依法组建的资格审查委员会（或评审委员会）负责。审查标准见资格审查办法前附表。</w:t>
      </w:r>
    </w:p>
    <w:p w14:paraId="178FBFEC">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76" w:name="_Toc7217"/>
      <w:bookmarkStart w:id="77" w:name="_Toc37230752"/>
      <w:bookmarkStart w:id="78" w:name="_Toc15058911"/>
      <w:bookmarkStart w:id="79" w:name="_Toc506107322"/>
      <w:bookmarkStart w:id="80" w:name="_Toc324404869"/>
      <w:r>
        <w:rPr>
          <w:rFonts w:hint="eastAsia" w:ascii="宋体" w:hAnsi="宋体" w:eastAsia="宋体" w:cs="宋体"/>
          <w:color w:val="auto"/>
          <w:sz w:val="21"/>
          <w:szCs w:val="21"/>
          <w:highlight w:val="none"/>
        </w:rPr>
        <w:t>4.审查结果</w:t>
      </w:r>
      <w:bookmarkEnd w:id="76"/>
      <w:bookmarkEnd w:id="77"/>
      <w:bookmarkEnd w:id="78"/>
      <w:bookmarkEnd w:id="79"/>
      <w:bookmarkEnd w:id="80"/>
    </w:p>
    <w:p w14:paraId="09DCABE8">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只有通过资格审查的投标人才能进入下一步的评审程序。</w:t>
      </w:r>
    </w:p>
    <w:p w14:paraId="0DB48F1A">
      <w:pPr>
        <w:spacing w:line="400" w:lineRule="exact"/>
        <w:jc w:val="center"/>
        <w:outlineLvl w:val="1"/>
        <w:rPr>
          <w:rFonts w:hint="eastAsia" w:ascii="宋体"/>
          <w:b/>
          <w:color w:val="auto"/>
          <w:sz w:val="21"/>
          <w:szCs w:val="21"/>
          <w:highlight w:val="none"/>
        </w:rPr>
      </w:pPr>
    </w:p>
    <w:bookmarkEnd w:id="59"/>
    <w:bookmarkEnd w:id="69"/>
    <w:bookmarkEnd w:id="70"/>
    <w:p w14:paraId="6F6327BC">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1" w:name="_Toc95223430"/>
      <w:r>
        <w:rPr>
          <w:rFonts w:hint="eastAsia" w:ascii="黑体" w:hAnsi="黑体" w:cs="黑体"/>
          <w:color w:val="auto"/>
          <w:sz w:val="21"/>
          <w:szCs w:val="21"/>
          <w:highlight w:val="none"/>
          <w:lang w:val="en-US" w:eastAsia="zh-CN"/>
        </w:rPr>
        <w:t>5</w:t>
      </w:r>
      <w:r>
        <w:rPr>
          <w:rFonts w:hint="eastAsia" w:ascii="黑体" w:hAnsi="黑体" w:cs="黑体"/>
          <w:color w:val="auto"/>
          <w:sz w:val="21"/>
          <w:szCs w:val="21"/>
          <w:highlight w:val="none"/>
        </w:rPr>
        <w:t>.评标委员会的职责</w:t>
      </w:r>
      <w:bookmarkEnd w:id="81"/>
    </w:p>
    <w:p w14:paraId="61915D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E226B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2"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C715CAB">
      <w:pPr>
        <w:spacing w:before="93" w:beforeLines="30" w:after="93" w:afterLines="30" w:line="440" w:lineRule="exact"/>
        <w:ind w:left="-420" w:leftChars="-200" w:firstLine="361" w:firstLineChars="150"/>
        <w:rPr>
          <w:rFonts w:hint="eastAsia" w:ascii="宋体" w:hAnsi="宋体" w:cs="宋体"/>
          <w:b/>
          <w:bCs/>
          <w:sz w:val="24"/>
        </w:rPr>
      </w:pPr>
      <w:bookmarkStart w:id="83" w:name="_Toc324404876"/>
      <w:bookmarkStart w:id="84" w:name="_Toc15058922"/>
      <w:bookmarkStart w:id="85" w:name="_Toc506107328"/>
      <w:bookmarkStart w:id="86" w:name="_Toc37230763"/>
      <w:r>
        <w:rPr>
          <w:rFonts w:hint="eastAsia" w:ascii="宋体" w:hAnsi="宋体" w:cs="宋体"/>
          <w:b/>
          <w:bCs/>
          <w:sz w:val="24"/>
          <w:lang w:val="en-US" w:eastAsia="zh-CN"/>
        </w:rPr>
        <w:t>6</w:t>
      </w:r>
      <w:r>
        <w:rPr>
          <w:rFonts w:hint="eastAsia" w:ascii="宋体" w:hAnsi="宋体" w:cs="宋体"/>
          <w:b/>
          <w:bCs/>
          <w:sz w:val="24"/>
        </w:rPr>
        <w:t>.无效响应条款</w:t>
      </w:r>
      <w:bookmarkEnd w:id="83"/>
      <w:bookmarkEnd w:id="84"/>
      <w:bookmarkEnd w:id="85"/>
      <w:bookmarkEnd w:id="86"/>
    </w:p>
    <w:p w14:paraId="64482DFC">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.1投标人存在下列情形的的招标人将拒收投标文件：</w:t>
      </w:r>
    </w:p>
    <w:p w14:paraId="7B270894">
      <w:pPr>
        <w:spacing w:line="440" w:lineRule="exact"/>
        <w:ind w:left="-420" w:leftChars="-200" w:firstLine="315" w:firstLineChars="150"/>
        <w:rPr>
          <w:rFonts w:hint="eastAsia" w:ascii="宋体" w:hAnsi="宋体" w:cs="宋体"/>
          <w:szCs w:val="21"/>
        </w:rPr>
      </w:pPr>
      <w:r>
        <w:rPr>
          <w:rFonts w:hint="eastAsia" w:ascii="宋体" w:hAnsi="宋体" w:cs="宋体"/>
          <w:szCs w:val="21"/>
        </w:rPr>
        <w:t>(1) 在投标截止时间前未递交有效投标文件的，投标文件不予接收，投标将被拒绝。</w:t>
      </w:r>
    </w:p>
    <w:p w14:paraId="3B7BC95E">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其他无效响应情况：</w:t>
      </w:r>
    </w:p>
    <w:p w14:paraId="6916F406">
      <w:pPr>
        <w:spacing w:line="440" w:lineRule="exact"/>
        <w:ind w:left="-420" w:leftChars="-200" w:firstLine="315" w:firstLineChars="150"/>
        <w:rPr>
          <w:rFonts w:hint="eastAsia" w:ascii="宋体" w:hAnsi="宋体" w:cs="宋体"/>
          <w:szCs w:val="21"/>
        </w:rPr>
      </w:pPr>
      <w:r>
        <w:rPr>
          <w:rFonts w:hint="eastAsia" w:ascii="宋体" w:hAnsi="宋体" w:cs="宋体"/>
          <w:szCs w:val="21"/>
        </w:rPr>
        <w:t>（1）投标人有串通响应、弄虚作假、行贿等违法行为。</w:t>
      </w:r>
    </w:p>
    <w:p w14:paraId="3E256B1E">
      <w:pPr>
        <w:spacing w:line="440" w:lineRule="exact"/>
        <w:ind w:left="-420" w:leftChars="-200" w:firstLine="315" w:firstLineChars="150"/>
        <w:rPr>
          <w:rFonts w:hint="eastAsia" w:ascii="宋体" w:hAnsi="宋体" w:cs="宋体"/>
          <w:szCs w:val="21"/>
        </w:rPr>
      </w:pPr>
      <w:r>
        <w:rPr>
          <w:rFonts w:hint="eastAsia" w:ascii="宋体" w:hAnsi="宋体" w:cs="宋体"/>
          <w:szCs w:val="21"/>
        </w:rPr>
        <w:t>（2）投标文件没有对招标文件的实质性要求和条件作出响应。</w:t>
      </w:r>
    </w:p>
    <w:p w14:paraId="4117A7C2">
      <w:pPr>
        <w:spacing w:line="440" w:lineRule="exact"/>
        <w:ind w:left="-420" w:leftChars="-200" w:firstLine="315" w:firstLineChars="150"/>
        <w:rPr>
          <w:rFonts w:hint="eastAsia" w:ascii="宋体" w:hAnsi="宋体" w:cs="宋体"/>
          <w:szCs w:val="21"/>
        </w:rPr>
      </w:pPr>
      <w:r>
        <w:rPr>
          <w:rFonts w:hint="eastAsia" w:ascii="宋体" w:hAnsi="宋体" w:cs="宋体"/>
          <w:szCs w:val="21"/>
        </w:rPr>
        <w:t>（3）未按规定的格式填写，实质性内容不全或关键字迹模糊、无法辨认的。</w:t>
      </w:r>
    </w:p>
    <w:p w14:paraId="5A707C9C">
      <w:pPr>
        <w:spacing w:line="440" w:lineRule="exact"/>
        <w:ind w:left="-420" w:leftChars="-200" w:firstLine="315" w:firstLineChars="150"/>
        <w:rPr>
          <w:rFonts w:hint="eastAsia" w:ascii="宋体" w:hAnsi="宋体" w:cs="宋体"/>
          <w:szCs w:val="21"/>
        </w:rPr>
      </w:pPr>
      <w:r>
        <w:rPr>
          <w:rFonts w:hint="eastAsia" w:ascii="宋体" w:hAnsi="宋体" w:cs="宋体"/>
          <w:szCs w:val="21"/>
        </w:rPr>
        <w:t>（4）同一投标人提交两个以上不同的投标文件或者响应报价，但招标文件规定提交备选的除外。</w:t>
      </w:r>
    </w:p>
    <w:p w14:paraId="285660C4">
      <w:pPr>
        <w:spacing w:line="440" w:lineRule="exact"/>
        <w:ind w:left="-420" w:leftChars="-200" w:firstLine="315" w:firstLineChars="150"/>
        <w:rPr>
          <w:rFonts w:hint="eastAsia" w:ascii="宋体" w:hAnsi="宋体" w:cs="宋体"/>
          <w:szCs w:val="21"/>
        </w:rPr>
      </w:pPr>
      <w:r>
        <w:rPr>
          <w:rFonts w:hint="eastAsia" w:ascii="宋体" w:hAnsi="宋体" w:cs="宋体"/>
          <w:szCs w:val="21"/>
        </w:rPr>
        <w:t>（5）投标文件中存在招标人不能接受的其他实质性条件。</w:t>
      </w:r>
    </w:p>
    <w:p w14:paraId="0D88798C">
      <w:pPr>
        <w:spacing w:line="440" w:lineRule="exact"/>
        <w:ind w:left="-420" w:leftChars="-200" w:firstLine="315" w:firstLineChars="150"/>
        <w:rPr>
          <w:rFonts w:hint="eastAsia" w:ascii="宋体" w:hAnsi="宋体" w:cs="宋体"/>
          <w:szCs w:val="21"/>
        </w:rPr>
      </w:pPr>
      <w:r>
        <w:rPr>
          <w:rFonts w:hint="eastAsia" w:ascii="宋体" w:hAnsi="宋体" w:cs="宋体"/>
          <w:szCs w:val="21"/>
        </w:rPr>
        <w:t>（6）投标文件中填报的拟任项目负责人与资格审查通过的项目负责人前后不一致的。</w:t>
      </w:r>
    </w:p>
    <w:p w14:paraId="7DA2752B">
      <w:pPr>
        <w:spacing w:line="440" w:lineRule="exact"/>
        <w:ind w:left="-420" w:leftChars="-200" w:firstLine="315" w:firstLineChars="150"/>
        <w:rPr>
          <w:rFonts w:hint="eastAsia" w:ascii="宋体" w:hAnsi="宋体" w:cs="宋体"/>
          <w:szCs w:val="21"/>
        </w:rPr>
      </w:pPr>
      <w:r>
        <w:rPr>
          <w:rFonts w:hint="eastAsia" w:ascii="宋体" w:hAnsi="宋体" w:cs="宋体"/>
          <w:szCs w:val="21"/>
        </w:rPr>
        <w:t>（7）投标人拒不按照要求对投标文件进行澄清、说明、补正的，或资格审查委员会根据招标文件的规定对招标文件的计算错误进行修正后，投标人不接受修正的投标报价的。</w:t>
      </w:r>
    </w:p>
    <w:p w14:paraId="2D93D6D1">
      <w:pPr>
        <w:spacing w:line="440" w:lineRule="exact"/>
        <w:ind w:left="-420" w:leftChars="-200" w:firstLine="315" w:firstLineChars="150"/>
        <w:rPr>
          <w:rFonts w:hint="eastAsia" w:ascii="宋体" w:hAnsi="宋体" w:cs="宋体"/>
          <w:szCs w:val="21"/>
        </w:rPr>
      </w:pPr>
      <w:r>
        <w:rPr>
          <w:rFonts w:hint="eastAsia" w:ascii="宋体" w:hAnsi="宋体" w:cs="宋体"/>
          <w:szCs w:val="21"/>
        </w:rPr>
        <w:t>（8）法律、法规规定的其他情形。</w:t>
      </w:r>
    </w:p>
    <w:p w14:paraId="1772BF83">
      <w:pPr>
        <w:spacing w:before="93" w:beforeLines="30" w:after="93" w:afterLines="30" w:line="440" w:lineRule="exact"/>
        <w:ind w:left="-420" w:leftChars="-200" w:firstLine="361" w:firstLineChars="150"/>
        <w:rPr>
          <w:rFonts w:hint="eastAsia" w:ascii="宋体" w:hAnsi="宋体" w:cs="宋体"/>
          <w:b/>
          <w:bCs/>
          <w:sz w:val="24"/>
        </w:rPr>
      </w:pPr>
      <w:bookmarkStart w:id="87" w:name="_Toc324404877"/>
      <w:bookmarkStart w:id="88" w:name="_Toc506107329"/>
      <w:bookmarkStart w:id="89" w:name="_Toc37230764"/>
      <w:bookmarkStart w:id="90" w:name="_Toc15058923"/>
      <w:r>
        <w:rPr>
          <w:rFonts w:hint="eastAsia" w:ascii="宋体" w:hAnsi="宋体" w:cs="宋体"/>
          <w:b/>
          <w:bCs/>
          <w:sz w:val="24"/>
          <w:lang w:val="en-US" w:eastAsia="zh-CN"/>
        </w:rPr>
        <w:t>7</w:t>
      </w:r>
      <w:r>
        <w:rPr>
          <w:rFonts w:hint="eastAsia" w:ascii="宋体" w:hAnsi="宋体" w:cs="宋体"/>
          <w:b/>
          <w:bCs/>
          <w:sz w:val="24"/>
        </w:rPr>
        <w:t>.投标文件的澄清和补正</w:t>
      </w:r>
      <w:bookmarkEnd w:id="87"/>
      <w:bookmarkEnd w:id="88"/>
      <w:bookmarkEnd w:id="89"/>
      <w:bookmarkEnd w:id="90"/>
    </w:p>
    <w:p w14:paraId="4891D9B6">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.1在评审过程中，资格审查委员会可以书面形式要求投标人对所提交的投标文件中不明确的内容进行书面澄清或说明，或者对细微偏差进行补正。资格审查委员会不接受投标人主动提出的澄清、说明或补正。</w:t>
      </w:r>
    </w:p>
    <w:p w14:paraId="3A8E7C04">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.2澄清、说明和补正不得改变投标文件的实质性内容（算术性错误修正的除外）。投标人的书面澄清、说明和补正属于投标文件的组成部分。</w:t>
      </w:r>
    </w:p>
    <w:p w14:paraId="7D318331">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.3资格审查委员会对投标人提交的澄清、说明和补正有疑问的，可以要求投标人进一步澄清、说明或补正、直至满足资格审查委员会的要求。</w:t>
      </w:r>
    </w:p>
    <w:p w14:paraId="083ECA9D">
      <w:pPr>
        <w:spacing w:line="440" w:lineRule="exact"/>
        <w:ind w:left="-420" w:leftChars="-200" w:firstLine="315" w:firstLineChars="150"/>
        <w:rPr>
          <w:rFonts w:hint="eastAsia" w:ascii="宋体" w:hAnsi="宋体" w:cs="宋体"/>
          <w:szCs w:val="21"/>
        </w:rPr>
      </w:pPr>
      <w:r>
        <w:rPr>
          <w:rFonts w:hint="eastAsia" w:ascii="宋体" w:hAnsi="宋体" w:cs="宋体"/>
          <w:szCs w:val="21"/>
        </w:rPr>
        <w:t>按照投标文件规定进行澄清、补正后的投标报价经投标人的法定代表人或其委托代理人确认后即为该投标人的最终投标报价。投标人一旦中标，此报价即为中标价。</w:t>
      </w:r>
    </w:p>
    <w:p w14:paraId="29BE9D0F">
      <w:pPr>
        <w:spacing w:before="93" w:beforeLines="30" w:after="93" w:afterLines="30" w:line="440" w:lineRule="exact"/>
        <w:ind w:left="-420" w:leftChars="-200" w:firstLine="361" w:firstLineChars="150"/>
        <w:rPr>
          <w:rFonts w:hint="eastAsia" w:ascii="宋体" w:hAnsi="宋体" w:cs="宋体"/>
          <w:b/>
          <w:bCs/>
          <w:sz w:val="24"/>
        </w:rPr>
      </w:pPr>
      <w:bookmarkStart w:id="91" w:name="_Toc506107331"/>
      <w:bookmarkStart w:id="92" w:name="_Toc37230766"/>
      <w:bookmarkStart w:id="93" w:name="_Toc324404879"/>
      <w:bookmarkStart w:id="94" w:name="_Toc15058925"/>
      <w:r>
        <w:rPr>
          <w:rFonts w:hint="eastAsia" w:ascii="宋体" w:hAnsi="宋体" w:cs="宋体"/>
          <w:b/>
          <w:bCs/>
          <w:sz w:val="24"/>
          <w:lang w:val="en-US" w:eastAsia="zh-CN"/>
        </w:rPr>
        <w:t>8</w:t>
      </w:r>
      <w:r>
        <w:rPr>
          <w:rFonts w:hint="eastAsia" w:ascii="宋体" w:hAnsi="宋体" w:cs="宋体"/>
          <w:b/>
          <w:bCs/>
          <w:sz w:val="24"/>
        </w:rPr>
        <w:t>.评审结果</w:t>
      </w:r>
      <w:bookmarkEnd w:id="91"/>
      <w:bookmarkEnd w:id="92"/>
      <w:bookmarkEnd w:id="93"/>
      <w:bookmarkEnd w:id="94"/>
    </w:p>
    <w:p w14:paraId="3426C1C7">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.1除第一章投标人须知前附表授权直接确定中标人外，资格审查委员会按照评标办法规定推荐中标候选人。</w:t>
      </w:r>
    </w:p>
    <w:p w14:paraId="28E47CD1">
      <w:pPr>
        <w:spacing w:line="440" w:lineRule="exact"/>
        <w:ind w:left="-420" w:leftChars="-200" w:firstLine="315" w:firstLineChars="15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.2资格审查委员会完成评审后，应当向招标人提交书面评审报告。评审报告应当如实记载以下内容：</w:t>
      </w:r>
    </w:p>
    <w:p w14:paraId="618493E2">
      <w:pPr>
        <w:spacing w:line="440" w:lineRule="exact"/>
        <w:ind w:left="-420" w:leftChars="-200" w:firstLine="315" w:firstLineChars="150"/>
        <w:rPr>
          <w:rFonts w:hint="eastAsia" w:ascii="宋体" w:hAnsi="宋体" w:cs="宋体"/>
          <w:szCs w:val="21"/>
        </w:rPr>
      </w:pPr>
      <w:r>
        <w:rPr>
          <w:rFonts w:hint="eastAsia" w:ascii="宋体" w:hAnsi="宋体" w:cs="宋体"/>
          <w:szCs w:val="21"/>
        </w:rPr>
        <w:t>（1）基本情况和数据表。</w:t>
      </w:r>
    </w:p>
    <w:p w14:paraId="6A5F7E9B">
      <w:pPr>
        <w:spacing w:line="440" w:lineRule="exact"/>
        <w:ind w:left="-420" w:leftChars="-200" w:firstLine="315" w:firstLineChars="150"/>
        <w:rPr>
          <w:rFonts w:hint="eastAsia" w:ascii="宋体" w:hAnsi="宋体" w:cs="宋体"/>
          <w:szCs w:val="21"/>
        </w:rPr>
      </w:pPr>
      <w:r>
        <w:rPr>
          <w:rFonts w:hint="eastAsia" w:ascii="宋体" w:hAnsi="宋体" w:cs="宋体"/>
          <w:szCs w:val="21"/>
        </w:rPr>
        <w:t>（2）资格审查委员会成员名单。</w:t>
      </w:r>
    </w:p>
    <w:p w14:paraId="15BAC85B">
      <w:pPr>
        <w:spacing w:line="440" w:lineRule="exact"/>
        <w:ind w:left="-420" w:leftChars="-200" w:firstLine="315" w:firstLineChars="150"/>
        <w:rPr>
          <w:rFonts w:hint="eastAsia" w:ascii="宋体" w:hAnsi="宋体" w:cs="宋体"/>
          <w:szCs w:val="21"/>
        </w:rPr>
      </w:pPr>
      <w:r>
        <w:rPr>
          <w:rFonts w:hint="eastAsia" w:ascii="宋体" w:hAnsi="宋体" w:cs="宋体"/>
          <w:szCs w:val="21"/>
        </w:rPr>
        <w:t>（3）开标记录。</w:t>
      </w:r>
    </w:p>
    <w:p w14:paraId="1B1012AC">
      <w:pPr>
        <w:spacing w:line="440" w:lineRule="exact"/>
        <w:ind w:left="-420" w:leftChars="-200" w:firstLine="315" w:firstLineChars="150"/>
        <w:rPr>
          <w:rFonts w:hint="eastAsia" w:ascii="宋体" w:hAnsi="宋体" w:cs="宋体"/>
          <w:szCs w:val="21"/>
        </w:rPr>
      </w:pPr>
      <w:r>
        <w:rPr>
          <w:rFonts w:hint="eastAsia" w:ascii="宋体" w:hAnsi="宋体" w:cs="宋体"/>
          <w:szCs w:val="21"/>
        </w:rPr>
        <w:t>（4）符合要求的投标人一览表。</w:t>
      </w:r>
    </w:p>
    <w:p w14:paraId="48CEAAAF">
      <w:pPr>
        <w:spacing w:line="440" w:lineRule="exact"/>
        <w:ind w:left="-420" w:leftChars="-200" w:firstLine="315" w:firstLineChars="150"/>
        <w:rPr>
          <w:rFonts w:hint="eastAsia" w:ascii="宋体" w:hAnsi="宋体" w:cs="宋体"/>
          <w:szCs w:val="21"/>
        </w:rPr>
      </w:pPr>
      <w:r>
        <w:rPr>
          <w:rFonts w:hint="eastAsia" w:ascii="宋体" w:hAnsi="宋体" w:cs="宋体"/>
          <w:szCs w:val="21"/>
        </w:rPr>
        <w:t>（5）评审标准、评标办法或者评审因素。</w:t>
      </w:r>
    </w:p>
    <w:p w14:paraId="2ADC33B8">
      <w:pPr>
        <w:spacing w:line="440" w:lineRule="exact"/>
        <w:ind w:left="-420" w:leftChars="-200" w:firstLine="315" w:firstLineChars="150"/>
        <w:rPr>
          <w:rFonts w:hint="eastAsia" w:ascii="宋体" w:hAnsi="宋体" w:cs="宋体"/>
          <w:szCs w:val="21"/>
        </w:rPr>
      </w:pPr>
      <w:r>
        <w:rPr>
          <w:rFonts w:hint="eastAsia" w:ascii="宋体" w:hAnsi="宋体" w:cs="宋体"/>
          <w:szCs w:val="21"/>
        </w:rPr>
        <w:t>（6）经评审的投标人排序。</w:t>
      </w:r>
    </w:p>
    <w:p w14:paraId="4495924A">
      <w:pPr>
        <w:spacing w:line="440" w:lineRule="exact"/>
        <w:ind w:left="-420" w:leftChars="-200" w:firstLine="315" w:firstLineChars="150"/>
        <w:rPr>
          <w:rFonts w:hint="eastAsia" w:ascii="宋体" w:hAnsi="宋体" w:cs="宋体"/>
          <w:szCs w:val="21"/>
        </w:rPr>
      </w:pPr>
      <w:r>
        <w:rPr>
          <w:rFonts w:hint="eastAsia" w:ascii="宋体" w:hAnsi="宋体" w:cs="宋体"/>
          <w:szCs w:val="21"/>
        </w:rPr>
        <w:t>（7）推荐的中标候选人名单与签订合同前要处理的事宜。</w:t>
      </w:r>
    </w:p>
    <w:p w14:paraId="549C3E89">
      <w:pPr>
        <w:spacing w:line="440" w:lineRule="exact"/>
        <w:ind w:left="-420" w:leftChars="-200" w:firstLine="315" w:firstLineChars="150"/>
        <w:rPr>
          <w:rFonts w:hint="eastAsia" w:ascii="宋体" w:hAnsi="宋体" w:cs="宋体"/>
          <w:szCs w:val="21"/>
        </w:rPr>
      </w:pPr>
      <w:r>
        <w:rPr>
          <w:rFonts w:hint="eastAsia" w:ascii="宋体" w:hAnsi="宋体" w:cs="宋体"/>
          <w:szCs w:val="21"/>
        </w:rPr>
        <w:t>（8）澄清、说明、补正事项纪要。</w:t>
      </w:r>
    </w:p>
    <w:p w14:paraId="06F0F296">
      <w:pPr>
        <w:spacing w:line="440" w:lineRule="exact"/>
        <w:ind w:left="-420" w:leftChars="-200" w:firstLine="315" w:firstLineChars="150"/>
        <w:rPr>
          <w:rFonts w:hint="eastAsia" w:ascii="宋体" w:hAnsi="宋体" w:cs="宋体"/>
          <w:szCs w:val="21"/>
        </w:rPr>
      </w:pPr>
      <w:r>
        <w:rPr>
          <w:rFonts w:hint="eastAsia" w:ascii="宋体" w:hAnsi="宋体" w:cs="宋体"/>
          <w:szCs w:val="21"/>
        </w:rPr>
        <w:t>6.3资格审查委员会推荐的中标候选人应当限定在</w:t>
      </w:r>
      <w:r>
        <w:rPr>
          <w:rFonts w:hint="eastAsia" w:ascii="宋体" w:hAnsi="宋体" w:cs="宋体"/>
          <w:szCs w:val="21"/>
          <w:lang w:val="en-US" w:eastAsia="zh-CN"/>
        </w:rPr>
        <w:t>3</w:t>
      </w:r>
      <w:r>
        <w:rPr>
          <w:rFonts w:hint="eastAsia" w:ascii="宋体" w:hAnsi="宋体" w:cs="宋体"/>
          <w:szCs w:val="21"/>
        </w:rPr>
        <w:t>名。</w:t>
      </w:r>
    </w:p>
    <w:p w14:paraId="592CD33D">
      <w:pPr>
        <w:spacing w:before="93" w:beforeLines="30" w:after="93" w:afterLines="30" w:line="440" w:lineRule="exact"/>
        <w:ind w:left="-420" w:leftChars="-200" w:firstLine="361" w:firstLineChars="150"/>
        <w:rPr>
          <w:rFonts w:hint="eastAsia" w:ascii="宋体" w:hAnsi="宋体" w:cs="宋体"/>
          <w:b/>
          <w:bCs/>
          <w:sz w:val="24"/>
        </w:rPr>
      </w:pPr>
      <w:bookmarkStart w:id="95" w:name="_Toc506107332"/>
      <w:bookmarkStart w:id="96" w:name="_Toc324404880"/>
      <w:bookmarkStart w:id="97" w:name="_Toc37230767"/>
      <w:bookmarkStart w:id="98" w:name="_Toc15058926"/>
      <w:r>
        <w:rPr>
          <w:rFonts w:hint="eastAsia" w:ascii="宋体" w:hAnsi="宋体" w:cs="宋体"/>
          <w:b/>
          <w:bCs/>
          <w:sz w:val="24"/>
          <w:lang w:val="en-US" w:eastAsia="zh-CN"/>
        </w:rPr>
        <w:t>9</w:t>
      </w:r>
      <w:r>
        <w:rPr>
          <w:rFonts w:hint="eastAsia" w:ascii="宋体" w:hAnsi="宋体" w:cs="宋体"/>
          <w:b/>
          <w:bCs/>
          <w:sz w:val="24"/>
        </w:rPr>
        <w:t>.其他</w:t>
      </w:r>
      <w:bookmarkEnd w:id="95"/>
      <w:bookmarkEnd w:id="96"/>
      <w:bookmarkEnd w:id="97"/>
      <w:bookmarkEnd w:id="98"/>
    </w:p>
    <w:p w14:paraId="4819A914">
      <w:pPr>
        <w:spacing w:line="440" w:lineRule="exact"/>
        <w:ind w:left="-420" w:leftChars="-200" w:firstLine="315" w:firstLineChars="150"/>
        <w:rPr>
          <w:rFonts w:hint="eastAsia" w:ascii="宋体" w:hAnsi="宋体" w:cs="宋体"/>
          <w:szCs w:val="21"/>
        </w:rPr>
      </w:pPr>
      <w:r>
        <w:rPr>
          <w:rFonts w:hint="eastAsia" w:ascii="宋体" w:hAnsi="宋体" w:cs="宋体"/>
          <w:szCs w:val="21"/>
        </w:rPr>
        <w:t>投标人提供的与投标文件有关的各类证书、证明、文件、资料等的真实性、合法性由投标人负全责。</w:t>
      </w:r>
    </w:p>
    <w:p w14:paraId="53600F67">
      <w:pPr>
        <w:pStyle w:val="153"/>
        <w:rPr>
          <w:rFonts w:hint="eastAsia"/>
        </w:rPr>
        <w:sectPr>
          <w:footerReference r:id="rId10" w:type="default"/>
          <w:pgSz w:w="11906" w:h="16838"/>
          <w:pgMar w:top="1247" w:right="1472" w:bottom="1247" w:left="1814" w:header="851" w:footer="992" w:gutter="0"/>
          <w:pgNumType w:fmt="decimal"/>
          <w:cols w:space="720" w:num="1"/>
          <w:docGrid w:type="lines" w:linePitch="312" w:charSpace="0"/>
        </w:sectPr>
      </w:pPr>
    </w:p>
    <w:bookmarkEnd w:id="82"/>
    <w:p w14:paraId="60FFA5D6">
      <w:pPr>
        <w:pStyle w:val="6"/>
        <w:pageBreakBefore w:val="0"/>
        <w:kinsoku/>
        <w:wordWrap/>
        <w:overflowPunct/>
        <w:topLinePunct w:val="0"/>
        <w:autoSpaceDE/>
        <w:autoSpaceDN/>
        <w:bidi w:val="0"/>
        <w:spacing w:before="0" w:after="0" w:line="560" w:lineRule="exact"/>
        <w:textAlignment w:val="auto"/>
        <w:outlineLvl w:val="0"/>
        <w:rPr>
          <w:rFonts w:hint="eastAsia" w:ascii="宋体" w:hAnsi="宋体" w:eastAsia="宋体" w:cs="宋体"/>
          <w:color w:val="auto"/>
          <w:kern w:val="2"/>
          <w:sz w:val="28"/>
          <w:szCs w:val="28"/>
          <w:highlight w:val="none"/>
        </w:rPr>
      </w:pPr>
      <w:bookmarkStart w:id="99" w:name="_Toc13446"/>
      <w:bookmarkStart w:id="100" w:name="_Toc58430328"/>
      <w:r>
        <w:rPr>
          <w:rFonts w:hint="eastAsia" w:ascii="宋体" w:hAnsi="宋体" w:eastAsia="宋体" w:cs="宋体"/>
          <w:color w:val="auto"/>
          <w:kern w:val="2"/>
          <w:sz w:val="28"/>
          <w:szCs w:val="28"/>
          <w:highlight w:val="none"/>
          <w:lang w:val="en-US" w:eastAsia="zh-CN"/>
        </w:rPr>
        <w:t>第四章</w:t>
      </w:r>
      <w:r>
        <w:rPr>
          <w:rFonts w:hint="eastAsia" w:ascii="宋体" w:hAnsi="宋体" w:eastAsia="宋体" w:cs="宋体"/>
          <w:color w:val="auto"/>
          <w:kern w:val="2"/>
          <w:sz w:val="28"/>
          <w:szCs w:val="28"/>
          <w:highlight w:val="none"/>
        </w:rPr>
        <w:t xml:space="preserve">  采购需求及服务要求</w:t>
      </w:r>
      <w:bookmarkEnd w:id="60"/>
      <w:bookmarkEnd w:id="99"/>
      <w:bookmarkEnd w:id="100"/>
    </w:p>
    <w:p w14:paraId="1FD9CA5E">
      <w:pPr>
        <w:widowControl/>
        <w:snapToGrid w:val="0"/>
        <w:spacing w:line="440" w:lineRule="exact"/>
        <w:ind w:firstLine="482" w:firstLineChars="200"/>
        <w:textAlignment w:val="baseline"/>
        <w:rPr>
          <w:rFonts w:ascii="黑体" w:hAnsi="黑体" w:eastAsia="黑体" w:cs="黑体"/>
          <w:b/>
          <w:color w:val="auto"/>
          <w:kern w:val="0"/>
          <w:sz w:val="24"/>
          <w:u w:val="none" w:color="000000"/>
        </w:rPr>
      </w:pPr>
      <w:bookmarkStart w:id="101" w:name="_Toc14427"/>
      <w:bookmarkStart w:id="102" w:name="_Toc25362"/>
      <w:r>
        <w:rPr>
          <w:rFonts w:hint="eastAsia" w:ascii="黑体" w:hAnsi="黑体" w:eastAsia="黑体" w:cs="黑体"/>
          <w:b/>
          <w:color w:val="auto"/>
          <w:kern w:val="0"/>
          <w:sz w:val="24"/>
          <w:u w:val="none" w:color="000000"/>
        </w:rPr>
        <w:t>一、项目跟踪（结算）审计内容</w:t>
      </w:r>
    </w:p>
    <w:p w14:paraId="655CCB13">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lang w:val="en-US" w:eastAsia="zh-CN"/>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1</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成立项目跟踪（结算）审计组，编制跟踪（结算）审计实施方案，确定投资控制目标、重点环节及应对措施</w:t>
      </w:r>
      <w:r>
        <w:rPr>
          <w:rFonts w:hint="eastAsia" w:ascii="宋体" w:hAnsi="宋体" w:eastAsia="宋体" w:cs="宋体"/>
          <w:color w:val="auto"/>
          <w:kern w:val="0"/>
          <w:szCs w:val="21"/>
          <w:u w:val="none" w:color="000000"/>
          <w:lang w:val="en-US" w:eastAsia="zh-CN"/>
        </w:rPr>
        <w:t>。</w:t>
      </w:r>
    </w:p>
    <w:p w14:paraId="14403F20">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2</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审核项目前期资料（图纸、工程量清单及控制价、招标投标文件、施工合同等），向甲方提交审核结果；</w:t>
      </w:r>
    </w:p>
    <w:p w14:paraId="3A380DCC">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3</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对承包方上报的请款期已完成合格工程量的计量、计价进行审核，并提供按工程形象进度付款的意见、建议；</w:t>
      </w:r>
    </w:p>
    <w:p w14:paraId="34131AE0">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4</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及时核定分阶段完工的项目分部、分项工程价款结算，项目竣工后，及时提交完整的竣工结算审核报告；</w:t>
      </w:r>
    </w:p>
    <w:p w14:paraId="74326443">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5</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协助甲方及时审核设计变更、经济签证等发生的费用，超过一定限额的，提请甲方履行报批程序；</w:t>
      </w:r>
    </w:p>
    <w:p w14:paraId="1D939603">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6</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项目承、发包方发生工程价款结算争议时，为甲方提供咨询意见；</w:t>
      </w:r>
    </w:p>
    <w:p w14:paraId="6CDE210C">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7</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 xml:space="preserve">参与项目建设管理的有关会议，对项目投资控制的有关事项发表独立审计意见； </w:t>
      </w:r>
    </w:p>
    <w:p w14:paraId="2C7386A7">
      <w:pPr>
        <w:widowControl/>
        <w:snapToGrid w:val="0"/>
        <w:spacing w:line="440" w:lineRule="exact"/>
        <w:ind w:firstLine="420" w:firstLineChars="200"/>
        <w:textAlignment w:val="baseline"/>
        <w:rPr>
          <w:rFonts w:hint="eastAsia" w:ascii="宋体" w:hAnsi="宋体" w:eastAsia="宋体" w:cs="宋体"/>
          <w:color w:val="auto"/>
          <w:kern w:val="0"/>
          <w:szCs w:val="21"/>
          <w:u w:val="none" w:color="000000"/>
        </w:rPr>
      </w:pP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lang w:val="en-US" w:eastAsia="zh-CN"/>
        </w:rPr>
        <w:t>8</w:t>
      </w:r>
      <w:r>
        <w:rPr>
          <w:rFonts w:hint="eastAsia" w:ascii="宋体" w:hAnsi="宋体" w:eastAsia="宋体" w:cs="宋体"/>
          <w:color w:val="auto"/>
          <w:kern w:val="0"/>
          <w:szCs w:val="21"/>
          <w:u w:val="none" w:color="000000"/>
          <w:lang w:eastAsia="zh-CN"/>
        </w:rPr>
        <w:t>）</w:t>
      </w:r>
      <w:r>
        <w:rPr>
          <w:rFonts w:hint="eastAsia" w:ascii="宋体" w:hAnsi="宋体" w:eastAsia="宋体" w:cs="宋体"/>
          <w:color w:val="auto"/>
          <w:kern w:val="0"/>
          <w:szCs w:val="21"/>
          <w:u w:val="none" w:color="000000"/>
        </w:rPr>
        <w:t>其他与项目投资控制相关的工作。</w:t>
      </w:r>
    </w:p>
    <w:p w14:paraId="3C3A282F">
      <w:pPr>
        <w:keepNext w:val="0"/>
        <w:keepLines w:val="0"/>
        <w:pageBreakBefore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cs="宋体"/>
          <w:color w:val="auto"/>
          <w:kern w:val="0"/>
          <w:highlight w:val="none"/>
        </w:rPr>
      </w:pPr>
    </w:p>
    <w:p w14:paraId="71168505">
      <w:pPr>
        <w:keepNext w:val="0"/>
        <w:keepLines w:val="0"/>
        <w:pageBreakBefore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cs="宋体"/>
          <w:color w:val="auto"/>
          <w:kern w:val="0"/>
          <w:highlight w:val="none"/>
        </w:rPr>
      </w:pPr>
    </w:p>
    <w:p w14:paraId="3F2D48F8">
      <w:pPr>
        <w:pStyle w:val="6"/>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14:paraId="468F2D22">
      <w:pPr>
        <w:rPr>
          <w:rFonts w:hint="eastAsia" w:ascii="宋体" w:hAnsi="宋体" w:eastAsia="宋体" w:cs="宋体"/>
          <w:color w:val="auto"/>
          <w:kern w:val="2"/>
          <w:sz w:val="28"/>
          <w:szCs w:val="28"/>
          <w:highlight w:val="none"/>
        </w:rPr>
      </w:pPr>
    </w:p>
    <w:p w14:paraId="205FD257">
      <w:pPr>
        <w:rPr>
          <w:rFonts w:hint="eastAsia" w:ascii="宋体" w:hAnsi="宋体" w:eastAsia="宋体" w:cs="宋体"/>
          <w:color w:val="auto"/>
          <w:kern w:val="2"/>
          <w:sz w:val="28"/>
          <w:szCs w:val="28"/>
          <w:highlight w:val="none"/>
        </w:rPr>
      </w:pPr>
    </w:p>
    <w:p w14:paraId="6EF27655">
      <w:pPr>
        <w:rPr>
          <w:rFonts w:hint="eastAsia" w:ascii="宋体" w:hAnsi="宋体" w:eastAsia="宋体" w:cs="宋体"/>
          <w:color w:val="auto"/>
          <w:kern w:val="2"/>
          <w:sz w:val="28"/>
          <w:szCs w:val="28"/>
          <w:highlight w:val="none"/>
        </w:rPr>
      </w:pPr>
    </w:p>
    <w:p w14:paraId="2388FBA3">
      <w:pPr>
        <w:rPr>
          <w:rFonts w:hint="eastAsia" w:ascii="宋体" w:hAnsi="宋体" w:eastAsia="宋体" w:cs="宋体"/>
          <w:color w:val="auto"/>
          <w:kern w:val="2"/>
          <w:sz w:val="28"/>
          <w:szCs w:val="28"/>
          <w:highlight w:val="none"/>
        </w:rPr>
      </w:pPr>
    </w:p>
    <w:p w14:paraId="33EF4671">
      <w:pPr>
        <w:rPr>
          <w:rFonts w:hint="eastAsia" w:ascii="宋体" w:hAnsi="宋体" w:eastAsia="宋体" w:cs="宋体"/>
          <w:color w:val="auto"/>
          <w:kern w:val="2"/>
          <w:sz w:val="28"/>
          <w:szCs w:val="28"/>
          <w:highlight w:val="none"/>
        </w:rPr>
      </w:pPr>
    </w:p>
    <w:p w14:paraId="3D76C681">
      <w:pPr>
        <w:rPr>
          <w:rFonts w:hint="eastAsia" w:ascii="宋体" w:hAnsi="宋体" w:eastAsia="宋体" w:cs="宋体"/>
          <w:color w:val="auto"/>
          <w:kern w:val="2"/>
          <w:sz w:val="28"/>
          <w:szCs w:val="28"/>
          <w:highlight w:val="none"/>
        </w:rPr>
      </w:pPr>
    </w:p>
    <w:p w14:paraId="74F30C35">
      <w:pPr>
        <w:rPr>
          <w:rFonts w:hint="eastAsia" w:ascii="宋体" w:hAnsi="宋体" w:eastAsia="宋体" w:cs="宋体"/>
          <w:color w:val="auto"/>
          <w:kern w:val="2"/>
          <w:sz w:val="28"/>
          <w:szCs w:val="28"/>
          <w:highlight w:val="none"/>
        </w:rPr>
      </w:pPr>
    </w:p>
    <w:p w14:paraId="3501683B">
      <w:pPr>
        <w:rPr>
          <w:rFonts w:hint="eastAsia" w:ascii="宋体" w:hAnsi="宋体" w:eastAsia="宋体" w:cs="宋体"/>
          <w:color w:val="auto"/>
          <w:kern w:val="2"/>
          <w:sz w:val="28"/>
          <w:szCs w:val="28"/>
          <w:highlight w:val="none"/>
        </w:rPr>
      </w:pPr>
    </w:p>
    <w:p w14:paraId="115F903A">
      <w:pPr>
        <w:rPr>
          <w:rFonts w:hint="eastAsia" w:ascii="宋体" w:hAnsi="宋体" w:eastAsia="宋体" w:cs="宋体"/>
          <w:color w:val="auto"/>
          <w:kern w:val="2"/>
          <w:sz w:val="28"/>
          <w:szCs w:val="28"/>
          <w:highlight w:val="none"/>
        </w:rPr>
      </w:pPr>
    </w:p>
    <w:p w14:paraId="7905CE21">
      <w:pPr>
        <w:rPr>
          <w:rFonts w:hint="eastAsia" w:ascii="宋体" w:hAnsi="宋体" w:eastAsia="宋体" w:cs="宋体"/>
          <w:color w:val="auto"/>
          <w:kern w:val="2"/>
          <w:sz w:val="28"/>
          <w:szCs w:val="28"/>
          <w:highlight w:val="none"/>
        </w:rPr>
      </w:pPr>
    </w:p>
    <w:p w14:paraId="42671023">
      <w:pPr>
        <w:pStyle w:val="6"/>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14:paraId="06A58CDD">
      <w:pPr>
        <w:pStyle w:val="6"/>
        <w:pageBreakBefore w:val="0"/>
        <w:kinsoku/>
        <w:wordWrap/>
        <w:overflowPunct/>
        <w:topLinePunct w:val="0"/>
        <w:autoSpaceDE/>
        <w:autoSpaceDN/>
        <w:bidi w:val="0"/>
        <w:spacing w:before="0" w:after="0" w:line="560" w:lineRule="exact"/>
        <w:textAlignment w:val="auto"/>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五</w:t>
      </w:r>
      <w:r>
        <w:rPr>
          <w:rFonts w:hint="eastAsia" w:ascii="宋体" w:hAnsi="宋体" w:eastAsia="宋体" w:cs="宋体"/>
          <w:color w:val="auto"/>
          <w:kern w:val="2"/>
          <w:sz w:val="28"/>
          <w:szCs w:val="28"/>
          <w:highlight w:val="none"/>
        </w:rPr>
        <w:t>章  合同条款</w:t>
      </w:r>
      <w:bookmarkEnd w:id="53"/>
      <w:bookmarkEnd w:id="54"/>
      <w:bookmarkEnd w:id="55"/>
      <w:bookmarkEnd w:id="101"/>
      <w:bookmarkEnd w:id="102"/>
    </w:p>
    <w:p w14:paraId="433DAB76">
      <w:pPr>
        <w:spacing w:before="304" w:beforeLines="100" w:after="304" w:afterLines="100" w:line="400" w:lineRule="exact"/>
        <w:jc w:val="center"/>
        <w:outlineLvl w:val="1"/>
        <w:rPr>
          <w:rFonts w:hint="eastAsia" w:ascii="汉仪大黑简" w:hAnsi="汉仪大黑简" w:eastAsia="汉仪大黑简" w:cs="汉仪大黑简"/>
          <w:b w:val="0"/>
          <w:color w:val="auto"/>
          <w:sz w:val="28"/>
          <w:szCs w:val="28"/>
          <w:highlight w:val="none"/>
        </w:rPr>
      </w:pPr>
      <w:bookmarkStart w:id="103" w:name="_Toc1578578393_WPSOffice_Level2"/>
      <w:bookmarkStart w:id="104" w:name="_Toc1828535363_WPSOffice_Level2"/>
      <w:bookmarkStart w:id="105" w:name="_Toc229131940_WPSOffice_Level2"/>
      <w:bookmarkStart w:id="106" w:name="_Toc1066543778_WPSOffice_Level2"/>
      <w:bookmarkStart w:id="107" w:name="_Toc2057459953_WPSOffice_Level2"/>
      <w:bookmarkStart w:id="108" w:name="_Toc1318110684_WPSOffice_Level2"/>
      <w:bookmarkStart w:id="109" w:name="_Toc21427"/>
      <w:bookmarkStart w:id="110" w:name="_Toc1270188953_WPSOffice_Level2"/>
      <w:r>
        <w:rPr>
          <w:rFonts w:hint="eastAsia" w:ascii="汉仪大黑简" w:hAnsi="汉仪大黑简" w:eastAsia="汉仪大黑简" w:cs="汉仪大黑简"/>
          <w:b w:val="0"/>
          <w:color w:val="auto"/>
          <w:sz w:val="28"/>
          <w:szCs w:val="28"/>
          <w:highlight w:val="none"/>
        </w:rPr>
        <w:t>安徽省建设工程造价咨询合同</w:t>
      </w:r>
      <w:bookmarkEnd w:id="103"/>
      <w:bookmarkEnd w:id="104"/>
      <w:bookmarkEnd w:id="105"/>
      <w:bookmarkEnd w:id="106"/>
      <w:bookmarkEnd w:id="107"/>
      <w:r>
        <w:rPr>
          <w:rFonts w:hint="eastAsia" w:ascii="汉仪大黑简" w:hAnsi="汉仪大黑简" w:eastAsia="汉仪大黑简" w:cs="汉仪大黑简"/>
          <w:b w:val="0"/>
          <w:color w:val="auto"/>
          <w:sz w:val="28"/>
          <w:szCs w:val="28"/>
          <w:highlight w:val="none"/>
        </w:rPr>
        <w:t>（ＷＦ－2014－05）</w:t>
      </w:r>
      <w:bookmarkEnd w:id="108"/>
      <w:bookmarkEnd w:id="109"/>
      <w:bookmarkEnd w:id="110"/>
    </w:p>
    <w:p w14:paraId="4E09C861">
      <w:pPr>
        <w:numPr>
          <w:ilvl w:val="0"/>
          <w:numId w:val="0"/>
        </w:numPr>
        <w:jc w:val="both"/>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w:t>
      </w:r>
      <w:r>
        <w:rPr>
          <w:rFonts w:hint="eastAsia" w:ascii="Times New Roman" w:hAnsi="Times New Roman" w:eastAsia="仿宋_GB2312"/>
          <w:color w:val="auto"/>
          <w:sz w:val="32"/>
          <w:szCs w:val="32"/>
          <w:highlight w:val="none"/>
        </w:rPr>
        <w:t>ＷＦ－</w:t>
      </w:r>
      <w:r>
        <w:rPr>
          <w:rFonts w:ascii="Times New Roman" w:hAnsi="Times New Roman" w:eastAsia="仿宋_GB2312"/>
          <w:color w:val="auto"/>
          <w:sz w:val="32"/>
          <w:szCs w:val="32"/>
          <w:highlight w:val="none"/>
        </w:rPr>
        <w:t>2014</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05</w:t>
      </w:r>
      <w:r>
        <w:rPr>
          <w:rFonts w:hint="eastAsia" w:ascii="Times New Roman" w:hAnsi="Times New Roman" w:eastAsia="仿宋_GB2312"/>
          <w:bCs/>
          <w:color w:val="auto"/>
          <w:sz w:val="32"/>
          <w:szCs w:val="32"/>
          <w:highlight w:val="none"/>
        </w:rPr>
        <w:t>）</w:t>
      </w:r>
    </w:p>
    <w:p w14:paraId="6828F4C7">
      <w:pPr>
        <w:pStyle w:val="2"/>
        <w:rPr>
          <w:rFonts w:hint="eastAsia"/>
          <w:color w:val="auto"/>
          <w:highlight w:val="none"/>
        </w:rPr>
      </w:pPr>
    </w:p>
    <w:p w14:paraId="0E77C047">
      <w:pPr>
        <w:pStyle w:val="34"/>
        <w:rPr>
          <w:rFonts w:hint="eastAsia"/>
          <w:color w:val="auto"/>
          <w:highlight w:val="none"/>
        </w:rPr>
      </w:pPr>
    </w:p>
    <w:p w14:paraId="727D886E">
      <w:pPr>
        <w:spacing w:line="360" w:lineRule="auto"/>
        <w:jc w:val="center"/>
        <w:rPr>
          <w:rFonts w:ascii="Times New Roman" w:hAnsi="Times New Roman" w:eastAsia="华文中宋"/>
          <w:b/>
          <w:color w:val="auto"/>
          <w:w w:val="90"/>
          <w:sz w:val="52"/>
          <w:szCs w:val="52"/>
          <w:highlight w:val="none"/>
        </w:rPr>
      </w:pPr>
      <w:r>
        <w:rPr>
          <w:rFonts w:hint="eastAsia" w:ascii="Times New Roman" w:hAnsi="Times New Roman" w:eastAsia="华文中宋"/>
          <w:b/>
          <w:color w:val="auto"/>
          <w:w w:val="90"/>
          <w:sz w:val="52"/>
          <w:szCs w:val="52"/>
          <w:highlight w:val="none"/>
        </w:rPr>
        <w:t>安徽省建设工程造价咨询合同</w:t>
      </w:r>
    </w:p>
    <w:p w14:paraId="62D2AB4C">
      <w:pPr>
        <w:spacing w:line="360" w:lineRule="auto"/>
        <w:jc w:val="center"/>
        <w:rPr>
          <w:rFonts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（示范文本）</w:t>
      </w:r>
    </w:p>
    <w:p w14:paraId="7EF5E3C7">
      <w:pPr>
        <w:jc w:val="center"/>
        <w:rPr>
          <w:rFonts w:hint="eastAsia" w:ascii="Times New Roman" w:hAnsi="Times New Roman" w:eastAsia="华文中宋"/>
          <w:b/>
          <w:color w:val="auto"/>
          <w:sz w:val="52"/>
          <w:szCs w:val="52"/>
          <w:highlight w:val="none"/>
        </w:rPr>
      </w:pPr>
    </w:p>
    <w:p w14:paraId="365056AF">
      <w:pPr>
        <w:jc w:val="center"/>
        <w:rPr>
          <w:rFonts w:ascii="Times New Roman" w:hAnsi="Times New Roman" w:eastAsia="楷体_GB2312"/>
          <w:b/>
          <w:color w:val="auto"/>
          <w:sz w:val="72"/>
          <w:szCs w:val="72"/>
          <w:highlight w:val="none"/>
        </w:rPr>
      </w:pPr>
    </w:p>
    <w:p w14:paraId="1595972C">
      <w:pPr>
        <w:spacing w:line="240" w:lineRule="exact"/>
        <w:jc w:val="center"/>
        <w:rPr>
          <w:rFonts w:ascii="Times New Roman" w:hAnsi="Times New Roman" w:eastAsia="楷体_GB2312"/>
          <w:b/>
          <w:color w:val="auto"/>
          <w:sz w:val="72"/>
          <w:szCs w:val="72"/>
          <w:highlight w:val="none"/>
        </w:rPr>
      </w:pPr>
    </w:p>
    <w:p w14:paraId="67959E43">
      <w:pPr>
        <w:spacing w:line="240" w:lineRule="exact"/>
        <w:jc w:val="center"/>
        <w:rPr>
          <w:rFonts w:ascii="Times New Roman" w:hAnsi="Times New Roman" w:eastAsia="楷体_GB2312"/>
          <w:b/>
          <w:color w:val="auto"/>
          <w:sz w:val="72"/>
          <w:szCs w:val="72"/>
          <w:highlight w:val="none"/>
        </w:rPr>
      </w:pPr>
    </w:p>
    <w:p w14:paraId="3A099864">
      <w:pPr>
        <w:pStyle w:val="2"/>
        <w:rPr>
          <w:rFonts w:ascii="Times New Roman" w:hAnsi="Times New Roman" w:eastAsia="楷体_GB2312"/>
          <w:b/>
          <w:color w:val="auto"/>
          <w:sz w:val="72"/>
          <w:szCs w:val="72"/>
          <w:highlight w:val="none"/>
        </w:rPr>
      </w:pPr>
    </w:p>
    <w:p w14:paraId="09DCF2AE">
      <w:pPr>
        <w:spacing w:line="240" w:lineRule="exact"/>
        <w:jc w:val="both"/>
        <w:rPr>
          <w:rFonts w:ascii="Times New Roman" w:hAnsi="Times New Roman" w:eastAsia="楷体_GB2312"/>
          <w:b/>
          <w:color w:val="auto"/>
          <w:sz w:val="72"/>
          <w:szCs w:val="72"/>
          <w:highlight w:val="none"/>
        </w:rPr>
      </w:pPr>
    </w:p>
    <w:p w14:paraId="4C4B50BB">
      <w:pPr>
        <w:spacing w:line="240" w:lineRule="exact"/>
        <w:jc w:val="center"/>
        <w:rPr>
          <w:rFonts w:ascii="Times New Roman" w:hAnsi="Times New Roman" w:eastAsia="楷体_GB2312"/>
          <w:b/>
          <w:color w:val="auto"/>
          <w:sz w:val="72"/>
          <w:szCs w:val="72"/>
          <w:highlight w:val="none"/>
        </w:rPr>
      </w:pPr>
    </w:p>
    <w:p w14:paraId="3DA7C4DD">
      <w:pPr>
        <w:spacing w:line="800" w:lineRule="exact"/>
        <w:ind w:firstLine="1066" w:firstLineChars="295"/>
        <w:rPr>
          <w:rFonts w:ascii="Calibri" w:hAnsi="Calibri" w:eastAsia="楷体_GB2312"/>
          <w:b/>
          <w:bCs/>
          <w:color w:val="auto"/>
          <w:sz w:val="36"/>
          <w:szCs w:val="30"/>
          <w:highlight w:val="none"/>
          <w:u w:val="single"/>
        </w:rPr>
      </w:pPr>
      <w:r>
        <w:rPr>
          <w:rFonts w:hint="eastAsia" w:eastAsia="楷体_GB2312"/>
          <w:b/>
          <w:color w:val="auto"/>
          <w:sz w:val="36"/>
          <w:szCs w:val="30"/>
          <w:highlight w:val="none"/>
        </w:rPr>
        <w:t>合同编号：</w:t>
      </w:r>
      <w:r>
        <w:rPr>
          <w:rFonts w:eastAsia="楷体_GB2312"/>
          <w:b/>
          <w:color w:val="auto"/>
          <w:sz w:val="36"/>
          <w:szCs w:val="30"/>
          <w:highlight w:val="none"/>
          <w:u w:val="single"/>
        </w:rPr>
        <w:t xml:space="preserve">                         </w:t>
      </w:r>
    </w:p>
    <w:p w14:paraId="75B6E2CA">
      <w:pPr>
        <w:pStyle w:val="26"/>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签订地点：</w:t>
      </w:r>
      <w:r>
        <w:rPr>
          <w:rFonts w:eastAsia="楷体_GB2312"/>
          <w:b/>
          <w:color w:val="auto"/>
          <w:sz w:val="36"/>
          <w:szCs w:val="30"/>
          <w:highlight w:val="none"/>
          <w:u w:val="single"/>
        </w:rPr>
        <w:t xml:space="preserve">                         </w:t>
      </w:r>
    </w:p>
    <w:p w14:paraId="00E9F180">
      <w:pPr>
        <w:pStyle w:val="26"/>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签订时间：</w:t>
      </w:r>
      <w:r>
        <w:rPr>
          <w:rFonts w:eastAsia="楷体_GB2312"/>
          <w:b/>
          <w:color w:val="auto"/>
          <w:sz w:val="36"/>
          <w:szCs w:val="30"/>
          <w:highlight w:val="none"/>
          <w:u w:val="single"/>
        </w:rPr>
        <w:t xml:space="preserve">          </w:t>
      </w:r>
      <w:r>
        <w:rPr>
          <w:rFonts w:hint="eastAsia" w:eastAsia="楷体_GB2312"/>
          <w:b/>
          <w:color w:val="auto"/>
          <w:sz w:val="36"/>
          <w:szCs w:val="30"/>
          <w:highlight w:val="none"/>
        </w:rPr>
        <w:t>年</w:t>
      </w:r>
      <w:r>
        <w:rPr>
          <w:rFonts w:eastAsia="楷体_GB2312"/>
          <w:b/>
          <w:color w:val="auto"/>
          <w:sz w:val="36"/>
          <w:szCs w:val="30"/>
          <w:highlight w:val="none"/>
          <w:u w:val="single"/>
        </w:rPr>
        <w:t xml:space="preserve">     </w:t>
      </w:r>
      <w:r>
        <w:rPr>
          <w:rFonts w:hint="eastAsia" w:eastAsia="楷体_GB2312"/>
          <w:b/>
          <w:color w:val="auto"/>
          <w:sz w:val="36"/>
          <w:szCs w:val="30"/>
          <w:highlight w:val="none"/>
        </w:rPr>
        <w:t>月</w:t>
      </w:r>
      <w:r>
        <w:rPr>
          <w:rFonts w:eastAsia="楷体_GB2312"/>
          <w:b/>
          <w:color w:val="auto"/>
          <w:sz w:val="36"/>
          <w:szCs w:val="30"/>
          <w:highlight w:val="none"/>
          <w:u w:val="single"/>
        </w:rPr>
        <w:t xml:space="preserve">     </w:t>
      </w:r>
      <w:r>
        <w:rPr>
          <w:rFonts w:hint="eastAsia" w:eastAsia="楷体_GB2312"/>
          <w:b/>
          <w:color w:val="auto"/>
          <w:sz w:val="36"/>
          <w:szCs w:val="30"/>
          <w:highlight w:val="none"/>
        </w:rPr>
        <w:t>日</w:t>
      </w:r>
    </w:p>
    <w:p w14:paraId="5136EE9D">
      <w:pPr>
        <w:widowControl/>
        <w:spacing w:beforeAutospacing="1" w:afterAutospacing="1"/>
        <w:jc w:val="left"/>
        <w:rPr>
          <w:rFonts w:ascii="华文中宋" w:hAnsi="华文中宋" w:eastAsia="华文中宋"/>
          <w:color w:val="auto"/>
          <w:spacing w:val="20"/>
          <w:kern w:val="0"/>
          <w:sz w:val="32"/>
          <w:szCs w:val="32"/>
          <w:highlight w:val="none"/>
        </w:rPr>
        <w:sectPr>
          <w:footerReference r:id="rId11" w:type="default"/>
          <w:pgSz w:w="11906" w:h="16838"/>
          <w:pgMar w:top="1418" w:right="1418" w:bottom="1418" w:left="1418" w:header="851" w:footer="907" w:gutter="0"/>
          <w:pgNumType w:fmt="decimal"/>
          <w:cols w:space="720" w:num="1"/>
          <w:docGrid w:type="lines" w:linePitch="312" w:charSpace="0"/>
        </w:sectPr>
      </w:pPr>
    </w:p>
    <w:p w14:paraId="1916ED76">
      <w:pPr>
        <w:pStyle w:val="6"/>
        <w:keepNext/>
        <w:keepLines/>
        <w:pageBreakBefore w:val="0"/>
        <w:widowControl w:val="0"/>
        <w:tabs>
          <w:tab w:val="left" w:pos="432"/>
        </w:tabs>
        <w:kinsoku/>
        <w:wordWrap/>
        <w:overflowPunct/>
        <w:topLinePunct w:val="0"/>
        <w:autoSpaceDE/>
        <w:autoSpaceDN/>
        <w:bidi w:val="0"/>
        <w:adjustRightInd/>
        <w:snapToGrid/>
        <w:spacing w:before="161" w:beforeLines="50" w:after="161" w:afterLines="50" w:line="440" w:lineRule="exact"/>
        <w:jc w:val="center"/>
        <w:textAlignment w:val="auto"/>
        <w:rPr>
          <w:rFonts w:hint="eastAsia" w:ascii="宋体" w:hAnsi="宋体" w:eastAsia="宋体" w:cs="宋体"/>
          <w:color w:val="auto"/>
          <w:sz w:val="28"/>
          <w:szCs w:val="28"/>
          <w:highlight w:val="none"/>
        </w:rPr>
      </w:pPr>
      <w:bookmarkStart w:id="111" w:name="_Toc407261892"/>
      <w:r>
        <w:rPr>
          <w:rFonts w:hint="eastAsia" w:ascii="宋体" w:hAnsi="宋体" w:eastAsia="宋体" w:cs="宋体"/>
          <w:color w:val="auto"/>
          <w:sz w:val="28"/>
          <w:szCs w:val="28"/>
          <w:highlight w:val="none"/>
        </w:rPr>
        <w:t>第一部分  合同协议书</w:t>
      </w:r>
      <w:bookmarkEnd w:id="111"/>
    </w:p>
    <w:p w14:paraId="66B79EB7">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14:paraId="0C2A81FB">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rPr>
        <w:t xml:space="preserve">                                  </w:t>
      </w:r>
    </w:p>
    <w:p w14:paraId="661D166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工程造价咨询及有关事项协商一致，共同达成如下协议：</w:t>
      </w:r>
    </w:p>
    <w:p w14:paraId="7069EFD8">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203B3C7">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C130B4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0C00E0D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Cs/>
          <w:color w:val="auto"/>
          <w:sz w:val="21"/>
          <w:szCs w:val="21"/>
          <w:highlight w:val="none"/>
        </w:rPr>
        <w:t>工程规模：</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1902B88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333F84C5">
      <w:pPr>
        <w:spacing w:line="460" w:lineRule="exact"/>
        <w:ind w:left="-199" w:leftChars="-95" w:right="-185" w:rightChars="-88" w:firstLine="420" w:firstLineChars="200"/>
        <w:rPr>
          <w:rFonts w:hint="eastAsia" w:ascii="宋体" w:hAnsi="宋体" w:cs="宋体"/>
          <w:bCs/>
          <w:color w:val="auto"/>
          <w:szCs w:val="21"/>
          <w:highlight w:val="none"/>
          <w:u w:val="none"/>
        </w:rPr>
      </w:pPr>
      <w:r>
        <w:rPr>
          <w:rFonts w:hint="eastAsia" w:ascii="宋体" w:hAnsi="宋体" w:cs="宋体"/>
          <w:color w:val="auto"/>
          <w:szCs w:val="21"/>
          <w:highlight w:val="none"/>
          <w:u w:val="none"/>
        </w:rPr>
        <w:t>1</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包括但不限于</w:t>
      </w:r>
      <w:r>
        <w:rPr>
          <w:rFonts w:hint="eastAsia" w:ascii="宋体" w:hAnsi="宋体" w:cs="宋体"/>
          <w:color w:val="auto"/>
          <w:szCs w:val="21"/>
          <w:highlight w:val="none"/>
          <w:u w:val="none"/>
          <w:lang w:val="en-US" w:eastAsia="zh-CN"/>
        </w:rPr>
        <w:t>工程全过程</w:t>
      </w:r>
      <w:r>
        <w:rPr>
          <w:rFonts w:hint="eastAsia" w:ascii="宋体" w:hAnsi="宋体" w:cs="宋体"/>
          <w:color w:val="auto"/>
          <w:szCs w:val="21"/>
          <w:highlight w:val="none"/>
          <w:u w:val="none"/>
        </w:rPr>
        <w:t>跟踪（结算）审计</w:t>
      </w:r>
      <w:r>
        <w:rPr>
          <w:rFonts w:hint="eastAsia" w:ascii="宋体" w:hAnsi="宋体" w:cs="宋体"/>
          <w:color w:val="auto"/>
          <w:szCs w:val="21"/>
          <w:highlight w:val="none"/>
          <w:u w:val="none"/>
          <w:lang w:val="en-US" w:eastAsia="zh-CN"/>
        </w:rPr>
        <w:t>服务</w:t>
      </w:r>
      <w:r>
        <w:rPr>
          <w:rFonts w:hint="eastAsia" w:ascii="宋体" w:hAnsi="宋体" w:cs="宋体"/>
          <w:bCs/>
          <w:color w:val="auto"/>
          <w:szCs w:val="21"/>
          <w:highlight w:val="none"/>
          <w:u w:val="none"/>
        </w:rPr>
        <w:t>；</w:t>
      </w:r>
    </w:p>
    <w:p w14:paraId="225CAB36">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（1）成立项目跟踪（结算）审计组，编制跟踪（结算）审计实施方案，确定投资控制目标、重点环节及应对措施； </w:t>
      </w:r>
    </w:p>
    <w:p w14:paraId="58968043">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（2）审核项目前期资料（图纸、工程量清单及控制价、招标投标文件、施工合同等），向甲方提交审核结果；</w:t>
      </w:r>
    </w:p>
    <w:p w14:paraId="223DC1B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（3）对承包方上报的请款期已完成合格工程量的计量、计价进行审核，并提供按工程形象进度付款的意见、建议；</w:t>
      </w:r>
    </w:p>
    <w:p w14:paraId="2BCC0CF1">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（4）及时核定分阶段完工的项目分部、分项工程价款结算，项目竣工后，及时提交完整的竣工结算审核报告；</w:t>
      </w:r>
    </w:p>
    <w:p w14:paraId="17C70B9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（5）协助甲方及时审核设计变更、经济签证等发生的费用，超过一定限额的，提请甲方履行报批程序；</w:t>
      </w:r>
    </w:p>
    <w:p w14:paraId="274B126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（6）项目承、发包方发生工程价款结算争议时，为甲方提供咨询意见；</w:t>
      </w:r>
    </w:p>
    <w:p w14:paraId="2755F86E">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（7）参与项目建设管理的有关会议，对项目投资控制的有关事项发表独立审计意见； </w:t>
      </w:r>
    </w:p>
    <w:p w14:paraId="270313C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（8）其他与项目投资控制相关的工作。</w:t>
      </w:r>
    </w:p>
    <w:p w14:paraId="0CC4C25D">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default" w:ascii="宋体" w:hAnsi="宋体" w:eastAsia="宋体" w:cs="宋体"/>
          <w:bCs/>
          <w:color w:val="auto"/>
          <w:sz w:val="21"/>
          <w:szCs w:val="21"/>
          <w:highlight w:val="none"/>
          <w:u w:val="none"/>
          <w:lang w:val="en-US" w:eastAsia="zh-CN"/>
        </w:rPr>
      </w:pPr>
      <w:r>
        <w:rPr>
          <w:rFonts w:hint="eastAsia" w:ascii="宋体" w:hAnsi="宋体" w:cs="宋体"/>
          <w:color w:val="auto"/>
          <w:szCs w:val="21"/>
          <w:highlight w:val="none"/>
          <w:u w:val="none"/>
          <w:lang w:val="en-US" w:eastAsia="zh-CN"/>
        </w:rPr>
        <w:t>2.</w:t>
      </w:r>
      <w:r>
        <w:rPr>
          <w:rFonts w:hint="eastAsia" w:ascii="宋体" w:hAnsi="宋体" w:cs="宋体"/>
          <w:bCs/>
          <w:color w:val="auto"/>
          <w:szCs w:val="21"/>
          <w:highlight w:val="none"/>
          <w:u w:val="none"/>
        </w:rPr>
        <w:t>提供驻场服务等项目过程中有关一切造价的咨询服务。</w:t>
      </w:r>
    </w:p>
    <w:p w14:paraId="1F5DFB6D">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0B7B98F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20CEBD1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4456F424">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4FF8AB06">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工程造价咨询成果文件质量符合</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标准</w:t>
      </w:r>
      <w:r>
        <w:rPr>
          <w:rFonts w:hint="eastAsia" w:ascii="宋体" w:hAnsi="宋体" w:eastAsia="宋体" w:cs="宋体"/>
          <w:color w:val="auto"/>
          <w:sz w:val="21"/>
          <w:szCs w:val="21"/>
          <w:highlight w:val="none"/>
          <w:lang w:val="en-US" w:eastAsia="zh-CN"/>
        </w:rPr>
        <w:t>和委托人要求</w:t>
      </w:r>
      <w:r>
        <w:rPr>
          <w:rFonts w:hint="eastAsia" w:ascii="宋体" w:hAnsi="宋体" w:eastAsia="宋体" w:cs="宋体"/>
          <w:color w:val="auto"/>
          <w:sz w:val="21"/>
          <w:szCs w:val="21"/>
          <w:highlight w:val="none"/>
        </w:rPr>
        <w:t>。</w:t>
      </w:r>
    </w:p>
    <w:p w14:paraId="29A07BEB">
      <w:pPr>
        <w:keepNext w:val="0"/>
        <w:keepLines w:val="0"/>
        <w:pageBreakBefore w:val="0"/>
        <w:widowControl w:val="0"/>
        <w:numPr>
          <w:ilvl w:val="0"/>
          <w:numId w:val="2"/>
        </w:numPr>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rPr>
        <w:t>咨询酬金</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u w:val="none"/>
          <w:lang w:val="en-US" w:eastAsia="zh-CN"/>
        </w:rPr>
        <w:t xml:space="preserve"> 基本费率</w:t>
      </w:r>
      <w:bookmarkStart w:id="164" w:name="_GoBack"/>
      <w:r>
        <w:rPr>
          <w:rFonts w:hint="eastAsia" w:ascii="宋体" w:hAnsi="宋体" w:cs="宋体"/>
          <w:b/>
          <w:bCs/>
          <w:color w:val="auto"/>
          <w:sz w:val="21"/>
          <w:szCs w:val="21"/>
          <w:highlight w:val="none"/>
          <w:u w:val="single"/>
          <w:lang w:val="en-US" w:eastAsia="zh-CN"/>
        </w:rPr>
        <w:t xml:space="preserve">    </w:t>
      </w:r>
      <w:bookmarkEnd w:id="164"/>
      <w:r>
        <w:rPr>
          <w:rFonts w:hint="eastAsia" w:ascii="宋体" w:hAnsi="宋体" w:cs="宋体"/>
          <w:b/>
          <w:bCs/>
          <w:color w:val="auto"/>
          <w:sz w:val="21"/>
          <w:szCs w:val="21"/>
          <w:highlight w:val="none"/>
          <w:u w:val="none"/>
          <w:lang w:val="en-US" w:eastAsia="zh-CN"/>
        </w:rPr>
        <w:t>‰；审核成果费率1.5%。</w:t>
      </w:r>
      <w:r>
        <w:rPr>
          <w:rFonts w:hint="eastAsia" w:ascii="宋体" w:hAnsi="宋体" w:eastAsia="宋体" w:cs="宋体"/>
          <w:b/>
          <w:bCs/>
          <w:color w:val="auto"/>
          <w:sz w:val="21"/>
          <w:szCs w:val="21"/>
          <w:highlight w:val="none"/>
          <w:u w:val="none"/>
        </w:rPr>
        <w:t xml:space="preserve">   </w:t>
      </w:r>
    </w:p>
    <w:p w14:paraId="0D0F68B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注：</w:t>
      </w:r>
    </w:p>
    <w:p w14:paraId="23B7552F">
      <w:pPr>
        <w:keepNext w:val="0"/>
        <w:keepLines w:val="0"/>
        <w:pageBreakBefore w:val="0"/>
        <w:widowControl w:val="0"/>
        <w:numPr>
          <w:ilvl w:val="0"/>
          <w:numId w:val="0"/>
        </w:numPr>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u w:val="none"/>
        </w:rPr>
        <w:t>服务费计算方式为：</w:t>
      </w:r>
      <w:r>
        <w:rPr>
          <w:rFonts w:hint="eastAsia" w:ascii="宋体" w:hAnsi="宋体" w:eastAsia="宋体" w:cs="宋体"/>
          <w:b/>
          <w:bCs/>
          <w:color w:val="auto"/>
          <w:sz w:val="21"/>
          <w:szCs w:val="21"/>
          <w:highlight w:val="none"/>
          <w:u w:val="none"/>
          <w:lang w:val="en-US" w:eastAsia="zh-CN"/>
        </w:rPr>
        <w:t>工程结算审定金额×中标基本费率+结算审计净核减额*1.5%</w:t>
      </w:r>
      <w:r>
        <w:rPr>
          <w:rFonts w:hint="eastAsia" w:ascii="宋体" w:hAnsi="宋体" w:eastAsia="宋体" w:cs="宋体"/>
          <w:b/>
          <w:bCs/>
          <w:color w:val="auto"/>
          <w:sz w:val="21"/>
          <w:szCs w:val="21"/>
          <w:highlight w:val="none"/>
          <w:u w:val="none"/>
        </w:rPr>
        <w:t>。</w:t>
      </w:r>
    </w:p>
    <w:p w14:paraId="0EAA3A8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default"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eastAsia="zh-CN"/>
        </w:rPr>
        <w:t>（</w:t>
      </w:r>
      <w:r>
        <w:rPr>
          <w:rFonts w:hint="eastAsia" w:ascii="宋体" w:hAnsi="宋体" w:cs="宋体"/>
          <w:b/>
          <w:bCs/>
          <w:color w:val="auto"/>
          <w:sz w:val="21"/>
          <w:szCs w:val="21"/>
          <w:highlight w:val="none"/>
          <w:u w:val="none"/>
          <w:lang w:val="en-US" w:eastAsia="zh-CN"/>
        </w:rPr>
        <w:t>2</w:t>
      </w:r>
      <w:r>
        <w:rPr>
          <w:rFonts w:hint="eastAsia" w:ascii="宋体" w:hAnsi="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工程造价审减率超过</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%时，将对施工单位进行处罚，处罚金额为审减率超出</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%以上的报送金额的</w:t>
      </w:r>
      <w:r>
        <w:rPr>
          <w:rFonts w:hint="eastAsia" w:ascii="宋体" w:hAnsi="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rPr>
        <w:t>%。审减率超过</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w:t>
      </w:r>
      <w:r>
        <w:rPr>
          <w:rFonts w:hint="eastAsia" w:ascii="宋体" w:hAnsi="宋体" w:eastAsia="宋体" w:cs="宋体"/>
          <w:b/>
          <w:bCs/>
          <w:color w:val="auto"/>
          <w:sz w:val="21"/>
          <w:szCs w:val="21"/>
          <w:highlight w:val="none"/>
          <w:u w:val="none"/>
          <w:lang w:eastAsia="zh-CN"/>
        </w:rPr>
        <w:t>的</w:t>
      </w:r>
      <w:r>
        <w:rPr>
          <w:rFonts w:hint="eastAsia" w:ascii="宋体" w:hAnsi="宋体" w:eastAsia="宋体" w:cs="宋体"/>
          <w:b/>
          <w:bCs/>
          <w:color w:val="auto"/>
          <w:sz w:val="21"/>
          <w:szCs w:val="21"/>
          <w:highlight w:val="none"/>
          <w:u w:val="none"/>
          <w:lang w:val="en-US" w:eastAsia="zh-CN"/>
        </w:rPr>
        <w:t>审核成果费用由施工单位支付。</w:t>
      </w:r>
    </w:p>
    <w:p w14:paraId="5C6F893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single"/>
        </w:rPr>
      </w:pPr>
      <w:r>
        <w:rPr>
          <w:rFonts w:hint="eastAsia" w:ascii="宋体" w:hAnsi="宋体" w:cs="宋体"/>
          <w:b/>
          <w:bCs/>
          <w:color w:val="auto"/>
          <w:sz w:val="21"/>
          <w:szCs w:val="21"/>
          <w:highlight w:val="none"/>
          <w:u w:val="none"/>
          <w:lang w:val="en-US" w:eastAsia="zh-CN"/>
        </w:rPr>
        <w:t>六、</w:t>
      </w:r>
      <w:r>
        <w:rPr>
          <w:rFonts w:hint="eastAsia" w:ascii="宋体" w:hAnsi="宋体" w:eastAsia="宋体" w:cs="宋体"/>
          <w:b/>
          <w:bCs/>
          <w:color w:val="auto"/>
          <w:sz w:val="21"/>
          <w:szCs w:val="21"/>
          <w:highlight w:val="none"/>
          <w:u w:val="none"/>
        </w:rPr>
        <w:t>支付方式：</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p>
    <w:p w14:paraId="23A98D33">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、合同文件构成</w:t>
      </w:r>
    </w:p>
    <w:p w14:paraId="5342C82B">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49C9CF61">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C50CBDE">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 xml:space="preserve">投标函及其附录（如果有）； </w:t>
      </w:r>
    </w:p>
    <w:p w14:paraId="74402F4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7DB6C5E9">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0261E531">
      <w:pPr>
        <w:keepNext w:val="0"/>
        <w:keepLines w:val="0"/>
        <w:pageBreakBefore w:val="0"/>
        <w:widowControl w:val="0"/>
        <w:kinsoku/>
        <w:wordWrap/>
        <w:overflowPunct/>
        <w:topLinePunct w:val="0"/>
        <w:autoSpaceDE w:val="0"/>
        <w:autoSpaceDN w:val="0"/>
        <w:bidi w:val="0"/>
        <w:adjustRightInd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2B70E28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E086C0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、词语含义</w:t>
      </w:r>
    </w:p>
    <w:p w14:paraId="1C44B248">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6C0DBF1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、签订时间</w:t>
      </w:r>
    </w:p>
    <w:p w14:paraId="2AF57E3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20FDF25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、签订地点</w:t>
      </w:r>
    </w:p>
    <w:p w14:paraId="6970B6C6">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w:t>
      </w:r>
    </w:p>
    <w:p w14:paraId="2D7B95EA">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、补充协议</w:t>
      </w:r>
    </w:p>
    <w:p w14:paraId="78569D4E">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4170398">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、合同生效</w:t>
      </w:r>
    </w:p>
    <w:p w14:paraId="68FF0DA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3B8BE615">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、合同份数</w:t>
      </w:r>
    </w:p>
    <w:p w14:paraId="76B34D90">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2A022B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14:paraId="2C56532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14:paraId="1F6B9E2E">
      <w:pPr>
        <w:keepNext w:val="0"/>
        <w:keepLines w:val="0"/>
        <w:pageBreakBefore w:val="0"/>
        <w:widowControl w:val="0"/>
        <w:tabs>
          <w:tab w:val="left" w:pos="4830"/>
        </w:tabs>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咨询人：  (公章)</w:t>
      </w:r>
    </w:p>
    <w:p w14:paraId="22AF190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14:paraId="763BBD6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7C3632E3">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220DC75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14:paraId="76968D0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14:paraId="7A70311A">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35F5B0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30999047">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0D46C47">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3272944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61C7ECFA">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751D1674">
      <w:pPr>
        <w:pageBreakBefore w:val="0"/>
        <w:widowControl/>
        <w:numPr>
          <w:ilvl w:val="0"/>
          <w:numId w:val="3"/>
        </w:numPr>
        <w:kinsoku/>
        <w:wordWrap/>
        <w:overflowPunct/>
        <w:topLinePunct w:val="0"/>
        <w:bidi w:val="0"/>
        <w:spacing w:line="440" w:lineRule="exact"/>
        <w:ind w:left="-199" w:leftChars="-95" w:right="-185" w:rightChars="-88" w:firstLine="0" w:firstLineChars="0"/>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0"/>
          <w:sz w:val="21"/>
          <w:szCs w:val="21"/>
          <w:highlight w:val="none"/>
        </w:rPr>
        <w:br w:type="page"/>
      </w:r>
      <w:bookmarkStart w:id="112" w:name="_Toc407261893"/>
      <w:r>
        <w:rPr>
          <w:rFonts w:hint="eastAsia" w:ascii="宋体" w:hAnsi="宋体" w:eastAsia="宋体" w:cs="宋体"/>
          <w:b/>
          <w:bCs/>
          <w:color w:val="auto"/>
          <w:kern w:val="44"/>
          <w:sz w:val="28"/>
          <w:szCs w:val="28"/>
          <w:highlight w:val="none"/>
          <w:lang w:val="en-US" w:eastAsia="zh-CN" w:bidi="ar-SA"/>
        </w:rPr>
        <w:t xml:space="preserve"> 通用合同条款</w:t>
      </w:r>
      <w:bookmarkEnd w:id="112"/>
      <w:bookmarkStart w:id="113" w:name="_Toc407261894"/>
    </w:p>
    <w:bookmarkEnd w:id="113"/>
    <w:p w14:paraId="7769EB2C">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执行安徽省住房和城乡建设厅和</w:t>
      </w:r>
      <w:r>
        <w:rPr>
          <w:rFonts w:hint="eastAsia" w:ascii="宋体" w:hAnsi="宋体" w:eastAsia="宋体" w:cs="宋体"/>
          <w:b/>
          <w:color w:val="auto"/>
          <w:spacing w:val="20"/>
          <w:sz w:val="24"/>
          <w:szCs w:val="24"/>
          <w:highlight w:val="none"/>
        </w:rPr>
        <w:t>安徽省工商行政管理局联合制定的、2014年12月23日颁布实施的《安徽省建设工程造价咨询合同》</w:t>
      </w:r>
      <w:r>
        <w:rPr>
          <w:rFonts w:hint="eastAsia" w:ascii="宋体" w:hAnsi="宋体" w:eastAsia="宋体" w:cs="宋体"/>
          <w:b/>
          <w:color w:val="auto"/>
          <w:sz w:val="24"/>
          <w:szCs w:val="24"/>
          <w:highlight w:val="none"/>
        </w:rPr>
        <w:t>（编号：ＷＦ－2014－05）中的“通用合同条款”。</w:t>
      </w:r>
    </w:p>
    <w:p w14:paraId="3E75B444">
      <w:pPr>
        <w:keepNext w:val="0"/>
        <w:keepLines w:val="0"/>
        <w:pageBreakBefore w:val="0"/>
        <w:widowControl w:val="0"/>
        <w:kinsoku/>
        <w:wordWrap/>
        <w:overflowPunct/>
        <w:topLinePunct w:val="0"/>
        <w:autoSpaceDE/>
        <w:autoSpaceDN/>
        <w:bidi w:val="0"/>
        <w:adjustRightInd/>
        <w:snapToGrid/>
        <w:spacing w:before="161" w:beforeLines="50" w:after="161" w:afterLines="50" w:line="440" w:lineRule="exact"/>
        <w:ind w:left="-199" w:leftChars="-95" w:right="-185" w:rightChars="-88"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14" w:name="_Toc407261943"/>
      <w:r>
        <w:rPr>
          <w:rFonts w:hint="eastAsia" w:ascii="宋体" w:hAnsi="宋体" w:eastAsia="宋体" w:cs="宋体"/>
          <w:b/>
          <w:bCs/>
          <w:color w:val="auto"/>
          <w:kern w:val="44"/>
          <w:sz w:val="28"/>
          <w:szCs w:val="28"/>
          <w:highlight w:val="none"/>
        </w:rPr>
        <w:t>第三部分  专用合同条款</w:t>
      </w:r>
      <w:bookmarkEnd w:id="114"/>
      <w:bookmarkStart w:id="115" w:name="_Toc351203633"/>
      <w:bookmarkStart w:id="116" w:name="_Toc407261944"/>
    </w:p>
    <w:p w14:paraId="709F06D5">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bookmarkStart w:id="117" w:name="_Toc292559866"/>
      <w:bookmarkStart w:id="118" w:name="_Toc296347155"/>
      <w:bookmarkStart w:id="119" w:name="_Toc297120456"/>
      <w:bookmarkStart w:id="120" w:name="_Toc296890984"/>
      <w:bookmarkStart w:id="121" w:name="_Toc296891196"/>
      <w:bookmarkStart w:id="122" w:name="_Toc296944495"/>
      <w:bookmarkStart w:id="123" w:name="_Toc292559361"/>
      <w:bookmarkStart w:id="124" w:name="_Toc297048342"/>
      <w:bookmarkStart w:id="125" w:name="_Toc296503156"/>
      <w:bookmarkStart w:id="126" w:name="_Toc296346657"/>
      <w:r>
        <w:rPr>
          <w:rFonts w:hint="eastAsia" w:ascii="宋体" w:hAnsi="宋体" w:eastAsia="宋体" w:cs="宋体"/>
          <w:b/>
          <w:bCs/>
          <w:color w:val="auto"/>
          <w:sz w:val="21"/>
          <w:szCs w:val="21"/>
          <w:highlight w:val="none"/>
        </w:rPr>
        <w:t>. 一般约定</w:t>
      </w:r>
      <w:bookmarkEnd w:id="115"/>
      <w:bookmarkEnd w:id="116"/>
    </w:p>
    <w:bookmarkEnd w:id="117"/>
    <w:bookmarkEnd w:id="118"/>
    <w:bookmarkEnd w:id="119"/>
    <w:bookmarkEnd w:id="120"/>
    <w:bookmarkEnd w:id="121"/>
    <w:bookmarkEnd w:id="122"/>
    <w:bookmarkEnd w:id="123"/>
    <w:bookmarkEnd w:id="124"/>
    <w:bookmarkEnd w:id="125"/>
    <w:bookmarkEnd w:id="126"/>
    <w:p w14:paraId="3F71179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1.3法律</w:t>
      </w:r>
    </w:p>
    <w:p w14:paraId="457FC80C">
      <w:pPr>
        <w:pageBreakBefore w:val="0"/>
        <w:kinsoku/>
        <w:wordWrap/>
        <w:overflowPunct/>
        <w:topLinePunct w:val="0"/>
        <w:autoSpaceDE w:val="0"/>
        <w:autoSpaceDN w:val="0"/>
        <w:bidi w:val="0"/>
        <w:adjustRightInd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53E9E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标准和规范</w:t>
      </w:r>
    </w:p>
    <w:p w14:paraId="4ED9C40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7496667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合同文件的优先顺序</w:t>
      </w:r>
    </w:p>
    <w:p w14:paraId="2B6A749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13A4136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联络</w:t>
      </w:r>
    </w:p>
    <w:p w14:paraId="41089B3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8AC7D9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 xml:space="preserve"> 委托人接收文件的地点：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CA30E9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E1774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71703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0D81C9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486C6E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D138940">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27" w:name="_Toc351203634"/>
      <w:bookmarkStart w:id="128" w:name="_Toc407261945"/>
      <w:r>
        <w:rPr>
          <w:rFonts w:hint="eastAsia" w:ascii="宋体" w:hAnsi="宋体" w:eastAsia="宋体" w:cs="宋体"/>
          <w:b/>
          <w:bCs/>
          <w:color w:val="auto"/>
          <w:sz w:val="21"/>
          <w:szCs w:val="21"/>
          <w:highlight w:val="none"/>
        </w:rPr>
        <w:t>2</w:t>
      </w:r>
      <w:bookmarkStart w:id="129" w:name="_Toc296890985"/>
      <w:bookmarkStart w:id="130" w:name="_Toc292559362"/>
      <w:bookmarkStart w:id="131" w:name="_Toc296503157"/>
      <w:bookmarkStart w:id="132" w:name="_Toc296891197"/>
      <w:bookmarkStart w:id="133" w:name="_Toc292559867"/>
      <w:bookmarkStart w:id="134" w:name="_Toc297048343"/>
      <w:bookmarkStart w:id="135" w:name="_Toc296944496"/>
      <w:bookmarkStart w:id="136" w:name="_Toc296346658"/>
      <w:bookmarkStart w:id="137" w:name="_Toc297120457"/>
      <w:bookmarkStart w:id="138" w:name="_Toc296347156"/>
      <w:r>
        <w:rPr>
          <w:rFonts w:hint="eastAsia" w:ascii="宋体" w:hAnsi="宋体" w:eastAsia="宋体" w:cs="宋体"/>
          <w:b/>
          <w:bCs/>
          <w:color w:val="auto"/>
          <w:sz w:val="21"/>
          <w:szCs w:val="21"/>
          <w:highlight w:val="none"/>
        </w:rPr>
        <w:t>. 委托人</w:t>
      </w:r>
      <w:bookmarkEnd w:id="127"/>
      <w:bookmarkEnd w:id="128"/>
    </w:p>
    <w:bookmarkEnd w:id="129"/>
    <w:bookmarkEnd w:id="130"/>
    <w:bookmarkEnd w:id="131"/>
    <w:bookmarkEnd w:id="132"/>
    <w:bookmarkEnd w:id="133"/>
    <w:bookmarkEnd w:id="134"/>
    <w:bookmarkEnd w:id="135"/>
    <w:bookmarkEnd w:id="136"/>
    <w:bookmarkEnd w:id="137"/>
    <w:bookmarkEnd w:id="138"/>
    <w:p w14:paraId="4E3BF7C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委托人代表</w:t>
      </w:r>
    </w:p>
    <w:p w14:paraId="26A9294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13CFE6A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461C43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02414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22F263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63E62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977C08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C1DC4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BFF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提供资料</w:t>
      </w:r>
    </w:p>
    <w:p w14:paraId="52E4B07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图纸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1AF7DB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86874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BE0E1E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 答复</w:t>
      </w:r>
    </w:p>
    <w:p w14:paraId="24F558C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D59F4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139" w:name="_Toc407261946"/>
    </w:p>
    <w:p w14:paraId="103C247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咨询人</w:t>
      </w:r>
      <w:bookmarkEnd w:id="139"/>
    </w:p>
    <w:p w14:paraId="485B963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项目负责人</w:t>
      </w:r>
    </w:p>
    <w:p w14:paraId="154A62E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0937BB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55393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0AC40B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9D0BE5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698054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45482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FC29B7">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工程造价专业人员</w:t>
      </w:r>
    </w:p>
    <w:p w14:paraId="7EA3D13E">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 xml:space="preserve"> 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DE54E34">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A86D83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 xml:space="preserve"> 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01EF06">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 xml:space="preserve"> 咨询人安排的工程造价专业人员</w:t>
      </w:r>
      <w:r>
        <w:rPr>
          <w:rFonts w:hint="eastAsia" w:ascii="宋体" w:hAnsi="宋体" w:eastAsia="宋体" w:cs="宋体"/>
          <w:color w:val="auto"/>
          <w:kern w:val="0"/>
          <w:sz w:val="21"/>
          <w:szCs w:val="21"/>
          <w:highlight w:val="none"/>
        </w:rPr>
        <w:t>每月在施工现场的时间要</w:t>
      </w:r>
      <w:r>
        <w:rPr>
          <w:rFonts w:hint="eastAsia" w:ascii="宋体" w:hAnsi="宋体" w:eastAsia="宋体" w:cs="宋体"/>
          <w:color w:val="auto"/>
          <w:kern w:val="0"/>
          <w:sz w:val="21"/>
          <w:szCs w:val="21"/>
          <w:highlight w:val="none"/>
          <w:lang w:val="en-US" w:eastAsia="zh-CN"/>
        </w:rPr>
        <w:t>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F0423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874DBB">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 xml:space="preserve"> 咨询人无正当理由拒绝撤换工程造价专业人员的违约责任：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D5EA326">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40" w:name="_Toc407261947"/>
      <w:r>
        <w:rPr>
          <w:rFonts w:hint="eastAsia" w:ascii="宋体" w:hAnsi="宋体" w:eastAsia="宋体" w:cs="宋体"/>
          <w:b/>
          <w:bCs/>
          <w:color w:val="auto"/>
          <w:sz w:val="21"/>
          <w:szCs w:val="21"/>
          <w:highlight w:val="none"/>
        </w:rPr>
        <w:t>4. 咨询业务范围和工作内容</w:t>
      </w:r>
      <w:bookmarkEnd w:id="140"/>
    </w:p>
    <w:p w14:paraId="4AE2ACC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 咨询工作内容</w:t>
      </w:r>
    </w:p>
    <w:p w14:paraId="448F8D1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cs="宋体"/>
          <w:color w:val="auto"/>
          <w:szCs w:val="21"/>
          <w:highlight w:val="none"/>
          <w:u w:val="single"/>
          <w:lang w:val="en-US" w:eastAsia="zh-CN"/>
        </w:rPr>
        <w:t>包括但不限于工程全过程</w:t>
      </w:r>
      <w:r>
        <w:rPr>
          <w:rFonts w:hint="eastAsia" w:ascii="宋体" w:hAnsi="宋体" w:cs="宋体"/>
          <w:color w:val="auto"/>
          <w:szCs w:val="21"/>
          <w:highlight w:val="none"/>
          <w:u w:val="single"/>
        </w:rPr>
        <w:t>跟踪（结算）审计</w:t>
      </w:r>
      <w:r>
        <w:rPr>
          <w:rFonts w:hint="eastAsia" w:ascii="宋体" w:hAnsi="宋体" w:cs="宋体"/>
          <w:color w:val="auto"/>
          <w:szCs w:val="21"/>
          <w:highlight w:val="none"/>
          <w:u w:val="single"/>
          <w:lang w:val="en-US" w:eastAsia="zh-CN"/>
        </w:rPr>
        <w:t>服务</w:t>
      </w:r>
      <w:r>
        <w:rPr>
          <w:rFonts w:hint="eastAsia" w:ascii="宋体" w:hAnsi="宋体" w:cs="宋体"/>
          <w:bCs/>
          <w:color w:val="auto"/>
          <w:sz w:val="21"/>
          <w:szCs w:val="21"/>
          <w:highlight w:val="none"/>
          <w:u w:val="single"/>
          <w:lang w:val="en-US" w:eastAsia="zh-CN"/>
        </w:rPr>
        <w:t>；提供驻场服务等项目过程中有关一切造价的咨询服务</w:t>
      </w:r>
      <w:r>
        <w:rPr>
          <w:rFonts w:hint="eastAsia" w:ascii="宋体" w:hAnsi="宋体" w:eastAsia="宋体" w:cs="宋体"/>
          <w:color w:val="auto"/>
          <w:sz w:val="21"/>
          <w:szCs w:val="21"/>
          <w:highlight w:val="none"/>
          <w:u w:val="single" w:color="auto"/>
        </w:rPr>
        <w:t>。</w:t>
      </w:r>
    </w:p>
    <w:p w14:paraId="4CEDE86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41" w:name="_Toc407261948"/>
      <w:r>
        <w:rPr>
          <w:rFonts w:hint="eastAsia" w:ascii="宋体" w:hAnsi="宋体" w:eastAsia="宋体" w:cs="宋体"/>
          <w:b/>
          <w:bCs/>
          <w:color w:val="auto"/>
          <w:sz w:val="21"/>
          <w:szCs w:val="21"/>
          <w:highlight w:val="none"/>
        </w:rPr>
        <w:t>5. 咨询期限</w:t>
      </w:r>
      <w:bookmarkEnd w:id="141"/>
    </w:p>
    <w:p w14:paraId="12AC793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咨询期限延误</w:t>
      </w:r>
    </w:p>
    <w:p w14:paraId="6F95B7A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 xml:space="preserve"> 因委托人原因导致咨询期限延误</w:t>
      </w:r>
    </w:p>
    <w:p w14:paraId="6E0C782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rPr>
        <w:t>。</w:t>
      </w:r>
    </w:p>
    <w:p w14:paraId="6A057D9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bookmarkStart w:id="142" w:name="_Toc300934970"/>
      <w:bookmarkStart w:id="143" w:name="_Toc297123518"/>
      <w:bookmarkStart w:id="144" w:name="_Toc303539127"/>
      <w:bookmarkStart w:id="145" w:name="_Toc304295548"/>
      <w:bookmarkStart w:id="146" w:name="_Toc297216177"/>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 xml:space="preserve"> 因咨询人原因导致咨询期限延误</w:t>
      </w:r>
    </w:p>
    <w:p w14:paraId="4029BD6F">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47" w:name="_Toc312678013"/>
      <w:bookmarkStart w:id="148" w:name="_Toc312677487"/>
      <w:bookmarkStart w:id="149" w:name="_Toc318581170"/>
      <w:r>
        <w:rPr>
          <w:rFonts w:hint="eastAsia" w:ascii="宋体" w:hAnsi="宋体" w:eastAsia="宋体" w:cs="宋体"/>
          <w:color w:val="auto"/>
          <w:sz w:val="21"/>
          <w:szCs w:val="21"/>
          <w:highlight w:val="none"/>
        </w:rPr>
        <w:t>咨询人原因造成咨询期限延误，逾期完成咨询业务违约金的计算方法为：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bookmarkEnd w:id="142"/>
      <w:bookmarkEnd w:id="143"/>
      <w:bookmarkEnd w:id="144"/>
      <w:bookmarkEnd w:id="145"/>
      <w:bookmarkEnd w:id="146"/>
      <w:bookmarkEnd w:id="147"/>
      <w:bookmarkEnd w:id="148"/>
    </w:p>
    <w:bookmarkEnd w:id="149"/>
    <w:p w14:paraId="40BD8E52">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150" w:name="_Toc312678014"/>
      <w:bookmarkStart w:id="151" w:name="_Toc318581171"/>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50"/>
    <w:bookmarkEnd w:id="151"/>
    <w:p w14:paraId="6B183C2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 xml:space="preserve"> 因第三人原因导致咨询期限延误</w:t>
      </w:r>
    </w:p>
    <w:p w14:paraId="60EF1537">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2A9965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5.3 工程造价咨询成果文件交付期限</w:t>
      </w:r>
    </w:p>
    <w:p w14:paraId="78FC04E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满足招标人实际需求        </w:t>
      </w:r>
      <w:r>
        <w:rPr>
          <w:rFonts w:hint="eastAsia" w:ascii="宋体" w:hAnsi="宋体" w:eastAsia="宋体" w:cs="宋体"/>
          <w:color w:val="auto"/>
          <w:sz w:val="21"/>
          <w:szCs w:val="21"/>
          <w:highlight w:val="none"/>
        </w:rPr>
        <w:t>。</w:t>
      </w:r>
    </w:p>
    <w:p w14:paraId="752315F9">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3天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6AD1B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A1F5FE">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2" w:name="_Toc407261949"/>
      <w:r>
        <w:rPr>
          <w:rFonts w:hint="eastAsia" w:ascii="宋体" w:hAnsi="宋体" w:eastAsia="宋体" w:cs="宋体"/>
          <w:b/>
          <w:bCs/>
          <w:color w:val="auto"/>
          <w:sz w:val="21"/>
          <w:szCs w:val="21"/>
          <w:highlight w:val="none"/>
        </w:rPr>
        <w:t>6. 咨询质量</w:t>
      </w:r>
      <w:bookmarkEnd w:id="152"/>
    </w:p>
    <w:p w14:paraId="2EE914D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 质量要求</w:t>
      </w:r>
    </w:p>
    <w:p w14:paraId="080A138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 xml:space="preserve">  《建设工程造价咨询成果文件质量标准》CECA/GC7-2012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3D2CEB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质量不合格处理</w:t>
      </w:r>
    </w:p>
    <w:p w14:paraId="418DA28E">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ascii="宋体" w:hAnsi="宋体" w:eastAsia="宋体" w:cs="宋体"/>
          <w:b/>
          <w:bCs/>
          <w:color w:val="auto"/>
          <w:szCs w:val="21"/>
          <w:highlight w:val="none"/>
          <w:u w:val="single"/>
          <w:lang w:val="en-US" w:eastAsia="zh-CN"/>
        </w:rPr>
        <w:t xml:space="preserve"> </w:t>
      </w:r>
      <w:r>
        <w:rPr>
          <w:rFonts w:hint="eastAsia" w:ascii="新宋体" w:hAnsi="新宋体" w:eastAsia="新宋体" w:cs="新宋体"/>
          <w:b/>
          <w:bCs/>
          <w:snapToGrid w:val="0"/>
          <w:color w:val="auto"/>
          <w:highlight w:val="none"/>
          <w:u w:val="single"/>
          <w:lang w:val="en-US" w:eastAsia="zh-CN"/>
        </w:rPr>
        <w:t xml:space="preserve">                。</w:t>
      </w:r>
    </w:p>
    <w:p w14:paraId="56EEE674">
      <w:pPr>
        <w:pageBreakBefore w:val="0"/>
        <w:kinsoku/>
        <w:wordWrap/>
        <w:overflowPunct/>
        <w:topLinePunct w:val="0"/>
        <w:bidi w:val="0"/>
        <w:spacing w:line="440" w:lineRule="exact"/>
        <w:ind w:left="-199" w:leftChars="-95" w:right="-185" w:rightChars="-88" w:firstLine="0" w:firstLineChars="0"/>
        <w:jc w:val="left"/>
        <w:rPr>
          <w:rFonts w:hint="default"/>
          <w:color w:val="auto"/>
          <w:highlight w:val="none"/>
          <w:lang w:val="en-US" w:eastAsia="zh-CN"/>
        </w:rPr>
      </w:pPr>
      <w:r>
        <w:rPr>
          <w:rFonts w:hint="eastAsia" w:ascii="宋体" w:hAnsi="宋体" w:eastAsia="宋体" w:cs="宋体"/>
          <w:color w:val="auto"/>
          <w:sz w:val="21"/>
          <w:szCs w:val="21"/>
          <w:highlight w:val="none"/>
        </w:rPr>
        <w:t>因咨询人原因造成工程造价咨询成果文件质量不合格产生的损失赔偿额的计算方法为：</w:t>
      </w:r>
      <w:r>
        <w:rPr>
          <w:rFonts w:hint="eastAsia" w:ascii="宋体" w:hAnsi="宋体" w:eastAsia="宋体" w:cs="宋体"/>
          <w:b/>
          <w:bCs/>
          <w:color w:val="auto"/>
          <w:sz w:val="21"/>
          <w:szCs w:val="21"/>
          <w:highlight w:val="none"/>
          <w:u w:val="single"/>
          <w:lang w:val="en-US" w:eastAsia="zh-CN"/>
        </w:rPr>
        <w:t xml:space="preserve">          。</w:t>
      </w:r>
    </w:p>
    <w:p w14:paraId="75801FB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3" w:name="_Toc407261950"/>
      <w:r>
        <w:rPr>
          <w:rFonts w:hint="eastAsia" w:ascii="宋体" w:hAnsi="宋体" w:eastAsia="宋体" w:cs="宋体"/>
          <w:b/>
          <w:bCs/>
          <w:color w:val="auto"/>
          <w:sz w:val="21"/>
          <w:szCs w:val="21"/>
          <w:highlight w:val="none"/>
        </w:rPr>
        <w:t>7. 咨询酬金</w:t>
      </w:r>
      <w:bookmarkEnd w:id="153"/>
    </w:p>
    <w:p w14:paraId="75E77A28">
      <w:pPr>
        <w:pageBreakBefore w:val="0"/>
        <w:kinsoku/>
        <w:wordWrap/>
        <w:overflowPunct/>
        <w:topLinePunct w:val="0"/>
        <w:bidi w:val="0"/>
        <w:spacing w:line="440" w:lineRule="exact"/>
        <w:ind w:left="-199" w:leftChars="-95" w:right="-185" w:rightChars="-88"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7.1 酬金计算方式</w:t>
      </w:r>
      <w:r>
        <w:rPr>
          <w:rFonts w:hint="eastAsia" w:ascii="宋体" w:hAnsi="宋体" w:eastAsia="宋体" w:cs="宋体"/>
          <w:b/>
          <w:color w:val="auto"/>
          <w:sz w:val="21"/>
          <w:szCs w:val="21"/>
          <w:highlight w:val="none"/>
          <w:lang w:val="en-US" w:eastAsia="zh-CN"/>
        </w:rPr>
        <w:t xml:space="preserve">  </w:t>
      </w:r>
    </w:p>
    <w:p w14:paraId="207B5B6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val="en-US" w:eastAsia="zh-CN"/>
        </w:rPr>
        <w:t>咨询酬金其他计算方式：</w:t>
      </w:r>
      <w:r>
        <w:rPr>
          <w:rFonts w:hint="eastAsia" w:ascii="宋体" w:hAnsi="宋体" w:cs="宋体"/>
          <w:bCs/>
          <w:color w:val="auto"/>
          <w:sz w:val="21"/>
          <w:szCs w:val="21"/>
          <w:highlight w:val="none"/>
          <w:u w:val="single"/>
          <w:lang w:val="en-US" w:eastAsia="zh-CN"/>
        </w:rPr>
        <w:t xml:space="preserve"> 固定费率，工程结算审定金额×中标基本费率+结算审计净核减额*1.5%   </w:t>
      </w:r>
      <w:r>
        <w:rPr>
          <w:rFonts w:hint="eastAsia" w:ascii="宋体" w:hAnsi="宋体" w:eastAsia="宋体" w:cs="宋体"/>
          <w:bCs/>
          <w:color w:val="auto"/>
          <w:sz w:val="21"/>
          <w:szCs w:val="21"/>
          <w:highlight w:val="none"/>
          <w:u w:val="single"/>
          <w:lang w:val="en-US" w:eastAsia="zh-CN"/>
        </w:rPr>
        <w:t>。</w:t>
      </w:r>
    </w:p>
    <w:p w14:paraId="32FBE01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7.1.2</w:t>
      </w:r>
      <w:r>
        <w:rPr>
          <w:rFonts w:hint="eastAsia" w:ascii="宋体" w:hAnsi="宋体" w:eastAsia="宋体" w:cs="宋体"/>
          <w:color w:val="auto"/>
          <w:sz w:val="21"/>
          <w:szCs w:val="21"/>
          <w:highlight w:val="none"/>
        </w:rPr>
        <w:t xml:space="preserve"> 基本酬金加绩效酬金</w:t>
      </w:r>
    </w:p>
    <w:p w14:paraId="0CA9D84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基本酬金比率：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DA37A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绩效酬金比率：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8A9D5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预付酬金</w:t>
      </w:r>
    </w:p>
    <w:p w14:paraId="7CA9BF3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E7171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E43E6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83EDD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 酬金分段结算与支付</w:t>
      </w:r>
    </w:p>
    <w:p w14:paraId="5E33A06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 xml:space="preserve"> 酬金分段结算与支付的比例或金额：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767D6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86656">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 xml:space="preserve"> 委托人审核确认酬金分段结算与支付申请书并完成酬金支付的期限：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CC7FD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 酬金结清与支付</w:t>
      </w:r>
    </w:p>
    <w:p w14:paraId="1D83D38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 xml:space="preserve"> 咨询人提交酬金结清与支付申请书的期限：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145AC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 xml:space="preserve"> 委托人审核确认酬金结清与支付申请书的期限：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AE5739">
      <w:pPr>
        <w:pageBreakBefore w:val="0"/>
        <w:kinsoku/>
        <w:wordWrap/>
        <w:overflowPunct/>
        <w:topLinePunct w:val="0"/>
        <w:bidi w:val="0"/>
        <w:spacing w:line="440" w:lineRule="exact"/>
        <w:ind w:left="-199" w:leftChars="-95" w:right="-185" w:rightChars="-88" w:firstLine="0" w:firstLineChars="0"/>
        <w:rPr>
          <w:rFonts w:hint="eastAsia" w:ascii="宋体" w:hAnsi="宋体" w:cs="宋体"/>
          <w:b/>
          <w:bCs/>
          <w:color w:val="auto"/>
          <w:szCs w:val="21"/>
          <w:highlight w:val="none"/>
          <w:u w:val="single"/>
          <w:lang w:val="en-US" w:eastAsia="zh-CN"/>
        </w:rPr>
      </w:pPr>
      <w:r>
        <w:rPr>
          <w:rFonts w:hint="eastAsia" w:ascii="宋体" w:hAnsi="宋体" w:eastAsia="宋体" w:cs="宋体"/>
          <w:color w:val="auto"/>
          <w:sz w:val="21"/>
          <w:szCs w:val="21"/>
          <w:highlight w:val="none"/>
        </w:rPr>
        <w:t>7.4.3 委托人完成酬金支付的期限：</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p>
    <w:p w14:paraId="7308E9D8">
      <w:pPr>
        <w:pStyle w:val="7"/>
        <w:keepNext/>
        <w:keepLines/>
        <w:pageBreakBefore w:val="0"/>
        <w:widowControl w:val="0"/>
        <w:numPr>
          <w:ilvl w:val="0"/>
          <w:numId w:val="0"/>
        </w:numPr>
        <w:kinsoku/>
        <w:wordWrap/>
        <w:overflowPunct/>
        <w:topLinePunct w:val="0"/>
        <w:autoSpaceDE/>
        <w:autoSpaceDN/>
        <w:bidi w:val="0"/>
        <w:adjustRightInd w:val="0"/>
        <w:snapToGrid/>
        <w:spacing w:before="97" w:beforeLines="30" w:after="97" w:afterLines="30" w:line="440" w:lineRule="exact"/>
        <w:ind w:leftChars="-95" w:right="-185" w:rightChars="-88"/>
        <w:jc w:val="left"/>
        <w:textAlignment w:val="baseline"/>
        <w:rPr>
          <w:rFonts w:hint="default" w:ascii="宋体" w:hAnsi="宋体" w:eastAsia="宋体" w:cs="宋体"/>
          <w:b w:val="0"/>
          <w:color w:val="auto"/>
          <w:sz w:val="21"/>
          <w:szCs w:val="21"/>
          <w:highlight w:val="none"/>
          <w:lang w:val="en-US" w:eastAsia="zh-CN"/>
        </w:rPr>
      </w:pPr>
      <w:bookmarkStart w:id="154" w:name="_Toc407261951"/>
      <w:r>
        <w:rPr>
          <w:rFonts w:hint="eastAsia" w:ascii="宋体" w:hAnsi="宋体" w:eastAsia="宋体" w:cs="宋体"/>
          <w:b/>
          <w:bCs/>
          <w:color w:val="auto"/>
          <w:kern w:val="2"/>
          <w:sz w:val="21"/>
          <w:szCs w:val="21"/>
          <w:highlight w:val="none"/>
          <w:lang w:val="en-US" w:eastAsia="zh-CN" w:bidi="ar-SA"/>
        </w:rPr>
        <w:t>8. 变更</w:t>
      </w:r>
      <w:bookmarkEnd w:id="154"/>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eastAsia="宋体" w:cs="宋体"/>
          <w:b w:val="0"/>
          <w:color w:val="auto"/>
          <w:sz w:val="21"/>
          <w:szCs w:val="21"/>
          <w:highlight w:val="none"/>
          <w:lang w:val="en-US" w:eastAsia="zh-CN"/>
        </w:rPr>
        <w:t xml:space="preserve">     </w:t>
      </w:r>
    </w:p>
    <w:p w14:paraId="384DF4A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 变更的范围</w:t>
      </w:r>
    </w:p>
    <w:p w14:paraId="20BB7ED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323208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 变更引起的咨询酬金和期限调整</w:t>
      </w:r>
    </w:p>
    <w:p w14:paraId="14344F7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C6B21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A00AD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8.3 咨询人的合理化建议</w:t>
      </w:r>
      <w:r>
        <w:rPr>
          <w:rFonts w:hint="eastAsia" w:ascii="宋体" w:hAnsi="宋体" w:eastAsia="宋体" w:cs="宋体"/>
          <w:b/>
          <w:color w:val="auto"/>
          <w:sz w:val="21"/>
          <w:szCs w:val="21"/>
          <w:highlight w:val="none"/>
          <w:lang w:val="en-US" w:eastAsia="zh-CN"/>
        </w:rPr>
        <w:t xml:space="preserve"> </w:t>
      </w:r>
    </w:p>
    <w:p w14:paraId="0E1DAD0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80EFB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F56FC4">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5" w:name="_Toc407261952"/>
      <w:r>
        <w:rPr>
          <w:rFonts w:hint="eastAsia" w:ascii="宋体" w:hAnsi="宋体" w:eastAsia="宋体" w:cs="宋体"/>
          <w:b/>
          <w:bCs/>
          <w:color w:val="auto"/>
          <w:sz w:val="21"/>
          <w:szCs w:val="21"/>
          <w:highlight w:val="none"/>
        </w:rPr>
        <w:t>9. 违约</w:t>
      </w:r>
      <w:bookmarkEnd w:id="155"/>
    </w:p>
    <w:p w14:paraId="29DB6FB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 委托人违约</w:t>
      </w:r>
    </w:p>
    <w:p w14:paraId="010D3DAF">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98AAD8">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因委托人违约解除合同的，关于已完咨询业务酬金结算和付款的</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DBD5492">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咨询人违约</w:t>
      </w:r>
    </w:p>
    <w:p w14:paraId="6ACFC5DA">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关于咨询人违约解除合同的特别约定：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FC3DAA">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不予支付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1C73B">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6" w:name="_Toc407261953"/>
      <w:r>
        <w:rPr>
          <w:rFonts w:hint="eastAsia" w:ascii="宋体" w:hAnsi="宋体" w:eastAsia="宋体" w:cs="宋体"/>
          <w:b/>
          <w:bCs/>
          <w:color w:val="auto"/>
          <w:sz w:val="21"/>
          <w:szCs w:val="21"/>
          <w:highlight w:val="none"/>
        </w:rPr>
        <w:t>10. 争议解决</w:t>
      </w:r>
      <w:bookmarkEnd w:id="156"/>
    </w:p>
    <w:p w14:paraId="3A8BF090">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 仲裁或诉讼</w:t>
      </w:r>
    </w:p>
    <w:p w14:paraId="701B56A7">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81D2087">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滁州    </w:t>
      </w:r>
      <w:r>
        <w:rPr>
          <w:rFonts w:hint="eastAsia" w:ascii="宋体" w:hAnsi="宋体" w:eastAsia="宋体" w:cs="宋体"/>
          <w:color w:val="auto"/>
          <w:kern w:val="0"/>
          <w:sz w:val="21"/>
          <w:szCs w:val="21"/>
          <w:highlight w:val="none"/>
        </w:rPr>
        <w:t>仲裁委员会申请仲裁；</w:t>
      </w:r>
    </w:p>
    <w:p w14:paraId="2BA067A7">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汉仪大黑简" w:hAnsi="汉仪大黑简" w:eastAsia="汉仪大黑简" w:cs="汉仪大黑简"/>
          <w:b w:val="0"/>
          <w:color w:val="auto"/>
          <w:sz w:val="32"/>
          <w:szCs w:val="32"/>
          <w:highlight w:val="none"/>
          <w:lang w:val="en-US" w:eastAsia="zh-CN"/>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14:paraId="15C4023E">
      <w:pPr>
        <w:rPr>
          <w:color w:val="auto"/>
          <w:highlight w:val="none"/>
        </w:rPr>
      </w:pPr>
      <w:r>
        <w:rPr>
          <w:rFonts w:hint="eastAsia" w:ascii="仿宋_GB2312" w:eastAsia="仿宋_GB2312"/>
          <w:color w:val="auto"/>
          <w:sz w:val="28"/>
          <w:szCs w:val="28"/>
          <w:highlight w:val="none"/>
          <w:u w:val="single"/>
        </w:rPr>
        <w:t xml:space="preserve">       </w:t>
      </w:r>
    </w:p>
    <w:p w14:paraId="32D00076">
      <w:pPr>
        <w:pStyle w:val="6"/>
        <w:spacing w:before="0" w:after="0"/>
        <w:rPr>
          <w:rFonts w:hint="eastAsia" w:ascii="宋体" w:hAnsi="宋体" w:eastAsia="宋体" w:cs="宋体"/>
          <w:color w:val="auto"/>
          <w:kern w:val="2"/>
          <w:sz w:val="28"/>
          <w:szCs w:val="28"/>
          <w:highlight w:val="none"/>
        </w:rPr>
      </w:pPr>
      <w:bookmarkStart w:id="157" w:name="_Toc31238"/>
      <w:bookmarkStart w:id="158" w:name="_Toc20381"/>
    </w:p>
    <w:p w14:paraId="22FFEA7B">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br w:type="page"/>
      </w:r>
    </w:p>
    <w:p w14:paraId="4564B1AF">
      <w:pPr>
        <w:pStyle w:val="6"/>
        <w:spacing w:before="0" w:after="0"/>
        <w:rPr>
          <w:rFonts w:ascii="宋体" w:hAnsi="宋体" w:eastAsia="宋体" w:cs="宋体"/>
          <w:color w:val="auto"/>
          <w:kern w:val="2"/>
          <w:sz w:val="28"/>
          <w:szCs w:val="28"/>
          <w:highlight w:val="none"/>
        </w:rPr>
      </w:pPr>
      <w:bookmarkStart w:id="159" w:name="_Toc20559"/>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六</w:t>
      </w:r>
      <w:r>
        <w:rPr>
          <w:rFonts w:hint="eastAsia" w:ascii="宋体" w:hAnsi="宋体" w:eastAsia="宋体" w:cs="宋体"/>
          <w:color w:val="auto"/>
          <w:kern w:val="2"/>
          <w:sz w:val="28"/>
          <w:szCs w:val="28"/>
          <w:highlight w:val="none"/>
        </w:rPr>
        <w:t>章投标文件格式</w:t>
      </w:r>
      <w:bookmarkEnd w:id="157"/>
      <w:bookmarkEnd w:id="158"/>
      <w:bookmarkEnd w:id="159"/>
    </w:p>
    <w:p w14:paraId="6FCA482F">
      <w:pPr>
        <w:jc w:val="center"/>
        <w:rPr>
          <w:rFonts w:ascii="宋体" w:hAnsi="宋体" w:cs="宋体"/>
          <w:color w:val="auto"/>
          <w:sz w:val="28"/>
          <w:szCs w:val="28"/>
          <w:highlight w:val="none"/>
          <w:u w:val="single"/>
        </w:rPr>
      </w:pPr>
    </w:p>
    <w:p w14:paraId="40E322E3">
      <w:pPr>
        <w:pStyle w:val="2"/>
        <w:ind w:firstLine="560"/>
        <w:rPr>
          <w:color w:val="auto"/>
          <w:highlight w:val="none"/>
        </w:rPr>
      </w:pPr>
    </w:p>
    <w:p w14:paraId="16EA2D8D">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009623FF">
      <w:pPr>
        <w:jc w:val="center"/>
        <w:rPr>
          <w:rFonts w:eastAsia="黑体"/>
          <w:color w:val="auto"/>
          <w:sz w:val="20"/>
          <w:szCs w:val="20"/>
          <w:highlight w:val="none"/>
        </w:rPr>
      </w:pPr>
    </w:p>
    <w:p w14:paraId="5137E4A5">
      <w:pPr>
        <w:rPr>
          <w:rFonts w:eastAsia="黑体"/>
          <w:color w:val="auto"/>
          <w:sz w:val="20"/>
          <w:szCs w:val="20"/>
          <w:highlight w:val="none"/>
        </w:rPr>
      </w:pPr>
    </w:p>
    <w:p w14:paraId="3994753D">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一</w:t>
      </w:r>
    </w:p>
    <w:p w14:paraId="1286218D">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资信证明</w:t>
      </w:r>
      <w:r>
        <w:rPr>
          <w:rFonts w:eastAsia="黑体"/>
          <w:color w:val="auto"/>
          <w:sz w:val="44"/>
          <w:szCs w:val="44"/>
          <w:highlight w:val="none"/>
        </w:rPr>
        <w:t>文件）</w:t>
      </w:r>
    </w:p>
    <w:p w14:paraId="31406BEB">
      <w:pPr>
        <w:rPr>
          <w:rFonts w:eastAsia="黑体"/>
          <w:color w:val="auto"/>
          <w:sz w:val="28"/>
          <w:szCs w:val="28"/>
          <w:highlight w:val="none"/>
        </w:rPr>
      </w:pPr>
    </w:p>
    <w:p w14:paraId="383400EF">
      <w:pPr>
        <w:rPr>
          <w:rFonts w:eastAsia="黑体"/>
          <w:color w:val="auto"/>
          <w:sz w:val="28"/>
          <w:szCs w:val="28"/>
          <w:highlight w:val="none"/>
        </w:rPr>
      </w:pPr>
    </w:p>
    <w:p w14:paraId="6B0E5C3E">
      <w:pPr>
        <w:rPr>
          <w:rFonts w:eastAsia="黑体"/>
          <w:color w:val="auto"/>
          <w:sz w:val="28"/>
          <w:szCs w:val="28"/>
          <w:highlight w:val="none"/>
        </w:rPr>
      </w:pPr>
    </w:p>
    <w:p w14:paraId="3F073F1F">
      <w:pPr>
        <w:rPr>
          <w:rFonts w:eastAsia="黑体"/>
          <w:color w:val="auto"/>
          <w:sz w:val="28"/>
          <w:szCs w:val="28"/>
          <w:highlight w:val="none"/>
        </w:rPr>
      </w:pPr>
    </w:p>
    <w:p w14:paraId="51653AE6">
      <w:pPr>
        <w:rPr>
          <w:rFonts w:eastAsia="黑体"/>
          <w:color w:val="auto"/>
          <w:sz w:val="28"/>
          <w:szCs w:val="28"/>
          <w:highlight w:val="none"/>
        </w:rPr>
      </w:pPr>
    </w:p>
    <w:p w14:paraId="33EFCA0F">
      <w:pPr>
        <w:rPr>
          <w:rFonts w:eastAsia="黑体"/>
          <w:color w:val="auto"/>
          <w:sz w:val="28"/>
          <w:szCs w:val="28"/>
          <w:highlight w:val="none"/>
        </w:rPr>
      </w:pPr>
    </w:p>
    <w:p w14:paraId="461FBEC6">
      <w:pPr>
        <w:rPr>
          <w:rFonts w:eastAsia="黑体"/>
          <w:color w:val="auto"/>
          <w:sz w:val="28"/>
          <w:szCs w:val="28"/>
          <w:highlight w:val="none"/>
        </w:rPr>
      </w:pPr>
    </w:p>
    <w:p w14:paraId="66F5FC8D">
      <w:pPr>
        <w:rPr>
          <w:rFonts w:eastAsia="黑体"/>
          <w:color w:val="auto"/>
          <w:sz w:val="28"/>
          <w:szCs w:val="28"/>
          <w:highlight w:val="none"/>
        </w:rPr>
      </w:pPr>
    </w:p>
    <w:p w14:paraId="54EB6060">
      <w:pPr>
        <w:rPr>
          <w:rFonts w:eastAsia="黑体"/>
          <w:color w:val="auto"/>
          <w:sz w:val="28"/>
          <w:szCs w:val="28"/>
          <w:highlight w:val="none"/>
        </w:rPr>
      </w:pPr>
    </w:p>
    <w:p w14:paraId="21127EC7">
      <w:pPr>
        <w:rPr>
          <w:rFonts w:eastAsia="黑体"/>
          <w:color w:val="auto"/>
          <w:sz w:val="28"/>
          <w:szCs w:val="28"/>
          <w:highlight w:val="none"/>
        </w:rPr>
      </w:pPr>
    </w:p>
    <w:p w14:paraId="765A59A2">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09E30AF2">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3C9E4C2E">
      <w:pPr>
        <w:jc w:val="center"/>
        <w:rPr>
          <w:b/>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38380908">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6212888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14:paraId="2E1744D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（2）诚信投标承诺书（格式见附件）；</w:t>
      </w:r>
    </w:p>
    <w:p w14:paraId="159DFD6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营业执照（或三证合一的有效证件）</w:t>
      </w:r>
      <w:r>
        <w:rPr>
          <w:rFonts w:hint="eastAsia" w:ascii="宋体" w:hAnsi="宋体" w:cs="宋体"/>
          <w:color w:val="auto"/>
          <w:szCs w:val="21"/>
          <w:highlight w:val="none"/>
        </w:rPr>
        <w:t>；</w:t>
      </w:r>
    </w:p>
    <w:p w14:paraId="63B3DB1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）项目负责人：注册造价师证书且证明专业为土木建筑工程的证明材料</w:t>
      </w:r>
    </w:p>
    <w:p w14:paraId="0DB9203A">
      <w:pPr>
        <w:spacing w:line="440" w:lineRule="exact"/>
        <w:ind w:firstLine="420" w:firstLineChars="200"/>
        <w:jc w:val="left"/>
        <w:rPr>
          <w:rFonts w:hint="eastAsia" w:ascii="宋体" w:hAnsi="宋体" w:cs="宋体"/>
          <w:color w:val="auto"/>
          <w:spacing w:val="-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项目组成员（不含项目负责人）：注册造价师证书且证明专业为土木建筑工程（或安装工程）的证明材料</w:t>
      </w:r>
      <w:r>
        <w:rPr>
          <w:rFonts w:hint="eastAsia" w:ascii="宋体" w:hAnsi="宋体" w:cs="宋体"/>
          <w:color w:val="auto"/>
          <w:spacing w:val="-1"/>
          <w:szCs w:val="21"/>
          <w:highlight w:val="none"/>
        </w:rPr>
        <w:t>；</w:t>
      </w:r>
    </w:p>
    <w:p w14:paraId="45C41A8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）投标人的法定代表人(或委托代理人)和拟任项目负责人须持有社保部门出具的本单位为其缴纳的投标前近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个月连续的养老保险证明</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1C5346C9">
      <w:pPr>
        <w:spacing w:line="44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）投标人业绩</w:t>
      </w:r>
      <w:r>
        <w:rPr>
          <w:rFonts w:hint="eastAsia" w:ascii="宋体" w:hAnsi="宋体" w:cs="宋体"/>
          <w:color w:val="auto"/>
          <w:szCs w:val="21"/>
          <w:highlight w:val="none"/>
          <w:lang w:val="en-US" w:eastAsia="zh-CN"/>
        </w:rPr>
        <w:t>证明材料；</w:t>
      </w:r>
    </w:p>
    <w:p w14:paraId="1875BF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投标人认为需要提供的其它证明材料。</w:t>
      </w:r>
    </w:p>
    <w:p w14:paraId="621A6743">
      <w:pPr>
        <w:spacing w:line="500" w:lineRule="exact"/>
        <w:jc w:val="left"/>
        <w:rPr>
          <w:rFonts w:ascii="仿宋" w:hAnsi="仿宋" w:eastAsia="仿宋" w:cs="仿宋"/>
          <w:b/>
          <w:color w:val="auto"/>
          <w:sz w:val="28"/>
          <w:szCs w:val="28"/>
          <w:highlight w:val="none"/>
        </w:rPr>
      </w:pPr>
      <w:r>
        <w:rPr>
          <w:rFonts w:hint="eastAsia" w:ascii="宋体" w:hAnsi="宋体" w:eastAsia="仿宋" w:cs="宋体"/>
          <w:b/>
          <w:color w:val="auto"/>
          <w:sz w:val="24"/>
          <w:szCs w:val="24"/>
          <w:highlight w:val="none"/>
          <w:lang w:val="en-US" w:eastAsia="zh-CN"/>
        </w:rPr>
        <w:t xml:space="preserve"> </w:t>
      </w:r>
      <w:r>
        <w:rPr>
          <w:rFonts w:ascii="仿宋" w:hAnsi="仿宋" w:eastAsia="仿宋" w:cs="仿宋"/>
          <w:b/>
          <w:color w:val="auto"/>
          <w:sz w:val="28"/>
          <w:szCs w:val="28"/>
          <w:highlight w:val="none"/>
        </w:rPr>
        <w:br w:type="page"/>
      </w:r>
    </w:p>
    <w:p w14:paraId="179B0EEE">
      <w:pPr>
        <w:jc w:val="center"/>
        <w:rPr>
          <w:rFonts w:ascii="仿宋" w:hAnsi="仿宋" w:eastAsia="仿宋" w:cs="仿宋"/>
          <w:color w:val="auto"/>
          <w:sz w:val="32"/>
          <w:szCs w:val="32"/>
          <w:highlight w:val="none"/>
        </w:rPr>
      </w:pPr>
      <w:r>
        <w:rPr>
          <w:rFonts w:hint="eastAsia" w:ascii="仿宋" w:hAnsi="仿宋" w:eastAsia="仿宋" w:cs="仿宋"/>
          <w:b/>
          <w:color w:val="auto"/>
          <w:sz w:val="28"/>
          <w:szCs w:val="28"/>
          <w:highlight w:val="none"/>
        </w:rPr>
        <w:t>法定代表人身份证明或授权委托书</w:t>
      </w:r>
    </w:p>
    <w:p w14:paraId="3F490EC7">
      <w:pPr>
        <w:pStyle w:val="145"/>
        <w:spacing w:before="318" w:beforeLines="100" w:after="318" w:afterLines="100" w:line="480" w:lineRule="exact"/>
        <w:ind w:firstLine="180" w:firstLineChars="75"/>
        <w:rPr>
          <w:rFonts w:ascii="宋体" w:hAnsi="宋体" w:cs="宋体"/>
          <w:b/>
          <w:color w:val="auto"/>
          <w:sz w:val="24"/>
          <w:szCs w:val="24"/>
          <w:highlight w:val="none"/>
        </w:rPr>
      </w:pPr>
      <w:bookmarkStart w:id="160" w:name="OLE_LINK13"/>
      <w:r>
        <w:rPr>
          <w:rFonts w:hint="eastAsia" w:ascii="宋体" w:hAnsi="宋体" w:cs="宋体"/>
          <w:color w:val="auto"/>
          <w:sz w:val="24"/>
          <w:szCs w:val="24"/>
          <w:highlight w:val="none"/>
        </w:rPr>
        <w:t>1、法定代表人身份证明</w:t>
      </w:r>
    </w:p>
    <w:p w14:paraId="55110C7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DAE62C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D5BEF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5882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9A496F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CA518F5">
      <w:pPr>
        <w:spacing w:line="480" w:lineRule="exact"/>
        <w:ind w:firstLine="1440" w:firstLineChars="200"/>
        <w:rPr>
          <w:rFonts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_职务：</w:t>
      </w:r>
      <w:r>
        <w:rPr>
          <w:rFonts w:hint="eastAsia" w:ascii="宋体" w:hAnsi="宋体" w:cs="宋体"/>
          <w:color w:val="auto"/>
          <w:sz w:val="24"/>
          <w:highlight w:val="none"/>
          <w:u w:val="single"/>
        </w:rPr>
        <w:t xml:space="preserve">       </w:t>
      </w:r>
    </w:p>
    <w:p w14:paraId="5196FAC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0543F2A8">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14:paraId="6EB91C7F">
      <w:pPr>
        <w:spacing w:line="360" w:lineRule="auto"/>
        <w:ind w:firstLine="3480" w:firstLineChars="145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A6BF91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bookmarkEnd w:id="160"/>
    </w:p>
    <w:p w14:paraId="716D8250">
      <w:pPr>
        <w:pStyle w:val="2"/>
        <w:ind w:firstLine="560"/>
        <w:rPr>
          <w:color w:val="auto"/>
          <w:highlight w:val="none"/>
        </w:rPr>
      </w:pPr>
    </w:p>
    <w:p w14:paraId="3A3981B6">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2、授权委托书</w:t>
      </w:r>
    </w:p>
    <w:p w14:paraId="77F54B1A">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工程的投标活动。代理人在投标、开标、评标、合同谈判过程中所签署的一切文件和处理与之有关的一切事务，我均予以承认。</w:t>
      </w:r>
    </w:p>
    <w:p w14:paraId="4779FA0A">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14:paraId="18410803">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附：法定代表人及授权委托人有效身份证</w:t>
      </w:r>
    </w:p>
    <w:p w14:paraId="6964B387">
      <w:pPr>
        <w:spacing w:line="480" w:lineRule="auto"/>
        <w:ind w:right="2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授权代理人：</w:t>
      </w:r>
      <w:r>
        <w:rPr>
          <w:rFonts w:hint="eastAsia" w:ascii="宋体" w:hAnsi="宋体" w:cs="宋体"/>
          <w:color w:val="auto"/>
          <w:sz w:val="24"/>
          <w:szCs w:val="24"/>
          <w:highlight w:val="none"/>
          <w:u w:val="single"/>
        </w:rPr>
        <w:t xml:space="preserve">   （签字或盖章）</w:t>
      </w:r>
    </w:p>
    <w:p w14:paraId="0E68686F">
      <w:pPr>
        <w:spacing w:line="480" w:lineRule="auto"/>
        <w:ind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（盖章）</w:t>
      </w:r>
    </w:p>
    <w:p w14:paraId="5ABEBD7D">
      <w:pPr>
        <w:spacing w:line="480" w:lineRule="auto"/>
        <w:ind w:right="20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p>
    <w:p w14:paraId="22EFD915">
      <w:pPr>
        <w:spacing w:line="480" w:lineRule="auto"/>
        <w:ind w:right="24" w:firstLine="4560" w:firstLineChars="1900"/>
        <w:rPr>
          <w:rFonts w:ascii="宋体" w:hAnsi="宋体" w:cs="宋体"/>
          <w:b/>
          <w:bCs/>
          <w:color w:val="auto"/>
          <w:kern w:val="0"/>
          <w:sz w:val="30"/>
          <w:szCs w:val="30"/>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年     月     日</w:t>
      </w:r>
    </w:p>
    <w:p w14:paraId="749F5031">
      <w:pPr>
        <w:rPr>
          <w:b/>
          <w:color w:val="auto"/>
          <w:sz w:val="28"/>
          <w:szCs w:val="28"/>
          <w:highlight w:val="none"/>
        </w:rPr>
      </w:pPr>
      <w:r>
        <w:rPr>
          <w:rFonts w:ascii="仿宋" w:hAnsi="仿宋" w:eastAsia="仿宋" w:cs="仿宋"/>
          <w:b/>
          <w:bCs/>
          <w:color w:val="auto"/>
          <w:kern w:val="0"/>
          <w:sz w:val="30"/>
          <w:szCs w:val="30"/>
          <w:highlight w:val="none"/>
        </w:rPr>
        <w:br w:type="page"/>
      </w:r>
    </w:p>
    <w:p w14:paraId="3333072B">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4704AAC8">
      <w:pPr>
        <w:spacing w:line="360" w:lineRule="auto"/>
        <w:jc w:val="center"/>
        <w:rPr>
          <w:rFonts w:hint="eastAsia"/>
          <w:b/>
          <w:color w:val="auto"/>
          <w:sz w:val="28"/>
          <w:szCs w:val="28"/>
          <w:highlight w:val="none"/>
        </w:rPr>
      </w:pPr>
      <w:r>
        <w:rPr>
          <w:rFonts w:hint="eastAsia"/>
          <w:b/>
          <w:color w:val="auto"/>
          <w:sz w:val="28"/>
          <w:szCs w:val="28"/>
          <w:highlight w:val="none"/>
        </w:rPr>
        <w:t>诚信投标承诺书 </w:t>
      </w:r>
    </w:p>
    <w:p w14:paraId="29CDF635">
      <w:pPr>
        <w:spacing w:line="50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E48264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1D5DD031">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BA0781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AFFC7B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322A941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644F8FD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2B16F9A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604AA77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461CEF9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520FF09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22E8F7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272679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72B705A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26E1001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70A5E3C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投标单位（盖单位章）：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14:paraId="18937B09">
      <w:pPr>
        <w:spacing w:line="500" w:lineRule="exact"/>
        <w:ind w:firstLine="420" w:firstLineChars="200"/>
        <w:rPr>
          <w:rFonts w:hint="eastAsia" w:ascii="宋体" w:hAnsi="宋体"/>
          <w:color w:val="auto"/>
          <w:szCs w:val="21"/>
          <w:highlight w:val="none"/>
        </w:rPr>
      </w:pPr>
    </w:p>
    <w:p w14:paraId="79F06DB7">
      <w:pPr>
        <w:spacing w:line="560" w:lineRule="exact"/>
        <w:jc w:val="right"/>
        <w:rPr>
          <w:rFonts w:hint="eastAsia" w:ascii="宋体" w:hAnsi="宋体"/>
          <w:color w:val="auto"/>
          <w:szCs w:val="21"/>
          <w:highlight w:val="none"/>
        </w:rPr>
      </w:pPr>
    </w:p>
    <w:p w14:paraId="25F2F3D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637026C9">
      <w:pPr>
        <w:jc w:val="center"/>
        <w:rPr>
          <w:rFonts w:eastAsia="黑体"/>
          <w:color w:val="auto"/>
          <w:sz w:val="28"/>
          <w:szCs w:val="28"/>
          <w:highlight w:val="none"/>
          <w:u w:val="single"/>
        </w:rPr>
      </w:pPr>
    </w:p>
    <w:p w14:paraId="3A3AD2FF">
      <w:pPr>
        <w:pStyle w:val="2"/>
        <w:rPr>
          <w:rFonts w:eastAsia="黑体"/>
          <w:color w:val="auto"/>
          <w:sz w:val="28"/>
          <w:szCs w:val="28"/>
          <w:highlight w:val="none"/>
          <w:u w:val="single"/>
        </w:rPr>
      </w:pPr>
    </w:p>
    <w:p w14:paraId="2E9A02C8">
      <w:pPr>
        <w:rPr>
          <w:rFonts w:eastAsia="黑体"/>
          <w:color w:val="auto"/>
          <w:sz w:val="28"/>
          <w:szCs w:val="28"/>
          <w:highlight w:val="none"/>
          <w:u w:val="single"/>
        </w:rPr>
      </w:pPr>
    </w:p>
    <w:p w14:paraId="6408C5C0">
      <w:pPr>
        <w:pStyle w:val="2"/>
        <w:rPr>
          <w:rFonts w:eastAsia="黑体"/>
          <w:color w:val="auto"/>
          <w:sz w:val="28"/>
          <w:szCs w:val="28"/>
          <w:highlight w:val="none"/>
          <w:u w:val="single"/>
        </w:rPr>
      </w:pPr>
    </w:p>
    <w:p w14:paraId="1897E058">
      <w:pPr>
        <w:rPr>
          <w:rFonts w:eastAsia="黑体"/>
          <w:color w:val="auto"/>
          <w:sz w:val="28"/>
          <w:szCs w:val="28"/>
          <w:highlight w:val="none"/>
          <w:u w:val="single"/>
        </w:rPr>
      </w:pPr>
    </w:p>
    <w:p w14:paraId="20226126">
      <w:pPr>
        <w:pStyle w:val="2"/>
        <w:rPr>
          <w:rFonts w:eastAsia="黑体"/>
          <w:color w:val="auto"/>
          <w:sz w:val="28"/>
          <w:szCs w:val="28"/>
          <w:highlight w:val="none"/>
          <w:u w:val="single"/>
        </w:rPr>
      </w:pPr>
    </w:p>
    <w:p w14:paraId="1CDA1077">
      <w:pPr>
        <w:rPr>
          <w:rFonts w:eastAsia="黑体"/>
          <w:color w:val="auto"/>
          <w:sz w:val="28"/>
          <w:szCs w:val="28"/>
          <w:highlight w:val="none"/>
          <w:u w:val="single"/>
        </w:rPr>
      </w:pPr>
    </w:p>
    <w:p w14:paraId="24C63A28">
      <w:pPr>
        <w:rPr>
          <w:rFonts w:eastAsia="黑体"/>
          <w:color w:val="auto"/>
          <w:sz w:val="28"/>
          <w:szCs w:val="28"/>
          <w:highlight w:val="none"/>
          <w:u w:val="single"/>
        </w:rPr>
      </w:pPr>
      <w:r>
        <w:rPr>
          <w:rFonts w:eastAsia="黑体"/>
          <w:color w:val="auto"/>
          <w:sz w:val="28"/>
          <w:szCs w:val="28"/>
          <w:highlight w:val="none"/>
          <w:u w:val="single"/>
        </w:rPr>
        <w:br w:type="page"/>
      </w:r>
    </w:p>
    <w:p w14:paraId="08540DB4">
      <w:pPr>
        <w:rPr>
          <w:color w:val="auto"/>
          <w:highlight w:val="none"/>
        </w:rPr>
      </w:pPr>
    </w:p>
    <w:p w14:paraId="0A7B0232">
      <w:pPr>
        <w:rPr>
          <w:color w:val="auto"/>
          <w:highlight w:val="none"/>
        </w:rPr>
      </w:pPr>
    </w:p>
    <w:p w14:paraId="0D64DEF8">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2E3C0F91">
      <w:pPr>
        <w:jc w:val="center"/>
        <w:rPr>
          <w:rFonts w:eastAsia="黑体"/>
          <w:color w:val="auto"/>
          <w:sz w:val="20"/>
          <w:szCs w:val="20"/>
          <w:highlight w:val="none"/>
        </w:rPr>
      </w:pPr>
    </w:p>
    <w:p w14:paraId="695A0274">
      <w:pPr>
        <w:rPr>
          <w:rFonts w:eastAsia="黑体"/>
          <w:color w:val="auto"/>
          <w:sz w:val="20"/>
          <w:szCs w:val="20"/>
          <w:highlight w:val="none"/>
        </w:rPr>
      </w:pPr>
    </w:p>
    <w:p w14:paraId="592BD8A5">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二</w:t>
      </w:r>
    </w:p>
    <w:p w14:paraId="0B00FAA1">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商务</w:t>
      </w:r>
      <w:r>
        <w:rPr>
          <w:rFonts w:eastAsia="黑体"/>
          <w:color w:val="auto"/>
          <w:sz w:val="44"/>
          <w:szCs w:val="44"/>
          <w:highlight w:val="none"/>
        </w:rPr>
        <w:t>标文件）</w:t>
      </w:r>
    </w:p>
    <w:p w14:paraId="6F3CF406">
      <w:pPr>
        <w:rPr>
          <w:rFonts w:eastAsia="黑体"/>
          <w:color w:val="auto"/>
          <w:sz w:val="28"/>
          <w:szCs w:val="28"/>
          <w:highlight w:val="none"/>
        </w:rPr>
      </w:pPr>
    </w:p>
    <w:p w14:paraId="7EB6F215">
      <w:pPr>
        <w:rPr>
          <w:rFonts w:eastAsia="黑体"/>
          <w:color w:val="auto"/>
          <w:sz w:val="28"/>
          <w:szCs w:val="28"/>
          <w:highlight w:val="none"/>
        </w:rPr>
      </w:pPr>
    </w:p>
    <w:p w14:paraId="273D635F">
      <w:pPr>
        <w:rPr>
          <w:rFonts w:eastAsia="黑体"/>
          <w:color w:val="auto"/>
          <w:sz w:val="28"/>
          <w:szCs w:val="28"/>
          <w:highlight w:val="none"/>
        </w:rPr>
      </w:pPr>
    </w:p>
    <w:p w14:paraId="0BD1F5BF">
      <w:pPr>
        <w:rPr>
          <w:rFonts w:eastAsia="黑体"/>
          <w:color w:val="auto"/>
          <w:sz w:val="28"/>
          <w:szCs w:val="28"/>
          <w:highlight w:val="none"/>
        </w:rPr>
      </w:pPr>
    </w:p>
    <w:p w14:paraId="2F1F66A2">
      <w:pPr>
        <w:rPr>
          <w:rFonts w:eastAsia="黑体"/>
          <w:color w:val="auto"/>
          <w:sz w:val="28"/>
          <w:szCs w:val="28"/>
          <w:highlight w:val="none"/>
        </w:rPr>
      </w:pPr>
    </w:p>
    <w:p w14:paraId="3541B6C7">
      <w:pPr>
        <w:rPr>
          <w:rFonts w:eastAsia="黑体"/>
          <w:color w:val="auto"/>
          <w:sz w:val="28"/>
          <w:szCs w:val="28"/>
          <w:highlight w:val="none"/>
        </w:rPr>
      </w:pPr>
    </w:p>
    <w:p w14:paraId="6097B52E">
      <w:pPr>
        <w:rPr>
          <w:rFonts w:eastAsia="黑体"/>
          <w:color w:val="auto"/>
          <w:sz w:val="28"/>
          <w:szCs w:val="28"/>
          <w:highlight w:val="none"/>
        </w:rPr>
      </w:pPr>
    </w:p>
    <w:p w14:paraId="628DD406">
      <w:pPr>
        <w:rPr>
          <w:rFonts w:eastAsia="黑体"/>
          <w:color w:val="auto"/>
          <w:sz w:val="28"/>
          <w:szCs w:val="28"/>
          <w:highlight w:val="none"/>
        </w:rPr>
      </w:pPr>
    </w:p>
    <w:p w14:paraId="59BAC856">
      <w:pPr>
        <w:rPr>
          <w:rFonts w:eastAsia="黑体"/>
          <w:color w:val="auto"/>
          <w:sz w:val="28"/>
          <w:szCs w:val="28"/>
          <w:highlight w:val="none"/>
        </w:rPr>
      </w:pPr>
    </w:p>
    <w:p w14:paraId="7346C988">
      <w:pPr>
        <w:rPr>
          <w:rFonts w:eastAsia="黑体"/>
          <w:color w:val="auto"/>
          <w:sz w:val="28"/>
          <w:szCs w:val="28"/>
          <w:highlight w:val="none"/>
        </w:rPr>
      </w:pPr>
    </w:p>
    <w:p w14:paraId="69299F10">
      <w:pPr>
        <w:rPr>
          <w:rFonts w:eastAsia="黑体"/>
          <w:color w:val="auto"/>
          <w:sz w:val="28"/>
          <w:szCs w:val="28"/>
          <w:highlight w:val="none"/>
        </w:rPr>
      </w:pPr>
    </w:p>
    <w:p w14:paraId="3788387C">
      <w:pPr>
        <w:rPr>
          <w:rFonts w:eastAsia="黑体"/>
          <w:color w:val="auto"/>
          <w:sz w:val="28"/>
          <w:szCs w:val="28"/>
          <w:highlight w:val="none"/>
        </w:rPr>
      </w:pPr>
    </w:p>
    <w:p w14:paraId="30662843">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2999323F">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326669C8">
      <w:pPr>
        <w:jc w:val="center"/>
        <w:rPr>
          <w:rFonts w:hint="eastAsia" w:eastAsia="黑体"/>
          <w:b/>
          <w:color w:val="auto"/>
          <w:sz w:val="28"/>
          <w:szCs w:val="28"/>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none"/>
          <w:lang w:val="en-US" w:eastAsia="zh-CN"/>
        </w:rPr>
        <w:t>日</w:t>
      </w:r>
    </w:p>
    <w:p w14:paraId="331FD6A8">
      <w:pPr>
        <w:pStyle w:val="34"/>
        <w:ind w:left="420" w:hanging="420"/>
        <w:rPr>
          <w:rFonts w:hint="eastAsia"/>
          <w:color w:val="auto"/>
          <w:szCs w:val="21"/>
          <w:highlight w:val="none"/>
        </w:rPr>
      </w:pPr>
    </w:p>
    <w:p w14:paraId="78BC9B64">
      <w:pPr>
        <w:widowControl/>
        <w:spacing w:line="440" w:lineRule="exact"/>
        <w:ind w:firstLine="420" w:firstLineChars="200"/>
        <w:jc w:val="center"/>
        <w:textAlignment w:val="baseline"/>
        <w:rPr>
          <w:rFonts w:hint="eastAsia" w:ascii="宋体" w:hAnsi="宋体" w:cs="宋体"/>
          <w:color w:val="auto"/>
          <w:kern w:val="0"/>
          <w:szCs w:val="21"/>
          <w:highlight w:val="none"/>
          <w:u w:color="000000"/>
          <w:lang w:val="en-US" w:eastAsia="zh-CN"/>
        </w:rPr>
      </w:pPr>
      <w:r>
        <w:rPr>
          <w:rFonts w:hint="eastAsia" w:ascii="宋体" w:hAnsi="宋体" w:cs="宋体"/>
          <w:color w:val="auto"/>
          <w:kern w:val="0"/>
          <w:szCs w:val="21"/>
          <w:highlight w:val="none"/>
          <w:u w:color="000000"/>
          <w:lang w:val="en-US" w:eastAsia="zh-CN"/>
        </w:rPr>
        <w:t>目  录</w:t>
      </w:r>
    </w:p>
    <w:p w14:paraId="1DE3B882">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1</w:t>
      </w:r>
      <w:r>
        <w:rPr>
          <w:rFonts w:hint="eastAsia" w:ascii="宋体" w:hAnsi="宋体" w:cs="宋体"/>
          <w:color w:val="auto"/>
          <w:kern w:val="0"/>
          <w:szCs w:val="21"/>
          <w:highlight w:val="none"/>
          <w:u w:color="000000"/>
        </w:rPr>
        <w:t>）投标函（格式见附件）；</w:t>
      </w:r>
    </w:p>
    <w:p w14:paraId="1142184D">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2</w:t>
      </w:r>
      <w:r>
        <w:rPr>
          <w:rFonts w:hint="eastAsia" w:ascii="宋体" w:hAnsi="宋体" w:cs="宋体"/>
          <w:color w:val="auto"/>
          <w:kern w:val="0"/>
          <w:szCs w:val="21"/>
          <w:highlight w:val="none"/>
          <w:u w:color="000000"/>
        </w:rPr>
        <w:t>）招标文件要求提供的其他证明材料。</w:t>
      </w:r>
    </w:p>
    <w:p w14:paraId="5358FDA8">
      <w:pPr>
        <w:spacing w:line="360" w:lineRule="auto"/>
        <w:jc w:val="center"/>
        <w:rPr>
          <w:rFonts w:hint="eastAsia"/>
          <w:b/>
          <w:color w:val="auto"/>
          <w:sz w:val="28"/>
          <w:szCs w:val="28"/>
          <w:highlight w:val="none"/>
        </w:rPr>
      </w:pPr>
    </w:p>
    <w:p w14:paraId="53104380">
      <w:pPr>
        <w:spacing w:line="360" w:lineRule="auto"/>
        <w:jc w:val="center"/>
        <w:rPr>
          <w:rFonts w:hint="eastAsia"/>
          <w:b/>
          <w:color w:val="auto"/>
          <w:sz w:val="28"/>
          <w:szCs w:val="28"/>
          <w:highlight w:val="none"/>
        </w:rPr>
      </w:pPr>
    </w:p>
    <w:p w14:paraId="6BC17398">
      <w:pPr>
        <w:spacing w:line="360" w:lineRule="auto"/>
        <w:jc w:val="center"/>
        <w:rPr>
          <w:rFonts w:hint="eastAsia"/>
          <w:b/>
          <w:color w:val="auto"/>
          <w:sz w:val="28"/>
          <w:szCs w:val="28"/>
          <w:highlight w:val="none"/>
        </w:rPr>
      </w:pPr>
    </w:p>
    <w:p w14:paraId="1B86D245">
      <w:pPr>
        <w:spacing w:line="360" w:lineRule="auto"/>
        <w:jc w:val="center"/>
        <w:rPr>
          <w:rFonts w:hint="eastAsia"/>
          <w:b/>
          <w:color w:val="auto"/>
          <w:sz w:val="28"/>
          <w:szCs w:val="28"/>
          <w:highlight w:val="none"/>
        </w:rPr>
      </w:pPr>
    </w:p>
    <w:p w14:paraId="3DE52AA7">
      <w:pPr>
        <w:spacing w:line="360" w:lineRule="auto"/>
        <w:jc w:val="center"/>
        <w:rPr>
          <w:rFonts w:hint="eastAsia"/>
          <w:b/>
          <w:color w:val="auto"/>
          <w:sz w:val="28"/>
          <w:szCs w:val="28"/>
          <w:highlight w:val="none"/>
        </w:rPr>
      </w:pPr>
    </w:p>
    <w:p w14:paraId="7A81E66B">
      <w:pPr>
        <w:spacing w:line="360" w:lineRule="auto"/>
        <w:jc w:val="center"/>
        <w:rPr>
          <w:rFonts w:hint="eastAsia"/>
          <w:b/>
          <w:color w:val="auto"/>
          <w:sz w:val="28"/>
          <w:szCs w:val="28"/>
          <w:highlight w:val="none"/>
        </w:rPr>
      </w:pPr>
    </w:p>
    <w:p w14:paraId="4731BFA5">
      <w:pPr>
        <w:spacing w:line="360" w:lineRule="auto"/>
        <w:jc w:val="center"/>
        <w:rPr>
          <w:rFonts w:hint="eastAsia"/>
          <w:b/>
          <w:color w:val="auto"/>
          <w:sz w:val="28"/>
          <w:szCs w:val="28"/>
          <w:highlight w:val="none"/>
        </w:rPr>
      </w:pPr>
    </w:p>
    <w:p w14:paraId="5D68F4F2">
      <w:pPr>
        <w:spacing w:line="360" w:lineRule="auto"/>
        <w:jc w:val="center"/>
        <w:rPr>
          <w:rFonts w:hint="eastAsia"/>
          <w:b/>
          <w:color w:val="auto"/>
          <w:sz w:val="28"/>
          <w:szCs w:val="28"/>
          <w:highlight w:val="none"/>
        </w:rPr>
      </w:pPr>
    </w:p>
    <w:p w14:paraId="726E5878">
      <w:pPr>
        <w:spacing w:line="360" w:lineRule="auto"/>
        <w:jc w:val="center"/>
        <w:rPr>
          <w:rFonts w:hint="eastAsia"/>
          <w:b/>
          <w:color w:val="auto"/>
          <w:sz w:val="28"/>
          <w:szCs w:val="28"/>
          <w:highlight w:val="none"/>
        </w:rPr>
      </w:pPr>
    </w:p>
    <w:p w14:paraId="3F069439">
      <w:pPr>
        <w:spacing w:line="360" w:lineRule="auto"/>
        <w:jc w:val="center"/>
        <w:rPr>
          <w:rFonts w:hint="eastAsia"/>
          <w:b/>
          <w:color w:val="auto"/>
          <w:sz w:val="28"/>
          <w:szCs w:val="28"/>
          <w:highlight w:val="none"/>
        </w:rPr>
      </w:pPr>
    </w:p>
    <w:p w14:paraId="260BBA19">
      <w:pPr>
        <w:spacing w:line="360" w:lineRule="auto"/>
        <w:jc w:val="center"/>
        <w:rPr>
          <w:rFonts w:hint="eastAsia"/>
          <w:b/>
          <w:color w:val="auto"/>
          <w:sz w:val="28"/>
          <w:szCs w:val="28"/>
          <w:highlight w:val="none"/>
        </w:rPr>
      </w:pPr>
    </w:p>
    <w:p w14:paraId="58822226">
      <w:pPr>
        <w:spacing w:line="360" w:lineRule="auto"/>
        <w:jc w:val="center"/>
        <w:rPr>
          <w:rFonts w:hint="eastAsia"/>
          <w:b/>
          <w:color w:val="auto"/>
          <w:sz w:val="28"/>
          <w:szCs w:val="28"/>
          <w:highlight w:val="none"/>
        </w:rPr>
      </w:pPr>
    </w:p>
    <w:p w14:paraId="42B974C3">
      <w:pPr>
        <w:spacing w:line="360" w:lineRule="auto"/>
        <w:jc w:val="center"/>
        <w:rPr>
          <w:rFonts w:hint="eastAsia"/>
          <w:b/>
          <w:color w:val="auto"/>
          <w:sz w:val="28"/>
          <w:szCs w:val="28"/>
          <w:highlight w:val="none"/>
        </w:rPr>
      </w:pPr>
    </w:p>
    <w:p w14:paraId="20213BF7">
      <w:pPr>
        <w:spacing w:line="360" w:lineRule="auto"/>
        <w:jc w:val="center"/>
        <w:rPr>
          <w:rFonts w:hint="eastAsia"/>
          <w:b/>
          <w:color w:val="auto"/>
          <w:sz w:val="28"/>
          <w:szCs w:val="28"/>
          <w:highlight w:val="none"/>
        </w:rPr>
      </w:pPr>
    </w:p>
    <w:p w14:paraId="674F0AED">
      <w:pPr>
        <w:rPr>
          <w:rFonts w:hint="eastAsia"/>
          <w:b/>
          <w:color w:val="auto"/>
          <w:sz w:val="28"/>
          <w:szCs w:val="28"/>
          <w:highlight w:val="none"/>
        </w:rPr>
      </w:pPr>
      <w:r>
        <w:rPr>
          <w:rFonts w:hint="eastAsia"/>
          <w:b/>
          <w:color w:val="auto"/>
          <w:sz w:val="28"/>
          <w:szCs w:val="28"/>
          <w:highlight w:val="none"/>
        </w:rPr>
        <w:br w:type="page"/>
      </w:r>
    </w:p>
    <w:p w14:paraId="748938F3">
      <w:pPr>
        <w:spacing w:line="360" w:lineRule="auto"/>
        <w:jc w:val="center"/>
        <w:rPr>
          <w:b/>
          <w:bCs/>
          <w:color w:val="auto"/>
          <w:sz w:val="36"/>
          <w:highlight w:val="none"/>
        </w:rPr>
      </w:pPr>
      <w:r>
        <w:rPr>
          <w:rFonts w:hint="eastAsia"/>
          <w:b/>
          <w:color w:val="auto"/>
          <w:sz w:val="28"/>
          <w:szCs w:val="28"/>
          <w:highlight w:val="none"/>
        </w:rPr>
        <w:t>投 标 函</w:t>
      </w:r>
    </w:p>
    <w:p w14:paraId="4CDD9283">
      <w:pPr>
        <w:spacing w:line="360" w:lineRule="auto"/>
        <w:ind w:firstLine="480" w:firstLineChars="200"/>
        <w:rPr>
          <w:color w:val="auto"/>
          <w:sz w:val="24"/>
          <w:highlight w:val="none"/>
        </w:rPr>
      </w:pPr>
    </w:p>
    <w:p w14:paraId="7AD49E1C">
      <w:pPr>
        <w:spacing w:line="440" w:lineRule="exac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       </w:t>
      </w:r>
      <w:r>
        <w:rPr>
          <w:rFonts w:hint="eastAsia" w:ascii="宋体"/>
          <w:color w:val="auto"/>
          <w:sz w:val="24"/>
          <w:highlight w:val="none"/>
        </w:rPr>
        <w:t xml:space="preserve"> </w:t>
      </w:r>
    </w:p>
    <w:p w14:paraId="70DD56D0">
      <w:pPr>
        <w:spacing w:line="440" w:lineRule="exact"/>
        <w:ind w:firstLine="480" w:firstLineChars="200"/>
        <w:rPr>
          <w:rFonts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 xml:space="preserve">”的采购。我方授权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37EEBD50">
      <w:pPr>
        <w:spacing w:line="440" w:lineRule="exact"/>
        <w:ind w:firstLine="480" w:firstLineChars="200"/>
        <w:rPr>
          <w:rFonts w:ascii="宋体"/>
          <w:color w:val="auto"/>
          <w:sz w:val="24"/>
          <w:szCs w:val="24"/>
          <w:highlight w:val="none"/>
          <w:u w:val="single"/>
        </w:rPr>
      </w:pPr>
      <w:r>
        <w:rPr>
          <w:rFonts w:hint="eastAsia" w:ascii="宋体"/>
          <w:color w:val="auto"/>
          <w:sz w:val="24"/>
          <w:szCs w:val="24"/>
          <w:highlight w:val="none"/>
        </w:rPr>
        <w:t xml:space="preserve">2.我方愿意按照招标文件规定的各项要求，向招标人提供“ </w:t>
      </w:r>
      <w:r>
        <w:rPr>
          <w:rFonts w:hint="eastAsia" w:ascii="宋体"/>
          <w:color w:val="auto"/>
          <w:sz w:val="24"/>
          <w:szCs w:val="24"/>
          <w:highlight w:val="none"/>
          <w:u w:val="single"/>
        </w:rPr>
        <w:t xml:space="preserve">     </w:t>
      </w:r>
      <w:r>
        <w:rPr>
          <w:rFonts w:hint="eastAsia" w:ascii="宋体"/>
          <w:color w:val="auto"/>
          <w:sz w:val="24"/>
          <w:szCs w:val="24"/>
          <w:highlight w:val="none"/>
        </w:rPr>
        <w:t>（项目名称）”项目的服务，</w:t>
      </w:r>
      <w:r>
        <w:rPr>
          <w:rFonts w:hint="eastAsia" w:ascii="宋体"/>
          <w:color w:val="auto"/>
          <w:sz w:val="24"/>
          <w:szCs w:val="24"/>
          <w:highlight w:val="none"/>
          <w:lang w:eastAsia="zh-CN"/>
        </w:rPr>
        <w:t xml:space="preserve">我方报价为基本费率 </w:t>
      </w:r>
      <w:r>
        <w:rPr>
          <w:rFonts w:hint="eastAsia" w:ascii="宋体"/>
          <w:color w:val="auto"/>
          <w:sz w:val="24"/>
          <w:szCs w:val="24"/>
          <w:highlight w:val="none"/>
          <w:u w:val="single"/>
          <w:lang w:eastAsia="zh-CN"/>
        </w:rPr>
        <w:t xml:space="preserve">     </w:t>
      </w:r>
      <w:r>
        <w:rPr>
          <w:rFonts w:hint="eastAsia" w:ascii="宋体"/>
          <w:color w:val="auto"/>
          <w:sz w:val="24"/>
          <w:szCs w:val="24"/>
          <w:highlight w:val="none"/>
          <w:lang w:eastAsia="zh-CN"/>
        </w:rPr>
        <w:t>‰，审核成果费率</w:t>
      </w:r>
      <w:r>
        <w:rPr>
          <w:rFonts w:hint="eastAsia" w:ascii="宋体"/>
          <w:color w:val="auto"/>
          <w:sz w:val="24"/>
          <w:szCs w:val="24"/>
          <w:highlight w:val="none"/>
          <w:u w:val="single"/>
          <w:lang w:val="en-US" w:eastAsia="zh-CN"/>
        </w:rPr>
        <w:t xml:space="preserve">1.5 </w:t>
      </w:r>
      <w:r>
        <w:rPr>
          <w:rFonts w:hint="eastAsia" w:ascii="宋体"/>
          <w:color w:val="auto"/>
          <w:sz w:val="24"/>
          <w:szCs w:val="24"/>
          <w:highlight w:val="none"/>
          <w:lang w:eastAsia="zh-CN"/>
        </w:rPr>
        <w:t>%</w:t>
      </w:r>
      <w:r>
        <w:rPr>
          <w:rFonts w:hint="eastAsia" w:ascii="宋体"/>
          <w:b/>
          <w:bCs/>
          <w:color w:val="auto"/>
          <w:sz w:val="24"/>
          <w:szCs w:val="24"/>
          <w:highlight w:val="none"/>
        </w:rPr>
        <w:t>。</w:t>
      </w:r>
      <w:r>
        <w:rPr>
          <w:rFonts w:hint="eastAsia" w:ascii="宋体"/>
          <w:color w:val="auto"/>
          <w:sz w:val="24"/>
          <w:szCs w:val="24"/>
          <w:highlight w:val="none"/>
        </w:rPr>
        <w:t>项目负责人为</w:t>
      </w:r>
      <w:r>
        <w:rPr>
          <w:rFonts w:hint="eastAsia" w:ascii="宋体"/>
          <w:color w:val="auto"/>
          <w:sz w:val="24"/>
          <w:szCs w:val="24"/>
          <w:highlight w:val="none"/>
          <w:u w:val="single"/>
        </w:rPr>
        <w:t xml:space="preserve">       </w:t>
      </w:r>
      <w:r>
        <w:rPr>
          <w:rFonts w:hint="eastAsia" w:ascii="宋体"/>
          <w:color w:val="auto"/>
          <w:sz w:val="24"/>
          <w:szCs w:val="24"/>
          <w:highlight w:val="none"/>
        </w:rPr>
        <w:t>，服务期：</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w:t>
      </w:r>
    </w:p>
    <w:p w14:paraId="2003D44F">
      <w:pPr>
        <w:pStyle w:val="2"/>
        <w:spacing w:line="400" w:lineRule="exact"/>
        <w:ind w:firstLine="480"/>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日历天（从投标截止之日算起）。</w:t>
      </w:r>
    </w:p>
    <w:p w14:paraId="6C772800">
      <w:pPr>
        <w:spacing w:line="400" w:lineRule="exact"/>
        <w:ind w:firstLine="480" w:firstLineChars="200"/>
        <w:rPr>
          <w:rFonts w:ascii="宋体"/>
          <w:color w:val="auto"/>
          <w:sz w:val="24"/>
          <w:highlight w:val="none"/>
        </w:rPr>
      </w:pPr>
      <w:r>
        <w:rPr>
          <w:rFonts w:hint="eastAsia" w:ascii="宋体"/>
          <w:color w:val="auto"/>
          <w:sz w:val="24"/>
          <w:highlight w:val="none"/>
        </w:rPr>
        <w:t>4.一旦我方成为合同签字人，我方将严格履行合同规定的责任和义务。</w:t>
      </w:r>
    </w:p>
    <w:p w14:paraId="3DF70C18">
      <w:pPr>
        <w:spacing w:line="400" w:lineRule="exact"/>
        <w:ind w:firstLine="480" w:firstLineChars="200"/>
        <w:rPr>
          <w:rFonts w:ascii="宋体"/>
          <w:color w:val="auto"/>
          <w:sz w:val="24"/>
          <w:highlight w:val="none"/>
        </w:rPr>
      </w:pPr>
      <w:r>
        <w:rPr>
          <w:rFonts w:hint="eastAsia" w:ascii="宋体"/>
          <w:color w:val="auto"/>
          <w:sz w:val="24"/>
          <w:highlight w:val="none"/>
        </w:rPr>
        <w:t>5.我方同意按照招标文件的要求，递交金额为人民币</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w:t>
      </w:r>
      <w:r>
        <w:rPr>
          <w:rFonts w:hint="eastAsia" w:ascii="宋体"/>
          <w:color w:val="auto"/>
          <w:sz w:val="24"/>
          <w:highlight w:val="none"/>
          <w:u w:val="single"/>
        </w:rPr>
        <w:t xml:space="preserve"> </w:t>
      </w:r>
      <w:r>
        <w:rPr>
          <w:rFonts w:hint="eastAsia" w:ascii="宋体"/>
          <w:color w:val="auto"/>
          <w:sz w:val="24"/>
          <w:highlight w:val="none"/>
        </w:rPr>
        <w:t xml:space="preserve">（大写）的投标保证金。并且承诺，在投标有效期内如果我方撤回投标文件或成为合同签字人后拒绝签订合同，我方将放弃要求退还该保证金的权力。 </w:t>
      </w:r>
    </w:p>
    <w:p w14:paraId="66AB4F6F">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3DED16CB">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191AEF0F">
      <w:pPr>
        <w:ind w:right="-178" w:rightChars="-85" w:firstLine="2520" w:firstLineChars="1050"/>
        <w:rPr>
          <w:rFonts w:ascii="宋体"/>
          <w:color w:val="auto"/>
          <w:sz w:val="24"/>
          <w:highlight w:val="none"/>
          <w:u w:val="single"/>
        </w:rPr>
      </w:pPr>
      <w:r>
        <w:rPr>
          <w:rFonts w:hint="eastAsia" w:ascii="宋体"/>
          <w:color w:val="auto"/>
          <w:sz w:val="24"/>
          <w:highlight w:val="none"/>
        </w:rPr>
        <w:t xml:space="preserve">           </w:t>
      </w:r>
    </w:p>
    <w:p w14:paraId="0C7DED4B">
      <w:pPr>
        <w:spacing w:line="400" w:lineRule="exact"/>
        <w:ind w:firstLine="2520" w:firstLineChars="1200"/>
        <w:rPr>
          <w:rFonts w:ascii="宋体"/>
          <w:color w:val="auto"/>
          <w:highlight w:val="none"/>
        </w:rPr>
      </w:pPr>
    </w:p>
    <w:p w14:paraId="2FE27956">
      <w:pPr>
        <w:pStyle w:val="2"/>
        <w:ind w:firstLine="560"/>
        <w:rPr>
          <w:rFonts w:ascii="宋体"/>
          <w:color w:val="auto"/>
          <w:szCs w:val="21"/>
          <w:highlight w:val="none"/>
        </w:rPr>
      </w:pPr>
      <w:r>
        <w:rPr>
          <w:rFonts w:hint="eastAsia" w:ascii="宋体"/>
          <w:color w:val="auto"/>
          <w:szCs w:val="21"/>
          <w:highlight w:val="none"/>
        </w:rPr>
        <w:t xml:space="preserve">  </w:t>
      </w:r>
    </w:p>
    <w:p w14:paraId="082139EC">
      <w:pPr>
        <w:rPr>
          <w:color w:val="auto"/>
          <w:highlight w:val="none"/>
        </w:rPr>
      </w:pPr>
    </w:p>
    <w:p w14:paraId="7940723D">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投标单位：</w:t>
      </w:r>
      <w:r>
        <w:rPr>
          <w:rFonts w:ascii="宋体" w:hAnsi="宋体"/>
          <w:color w:val="auto"/>
          <w:sz w:val="24"/>
          <w:szCs w:val="24"/>
          <w:highlight w:val="none"/>
          <w:u w:val="single"/>
        </w:rPr>
        <w:t xml:space="preserve">                              </w:t>
      </w:r>
      <w:r>
        <w:rPr>
          <w:rFonts w:hint="eastAsia"/>
          <w:color w:val="auto"/>
          <w:sz w:val="24"/>
          <w:szCs w:val="24"/>
          <w:highlight w:val="none"/>
          <w:u w:val="single"/>
        </w:rPr>
        <w:t>（盖章）</w:t>
      </w:r>
    </w:p>
    <w:p w14:paraId="14162E56">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（签字或盖章）</w:t>
      </w:r>
    </w:p>
    <w:p w14:paraId="0A06581B">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单位地址：</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423FAD04">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邮政编码：</w:t>
      </w:r>
      <w:r>
        <w:rPr>
          <w:rFonts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rPr>
        <w:t>传真：</w:t>
      </w:r>
      <w:r>
        <w:rPr>
          <w:rFonts w:ascii="宋体" w:hAnsi="宋体"/>
          <w:color w:val="auto"/>
          <w:sz w:val="24"/>
          <w:szCs w:val="24"/>
          <w:highlight w:val="none"/>
          <w:u w:val="single"/>
        </w:rPr>
        <w:t xml:space="preserve">               </w:t>
      </w:r>
    </w:p>
    <w:p w14:paraId="004EFB51">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07BC352">
      <w:pPr>
        <w:rPr>
          <w:rFonts w:ascii="仿宋" w:hAnsi="仿宋" w:eastAsia="仿宋" w:cs="仿宋"/>
          <w:b/>
          <w:bCs/>
          <w:color w:val="auto"/>
          <w:kern w:val="0"/>
          <w:sz w:val="30"/>
          <w:szCs w:val="30"/>
          <w:highlight w:val="none"/>
        </w:rPr>
      </w:pPr>
      <w:r>
        <w:rPr>
          <w:rFonts w:ascii="仿宋" w:hAnsi="仿宋" w:eastAsia="仿宋" w:cs="仿宋"/>
          <w:b/>
          <w:bCs/>
          <w:color w:val="auto"/>
          <w:kern w:val="0"/>
          <w:sz w:val="30"/>
          <w:szCs w:val="30"/>
          <w:highlight w:val="none"/>
        </w:rPr>
        <w:br w:type="page"/>
      </w:r>
    </w:p>
    <w:p w14:paraId="2113F080">
      <w:pPr>
        <w:pStyle w:val="6"/>
        <w:spacing w:before="0" w:after="0"/>
        <w:rPr>
          <w:rFonts w:ascii="宋体" w:hAnsi="宋体" w:eastAsia="宋体" w:cs="宋体"/>
          <w:color w:val="auto"/>
          <w:kern w:val="2"/>
          <w:sz w:val="28"/>
          <w:szCs w:val="28"/>
          <w:highlight w:val="none"/>
        </w:rPr>
      </w:pPr>
      <w:bookmarkStart w:id="161" w:name="_Toc23863"/>
      <w:bookmarkStart w:id="162" w:name="_Toc25509"/>
      <w:bookmarkStart w:id="163" w:name="_Toc6092"/>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七</w:t>
      </w:r>
      <w:r>
        <w:rPr>
          <w:rFonts w:hint="eastAsia" w:ascii="宋体" w:hAnsi="宋体" w:eastAsia="宋体" w:cs="宋体"/>
          <w:color w:val="auto"/>
          <w:kern w:val="2"/>
          <w:sz w:val="28"/>
          <w:szCs w:val="28"/>
          <w:highlight w:val="none"/>
        </w:rPr>
        <w:t>章招标单位、招标代理机构对本招标文件的确认</w:t>
      </w:r>
      <w:bookmarkEnd w:id="161"/>
      <w:bookmarkEnd w:id="162"/>
      <w:bookmarkEnd w:id="163"/>
    </w:p>
    <w:tbl>
      <w:tblPr>
        <w:tblStyle w:val="4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45AD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1" w:hRule="atLeast"/>
        </w:trPr>
        <w:tc>
          <w:tcPr>
            <w:tcW w:w="9456" w:type="dxa"/>
          </w:tcPr>
          <w:p w14:paraId="3B6006AB">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7C4D6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default"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rPr>
              <w:t>滁州市建筑垃圾综合处置项目（一期）跟踪审计服务项目</w:t>
            </w:r>
            <w:r>
              <w:rPr>
                <w:rFonts w:hint="eastAsia" w:ascii="宋体" w:hAnsi="宋体" w:cs="宋体"/>
                <w:color w:val="auto"/>
                <w:sz w:val="28"/>
                <w:szCs w:val="28"/>
                <w:highlight w:val="none"/>
              </w:rPr>
              <w:t>的招标文件进行确认。</w:t>
            </w:r>
          </w:p>
          <w:p w14:paraId="7B3790E9">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00248313">
            <w:pPr>
              <w:keepNext w:val="0"/>
              <w:keepLines w:val="0"/>
              <w:suppressLineNumbers w:val="0"/>
              <w:spacing w:before="0" w:beforeAutospacing="0" w:after="0" w:afterAutospacing="0" w:line="480" w:lineRule="auto"/>
              <w:ind w:left="0" w:right="0" w:firstLine="280" w:firstLineChars="100"/>
              <w:rPr>
                <w:rFonts w:hint="eastAsia" w:ascii="宋体" w:hAnsi="宋体" w:eastAsia="宋体" w:cs="宋体"/>
                <w:color w:val="auto"/>
                <w:sz w:val="30"/>
                <w:szCs w:val="30"/>
                <w:highlight w:val="none"/>
                <w:lang w:eastAsia="zh-CN"/>
              </w:rPr>
            </w:pPr>
            <w:r>
              <w:rPr>
                <w:rFonts w:hint="eastAsia" w:ascii="宋体" w:hAnsi="宋体" w:cs="宋体"/>
                <w:color w:val="auto"/>
                <w:sz w:val="28"/>
                <w:szCs w:val="28"/>
                <w:highlight w:val="none"/>
              </w:rPr>
              <w:t>招标人：滁州市皖能兴滁环境科技有限公司</w:t>
            </w:r>
          </w:p>
          <w:p w14:paraId="23F4A8E1">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联系人：陈倩倩、江玉龙 </w:t>
            </w:r>
          </w:p>
          <w:p w14:paraId="67903E02">
            <w:pPr>
              <w:keepNext w:val="0"/>
              <w:keepLines w:val="0"/>
              <w:suppressLineNumbers w:val="0"/>
              <w:spacing w:before="0" w:beforeAutospacing="0" w:after="0" w:afterAutospacing="0" w:line="500" w:lineRule="exact"/>
              <w:ind w:left="0" w:right="0" w:firstLine="280" w:firstLineChars="100"/>
              <w:rPr>
                <w:rFonts w:hint="default" w:ascii="宋体" w:hAnsi="宋体" w:cs="宋体"/>
                <w:b/>
                <w:bCs/>
                <w:color w:val="auto"/>
                <w:sz w:val="28"/>
                <w:szCs w:val="28"/>
                <w:highlight w:val="none"/>
              </w:rPr>
            </w:pPr>
            <w:r>
              <w:rPr>
                <w:rFonts w:hint="eastAsia" w:ascii="宋体" w:hAnsi="宋体" w:cs="宋体"/>
                <w:color w:val="auto"/>
                <w:sz w:val="28"/>
                <w:szCs w:val="28"/>
                <w:highlight w:val="none"/>
              </w:rPr>
              <w:t xml:space="preserve">联系电话：18726618862、18130062551 </w:t>
            </w:r>
          </w:p>
          <w:p w14:paraId="1BF69E71">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7E8D7F45">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14:paraId="3BA79CDC">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03D0FC84">
            <w:pPr>
              <w:keepNext w:val="0"/>
              <w:keepLines w:val="0"/>
              <w:suppressLineNumbers w:val="0"/>
              <w:spacing w:before="0" w:beforeAutospacing="0" w:after="0" w:afterAutospacing="0"/>
              <w:ind w:left="0" w:right="0" w:firstLine="5320" w:firstLineChars="19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 xml:space="preserve">           20</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20日</w:t>
            </w:r>
          </w:p>
        </w:tc>
      </w:tr>
      <w:tr w14:paraId="116C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77B76203">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211A4EB2">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p>
          <w:p w14:paraId="314546A4">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田甜</w:t>
            </w:r>
          </w:p>
          <w:p w14:paraId="2D6EA1D0">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15955005370</w:t>
            </w:r>
          </w:p>
          <w:p w14:paraId="5D2D63C7">
            <w:pPr>
              <w:keepNext w:val="0"/>
              <w:keepLines w:val="0"/>
              <w:suppressLineNumbers w:val="0"/>
              <w:spacing w:before="0" w:beforeAutospacing="0" w:after="0" w:afterAutospacing="0"/>
              <w:ind w:left="0" w:right="0"/>
              <w:rPr>
                <w:rFonts w:hint="default" w:ascii="宋体" w:hAnsi="宋体" w:cs="宋体"/>
                <w:color w:val="auto"/>
                <w:sz w:val="28"/>
                <w:szCs w:val="28"/>
                <w:highlight w:val="none"/>
              </w:rPr>
            </w:pPr>
          </w:p>
          <w:p w14:paraId="1C0E2F78">
            <w:pPr>
              <w:keepNext w:val="0"/>
              <w:keepLines w:val="0"/>
              <w:suppressLineNumbers w:val="0"/>
              <w:spacing w:before="0" w:beforeAutospacing="0" w:after="0" w:afterAutospacing="0"/>
              <w:ind w:left="0" w:right="0" w:firstLine="5320" w:firstLineChars="19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059FA24D">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14:paraId="2DB5ACCD">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383036BC">
            <w:pPr>
              <w:keepNext w:val="0"/>
              <w:keepLines w:val="0"/>
              <w:suppressLineNumbers w:val="0"/>
              <w:spacing w:before="0" w:beforeAutospacing="0" w:after="0" w:afterAutospacing="0"/>
              <w:ind w:left="0" w:right="0" w:firstLine="4900" w:firstLineChars="175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20日</w:t>
            </w:r>
          </w:p>
        </w:tc>
      </w:tr>
    </w:tbl>
    <w:p w14:paraId="6BE2EBDE">
      <w:pPr>
        <w:pStyle w:val="19"/>
        <w:jc w:val="left"/>
        <w:rPr>
          <w:rFonts w:ascii="仿宋" w:hAnsi="仿宋" w:eastAsia="仿宋" w:cs="仿宋"/>
          <w:color w:val="auto"/>
          <w:kern w:val="0"/>
          <w:sz w:val="24"/>
          <w:szCs w:val="24"/>
          <w:highlight w:val="none"/>
        </w:rPr>
      </w:pPr>
    </w:p>
    <w:sectPr>
      <w:footerReference r:id="rId12"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汉仪大黑简">
    <w:altName w:val="黑体"/>
    <w:panose1 w:val="02010600000001010101"/>
    <w:charset w:val="86"/>
    <w:family w:val="auto"/>
    <w:pitch w:val="default"/>
    <w:sig w:usb0="00000000" w:usb1="00000000" w:usb2="00000002"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7A"/>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37ED">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3513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F3513A">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EE38A7B">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0DC7CC6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0DC7CC6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42A3">
    <w:pPr>
      <w:pStyle w:val="29"/>
      <w:tabs>
        <w:tab w:val="center" w:pos="748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4E73">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CAE4E73">
                    <w:pPr>
                      <w:pStyle w:val="29"/>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940C">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E761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8FE761D">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972F942">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6D46BBAD"/>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6D46BBAD"/>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6CB4">
    <w:pPr>
      <w:pStyle w:val="29"/>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1180A">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3F1180A">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A913">
    <w:pPr>
      <w:pStyle w:val="29"/>
      <w:tabs>
        <w:tab w:val="clear" w:pos="4153"/>
        <w:tab w:val="clear" w:pos="8306"/>
      </w:tabs>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1E44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471E44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0403">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BF3C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E4BF3C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C965">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07EA2">
                          <w:pPr>
                            <w:pStyle w:val="2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CB07EA2">
                    <w:pPr>
                      <w:pStyle w:val="2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6BEC">
    <w:pPr>
      <w:pStyle w:val="29"/>
      <w:rPr>
        <w:rStyle w:val="49"/>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E5CE">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4A7E5CE">
                    <w:pPr>
                      <w:pStyle w:val="29"/>
                    </w:pPr>
                    <w:r>
                      <w:fldChar w:fldCharType="begin"/>
                    </w:r>
                    <w:r>
                      <w:instrText xml:space="preserve"> PAGE  \* MERGEFORMAT </w:instrText>
                    </w:r>
                    <w:r>
                      <w:fldChar w:fldCharType="separate"/>
                    </w:r>
                    <w:r>
                      <w:t>19</w:t>
                    </w:r>
                    <w:r>
                      <w:fldChar w:fldCharType="end"/>
                    </w:r>
                  </w:p>
                </w:txbxContent>
              </v:textbox>
            </v:shape>
          </w:pict>
        </mc:Fallback>
      </mc:AlternateContent>
    </w:r>
  </w:p>
  <w:p w14:paraId="103B26F7">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338EC403"/>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338EC403"/>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3449">
    <w:pPr>
      <w:pStyle w:val="30"/>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41F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99AB"/>
    <w:multiLevelType w:val="singleLevel"/>
    <w:tmpl w:val="CF2F99AB"/>
    <w:lvl w:ilvl="0" w:tentative="0">
      <w:start w:val="2"/>
      <w:numFmt w:val="chineseCounting"/>
      <w:suff w:val="space"/>
      <w:lvlText w:val="第%1部分"/>
      <w:lvlJc w:val="left"/>
      <w:rPr>
        <w:rFonts w:hint="eastAsia"/>
      </w:rPr>
    </w:lvl>
  </w:abstractNum>
  <w:abstractNum w:abstractNumId="1">
    <w:nsid w:val="00000011"/>
    <w:multiLevelType w:val="singleLevel"/>
    <w:tmpl w:val="00000011"/>
    <w:lvl w:ilvl="0" w:tentative="0">
      <w:start w:val="2"/>
      <w:numFmt w:val="decimal"/>
      <w:suff w:val="nothing"/>
      <w:lvlText w:val="（%1）"/>
      <w:lvlJc w:val="left"/>
    </w:lvl>
  </w:abstractNum>
  <w:abstractNum w:abstractNumId="2">
    <w:nsid w:val="63AFFB15"/>
    <w:multiLevelType w:val="singleLevel"/>
    <w:tmpl w:val="63AFFB15"/>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7DEA"/>
    <w:rsid w:val="000407AC"/>
    <w:rsid w:val="00040A78"/>
    <w:rsid w:val="00057816"/>
    <w:rsid w:val="000B6281"/>
    <w:rsid w:val="000E13AD"/>
    <w:rsid w:val="00131FFF"/>
    <w:rsid w:val="00135312"/>
    <w:rsid w:val="00144E2C"/>
    <w:rsid w:val="001643AB"/>
    <w:rsid w:val="0016450D"/>
    <w:rsid w:val="00182F47"/>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54075"/>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B1E23"/>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C2619"/>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842E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B12E58"/>
    <w:rsid w:val="01C74751"/>
    <w:rsid w:val="01CC1A40"/>
    <w:rsid w:val="0200793B"/>
    <w:rsid w:val="02451D44"/>
    <w:rsid w:val="02494B2C"/>
    <w:rsid w:val="02860CE1"/>
    <w:rsid w:val="02966A1D"/>
    <w:rsid w:val="02A06DF6"/>
    <w:rsid w:val="02AB5AF9"/>
    <w:rsid w:val="03311B51"/>
    <w:rsid w:val="034073BB"/>
    <w:rsid w:val="035607B0"/>
    <w:rsid w:val="035A0B08"/>
    <w:rsid w:val="03650522"/>
    <w:rsid w:val="03DD3435"/>
    <w:rsid w:val="042D2167"/>
    <w:rsid w:val="04880F3B"/>
    <w:rsid w:val="04921CCE"/>
    <w:rsid w:val="04BB1052"/>
    <w:rsid w:val="04CF29CE"/>
    <w:rsid w:val="04D53301"/>
    <w:rsid w:val="052F2A11"/>
    <w:rsid w:val="05943D22"/>
    <w:rsid w:val="059F141A"/>
    <w:rsid w:val="05B44CC5"/>
    <w:rsid w:val="06176B26"/>
    <w:rsid w:val="06421DF6"/>
    <w:rsid w:val="065021C6"/>
    <w:rsid w:val="068C79F0"/>
    <w:rsid w:val="0696261C"/>
    <w:rsid w:val="07023E8A"/>
    <w:rsid w:val="07041C7C"/>
    <w:rsid w:val="073F34F8"/>
    <w:rsid w:val="07A959F9"/>
    <w:rsid w:val="07B90CB8"/>
    <w:rsid w:val="07CB0304"/>
    <w:rsid w:val="08017F69"/>
    <w:rsid w:val="08091979"/>
    <w:rsid w:val="08D613F6"/>
    <w:rsid w:val="08EE1782"/>
    <w:rsid w:val="094625ED"/>
    <w:rsid w:val="098C0FAE"/>
    <w:rsid w:val="09A34B6E"/>
    <w:rsid w:val="09AF2373"/>
    <w:rsid w:val="09DE0E66"/>
    <w:rsid w:val="0A1370D9"/>
    <w:rsid w:val="0A426E3F"/>
    <w:rsid w:val="0A783487"/>
    <w:rsid w:val="0A7A70EE"/>
    <w:rsid w:val="0A821835"/>
    <w:rsid w:val="0A8A693C"/>
    <w:rsid w:val="0A920A74"/>
    <w:rsid w:val="0B3B4932"/>
    <w:rsid w:val="0B594C9F"/>
    <w:rsid w:val="0B5C7C37"/>
    <w:rsid w:val="0B8A5AE2"/>
    <w:rsid w:val="0BD70F17"/>
    <w:rsid w:val="0C0134F9"/>
    <w:rsid w:val="0C0D4C1D"/>
    <w:rsid w:val="0C4D19CF"/>
    <w:rsid w:val="0C5E2909"/>
    <w:rsid w:val="0C632FA1"/>
    <w:rsid w:val="0C99751F"/>
    <w:rsid w:val="0CDE4AF1"/>
    <w:rsid w:val="0D2F7233"/>
    <w:rsid w:val="0D31264B"/>
    <w:rsid w:val="0D503DE8"/>
    <w:rsid w:val="0D5E4FBA"/>
    <w:rsid w:val="0DB0649C"/>
    <w:rsid w:val="0E6D2AA6"/>
    <w:rsid w:val="0E832759"/>
    <w:rsid w:val="0EF822F0"/>
    <w:rsid w:val="0F094152"/>
    <w:rsid w:val="0F260D83"/>
    <w:rsid w:val="0F3872E6"/>
    <w:rsid w:val="0F74337A"/>
    <w:rsid w:val="0F784FB5"/>
    <w:rsid w:val="101C1DE4"/>
    <w:rsid w:val="106F1985"/>
    <w:rsid w:val="111C1443"/>
    <w:rsid w:val="11F272A1"/>
    <w:rsid w:val="11FC0C31"/>
    <w:rsid w:val="12021072"/>
    <w:rsid w:val="12543983"/>
    <w:rsid w:val="126006AE"/>
    <w:rsid w:val="12A948F2"/>
    <w:rsid w:val="12B665CC"/>
    <w:rsid w:val="137A735A"/>
    <w:rsid w:val="13B24508"/>
    <w:rsid w:val="13B53817"/>
    <w:rsid w:val="13B862C8"/>
    <w:rsid w:val="13BD1EF1"/>
    <w:rsid w:val="13D65BBB"/>
    <w:rsid w:val="140A3F0D"/>
    <w:rsid w:val="143A5F3C"/>
    <w:rsid w:val="14620C2E"/>
    <w:rsid w:val="14922675"/>
    <w:rsid w:val="14A64A45"/>
    <w:rsid w:val="14CB202B"/>
    <w:rsid w:val="151E0989"/>
    <w:rsid w:val="15280D0B"/>
    <w:rsid w:val="154E7339"/>
    <w:rsid w:val="15862C54"/>
    <w:rsid w:val="15B871E8"/>
    <w:rsid w:val="15D60886"/>
    <w:rsid w:val="15EF66EB"/>
    <w:rsid w:val="16495EC0"/>
    <w:rsid w:val="165752E8"/>
    <w:rsid w:val="16592CBA"/>
    <w:rsid w:val="16795E94"/>
    <w:rsid w:val="16A220B2"/>
    <w:rsid w:val="16AB249D"/>
    <w:rsid w:val="16B85EAA"/>
    <w:rsid w:val="16F07B27"/>
    <w:rsid w:val="179761F4"/>
    <w:rsid w:val="182226C4"/>
    <w:rsid w:val="1830556D"/>
    <w:rsid w:val="18791F1E"/>
    <w:rsid w:val="18A84692"/>
    <w:rsid w:val="18C846E7"/>
    <w:rsid w:val="18D82529"/>
    <w:rsid w:val="19D85993"/>
    <w:rsid w:val="1A7408B4"/>
    <w:rsid w:val="1A7A2554"/>
    <w:rsid w:val="1A7F4297"/>
    <w:rsid w:val="1AB5410B"/>
    <w:rsid w:val="1B0F337F"/>
    <w:rsid w:val="1B334333"/>
    <w:rsid w:val="1B5C44DC"/>
    <w:rsid w:val="1B5E2E01"/>
    <w:rsid w:val="1B6338B0"/>
    <w:rsid w:val="1B8B1170"/>
    <w:rsid w:val="1BA355D9"/>
    <w:rsid w:val="1BEC5215"/>
    <w:rsid w:val="1C136BB6"/>
    <w:rsid w:val="1C4B5EA8"/>
    <w:rsid w:val="1CA4388D"/>
    <w:rsid w:val="1CC23B65"/>
    <w:rsid w:val="1CD5344A"/>
    <w:rsid w:val="1D157916"/>
    <w:rsid w:val="1D4E7880"/>
    <w:rsid w:val="1DD14CA1"/>
    <w:rsid w:val="1DEB0A3D"/>
    <w:rsid w:val="1E1554ED"/>
    <w:rsid w:val="1E2D3E8E"/>
    <w:rsid w:val="1EA062D6"/>
    <w:rsid w:val="1EA50719"/>
    <w:rsid w:val="1F1D7927"/>
    <w:rsid w:val="1F4343CD"/>
    <w:rsid w:val="1FC72549"/>
    <w:rsid w:val="206778EF"/>
    <w:rsid w:val="20775E12"/>
    <w:rsid w:val="207B6E01"/>
    <w:rsid w:val="20A803FD"/>
    <w:rsid w:val="20C152CD"/>
    <w:rsid w:val="20F63F8C"/>
    <w:rsid w:val="21721D27"/>
    <w:rsid w:val="219D0B32"/>
    <w:rsid w:val="21CD1190"/>
    <w:rsid w:val="21D56910"/>
    <w:rsid w:val="221255C2"/>
    <w:rsid w:val="224D0523"/>
    <w:rsid w:val="229654D3"/>
    <w:rsid w:val="232A43C0"/>
    <w:rsid w:val="233E1D76"/>
    <w:rsid w:val="237B0CC8"/>
    <w:rsid w:val="239006C7"/>
    <w:rsid w:val="23957430"/>
    <w:rsid w:val="23B333EF"/>
    <w:rsid w:val="23B802A0"/>
    <w:rsid w:val="23F15F55"/>
    <w:rsid w:val="240759C8"/>
    <w:rsid w:val="24305A06"/>
    <w:rsid w:val="243D2848"/>
    <w:rsid w:val="2443398C"/>
    <w:rsid w:val="248851A7"/>
    <w:rsid w:val="249E5066"/>
    <w:rsid w:val="24CE2D2C"/>
    <w:rsid w:val="24D66607"/>
    <w:rsid w:val="25236015"/>
    <w:rsid w:val="257B7155"/>
    <w:rsid w:val="25AD7A6E"/>
    <w:rsid w:val="25D05377"/>
    <w:rsid w:val="261D1282"/>
    <w:rsid w:val="26252182"/>
    <w:rsid w:val="265E174C"/>
    <w:rsid w:val="265F1BC5"/>
    <w:rsid w:val="2686038F"/>
    <w:rsid w:val="268F110A"/>
    <w:rsid w:val="26B66697"/>
    <w:rsid w:val="26CF7E49"/>
    <w:rsid w:val="26D6442E"/>
    <w:rsid w:val="27270303"/>
    <w:rsid w:val="27545EB0"/>
    <w:rsid w:val="279A1B15"/>
    <w:rsid w:val="27E86D24"/>
    <w:rsid w:val="28164313"/>
    <w:rsid w:val="285C6DCA"/>
    <w:rsid w:val="286B525F"/>
    <w:rsid w:val="28C72B2B"/>
    <w:rsid w:val="28D9041B"/>
    <w:rsid w:val="28E444C1"/>
    <w:rsid w:val="293B07C3"/>
    <w:rsid w:val="294F123E"/>
    <w:rsid w:val="296F5223"/>
    <w:rsid w:val="29A053DC"/>
    <w:rsid w:val="29BA649E"/>
    <w:rsid w:val="29F83D52"/>
    <w:rsid w:val="2A081AFD"/>
    <w:rsid w:val="2A241E9E"/>
    <w:rsid w:val="2AB033FD"/>
    <w:rsid w:val="2ADF1DAB"/>
    <w:rsid w:val="2B0B00AD"/>
    <w:rsid w:val="2B163BA8"/>
    <w:rsid w:val="2B420197"/>
    <w:rsid w:val="2BB50F01"/>
    <w:rsid w:val="2C2C11A9"/>
    <w:rsid w:val="2C567CF3"/>
    <w:rsid w:val="2C874AAF"/>
    <w:rsid w:val="2C8E66A6"/>
    <w:rsid w:val="2CAF5168"/>
    <w:rsid w:val="2CBB47F9"/>
    <w:rsid w:val="2CD755B9"/>
    <w:rsid w:val="2D111FD8"/>
    <w:rsid w:val="2D275EB3"/>
    <w:rsid w:val="2D4A1910"/>
    <w:rsid w:val="2E6B0765"/>
    <w:rsid w:val="2E9077CD"/>
    <w:rsid w:val="2E976DAE"/>
    <w:rsid w:val="2EFD1D1D"/>
    <w:rsid w:val="2F067A90"/>
    <w:rsid w:val="2F3A186E"/>
    <w:rsid w:val="2F5702EB"/>
    <w:rsid w:val="2FA662DF"/>
    <w:rsid w:val="2FD92302"/>
    <w:rsid w:val="30847806"/>
    <w:rsid w:val="31413001"/>
    <w:rsid w:val="326A2A2B"/>
    <w:rsid w:val="32774590"/>
    <w:rsid w:val="32852601"/>
    <w:rsid w:val="329F4483"/>
    <w:rsid w:val="332433C5"/>
    <w:rsid w:val="3376156C"/>
    <w:rsid w:val="339C188C"/>
    <w:rsid w:val="33BD26F8"/>
    <w:rsid w:val="340E5D78"/>
    <w:rsid w:val="3411315F"/>
    <w:rsid w:val="343D21A6"/>
    <w:rsid w:val="348E387D"/>
    <w:rsid w:val="34AC10D9"/>
    <w:rsid w:val="34C870C7"/>
    <w:rsid w:val="34FD7B87"/>
    <w:rsid w:val="35624F4C"/>
    <w:rsid w:val="359B0230"/>
    <w:rsid w:val="35A46FAE"/>
    <w:rsid w:val="35C6058E"/>
    <w:rsid w:val="3628257B"/>
    <w:rsid w:val="36897924"/>
    <w:rsid w:val="371F6D9C"/>
    <w:rsid w:val="3750497A"/>
    <w:rsid w:val="37D6506A"/>
    <w:rsid w:val="37E1553E"/>
    <w:rsid w:val="380A4A95"/>
    <w:rsid w:val="38221F30"/>
    <w:rsid w:val="38483D6F"/>
    <w:rsid w:val="38666BBA"/>
    <w:rsid w:val="3923202B"/>
    <w:rsid w:val="39445D84"/>
    <w:rsid w:val="397A0421"/>
    <w:rsid w:val="398960D8"/>
    <w:rsid w:val="39BC6D10"/>
    <w:rsid w:val="39F2247F"/>
    <w:rsid w:val="3A03179B"/>
    <w:rsid w:val="3A066436"/>
    <w:rsid w:val="3A2516BB"/>
    <w:rsid w:val="3A267238"/>
    <w:rsid w:val="3A374A52"/>
    <w:rsid w:val="3A824DB6"/>
    <w:rsid w:val="3A9A4537"/>
    <w:rsid w:val="3AC151B3"/>
    <w:rsid w:val="3B086187"/>
    <w:rsid w:val="3B3C635C"/>
    <w:rsid w:val="3B4A51A8"/>
    <w:rsid w:val="3B9308FD"/>
    <w:rsid w:val="3B993AF3"/>
    <w:rsid w:val="3BAE1BDB"/>
    <w:rsid w:val="3BB16FD5"/>
    <w:rsid w:val="3BB8063A"/>
    <w:rsid w:val="3BCD1B9B"/>
    <w:rsid w:val="3BCE402B"/>
    <w:rsid w:val="3C1C481B"/>
    <w:rsid w:val="3C575071"/>
    <w:rsid w:val="3CC30AB3"/>
    <w:rsid w:val="3CCB04A6"/>
    <w:rsid w:val="3CD37326"/>
    <w:rsid w:val="3D4F308A"/>
    <w:rsid w:val="3D675F7C"/>
    <w:rsid w:val="3DB84470"/>
    <w:rsid w:val="3DBA4867"/>
    <w:rsid w:val="3DCB19FA"/>
    <w:rsid w:val="3DD408C3"/>
    <w:rsid w:val="3DD53C41"/>
    <w:rsid w:val="3E3B0878"/>
    <w:rsid w:val="3EB968CD"/>
    <w:rsid w:val="3EED354E"/>
    <w:rsid w:val="3F173AB4"/>
    <w:rsid w:val="3F1B1C27"/>
    <w:rsid w:val="3F4E74DA"/>
    <w:rsid w:val="3F7A539C"/>
    <w:rsid w:val="3FA30AEA"/>
    <w:rsid w:val="3FB5783A"/>
    <w:rsid w:val="3FBD7842"/>
    <w:rsid w:val="4060397D"/>
    <w:rsid w:val="408338D7"/>
    <w:rsid w:val="40842F0A"/>
    <w:rsid w:val="40D11000"/>
    <w:rsid w:val="41510996"/>
    <w:rsid w:val="41CC6917"/>
    <w:rsid w:val="41DA7286"/>
    <w:rsid w:val="41E96622"/>
    <w:rsid w:val="42147451"/>
    <w:rsid w:val="42D367F7"/>
    <w:rsid w:val="42EA174A"/>
    <w:rsid w:val="43544E16"/>
    <w:rsid w:val="43881670"/>
    <w:rsid w:val="438A6CA4"/>
    <w:rsid w:val="43A22025"/>
    <w:rsid w:val="43AB65DF"/>
    <w:rsid w:val="43E82525"/>
    <w:rsid w:val="4431123E"/>
    <w:rsid w:val="44580936"/>
    <w:rsid w:val="446023D9"/>
    <w:rsid w:val="44646797"/>
    <w:rsid w:val="447D039C"/>
    <w:rsid w:val="44894F93"/>
    <w:rsid w:val="44A8055A"/>
    <w:rsid w:val="4530540F"/>
    <w:rsid w:val="45465E6E"/>
    <w:rsid w:val="455C4456"/>
    <w:rsid w:val="456218C2"/>
    <w:rsid w:val="45AF30FD"/>
    <w:rsid w:val="45B46563"/>
    <w:rsid w:val="45C73FC5"/>
    <w:rsid w:val="46482AF5"/>
    <w:rsid w:val="465B3014"/>
    <w:rsid w:val="466F2DE7"/>
    <w:rsid w:val="46916DC7"/>
    <w:rsid w:val="46D84867"/>
    <w:rsid w:val="471E7C15"/>
    <w:rsid w:val="472F5293"/>
    <w:rsid w:val="479A0405"/>
    <w:rsid w:val="47C102C8"/>
    <w:rsid w:val="47CB2025"/>
    <w:rsid w:val="47DB0FE0"/>
    <w:rsid w:val="48594C7C"/>
    <w:rsid w:val="485A4022"/>
    <w:rsid w:val="48965ED0"/>
    <w:rsid w:val="48986B3F"/>
    <w:rsid w:val="48B819A3"/>
    <w:rsid w:val="49B66251"/>
    <w:rsid w:val="4A0D21C2"/>
    <w:rsid w:val="4A104F60"/>
    <w:rsid w:val="4A2C2648"/>
    <w:rsid w:val="4A3729E1"/>
    <w:rsid w:val="4AB22C06"/>
    <w:rsid w:val="4AC22FAD"/>
    <w:rsid w:val="4AC7233B"/>
    <w:rsid w:val="4B1E5923"/>
    <w:rsid w:val="4B3A2B43"/>
    <w:rsid w:val="4B490FD8"/>
    <w:rsid w:val="4B9F76BF"/>
    <w:rsid w:val="4BAA4F08"/>
    <w:rsid w:val="4BB93099"/>
    <w:rsid w:val="4C147838"/>
    <w:rsid w:val="4C312198"/>
    <w:rsid w:val="4C7B3413"/>
    <w:rsid w:val="4C9E15DF"/>
    <w:rsid w:val="4CBD494A"/>
    <w:rsid w:val="4CD40000"/>
    <w:rsid w:val="4CD65604"/>
    <w:rsid w:val="4CD87112"/>
    <w:rsid w:val="4D151ABA"/>
    <w:rsid w:val="4D4203D5"/>
    <w:rsid w:val="4D590848"/>
    <w:rsid w:val="4D785BA5"/>
    <w:rsid w:val="4D9B2BA2"/>
    <w:rsid w:val="4DDC7792"/>
    <w:rsid w:val="4E532013"/>
    <w:rsid w:val="4E5C029C"/>
    <w:rsid w:val="4EF43951"/>
    <w:rsid w:val="4F0A0A7E"/>
    <w:rsid w:val="4F2C4E99"/>
    <w:rsid w:val="4F8A1859"/>
    <w:rsid w:val="4FD23591"/>
    <w:rsid w:val="4FF65457"/>
    <w:rsid w:val="502D24E4"/>
    <w:rsid w:val="50615016"/>
    <w:rsid w:val="50681F00"/>
    <w:rsid w:val="5087096D"/>
    <w:rsid w:val="50CC1AE3"/>
    <w:rsid w:val="50D75B93"/>
    <w:rsid w:val="50F876EA"/>
    <w:rsid w:val="51393D98"/>
    <w:rsid w:val="51510BE7"/>
    <w:rsid w:val="516B4DC3"/>
    <w:rsid w:val="522B7EBA"/>
    <w:rsid w:val="52524C16"/>
    <w:rsid w:val="52A2363E"/>
    <w:rsid w:val="52C13A04"/>
    <w:rsid w:val="52CE5689"/>
    <w:rsid w:val="530D6D8F"/>
    <w:rsid w:val="53122999"/>
    <w:rsid w:val="531F6F64"/>
    <w:rsid w:val="53294814"/>
    <w:rsid w:val="53545FFA"/>
    <w:rsid w:val="539128D9"/>
    <w:rsid w:val="544929FF"/>
    <w:rsid w:val="54727BA5"/>
    <w:rsid w:val="54DE09E3"/>
    <w:rsid w:val="55144405"/>
    <w:rsid w:val="553E76D4"/>
    <w:rsid w:val="558A3D0F"/>
    <w:rsid w:val="55A16B67"/>
    <w:rsid w:val="55AD03B6"/>
    <w:rsid w:val="56327239"/>
    <w:rsid w:val="56395B87"/>
    <w:rsid w:val="569E5C28"/>
    <w:rsid w:val="56F5327C"/>
    <w:rsid w:val="56FB2B1E"/>
    <w:rsid w:val="571C5F2B"/>
    <w:rsid w:val="57313D11"/>
    <w:rsid w:val="578D049F"/>
    <w:rsid w:val="578D69F6"/>
    <w:rsid w:val="57BE6431"/>
    <w:rsid w:val="57F416AF"/>
    <w:rsid w:val="59103D2C"/>
    <w:rsid w:val="593C03CE"/>
    <w:rsid w:val="599A4762"/>
    <w:rsid w:val="599A64DF"/>
    <w:rsid w:val="5AA13F8B"/>
    <w:rsid w:val="5AE12FDB"/>
    <w:rsid w:val="5AFB6FFA"/>
    <w:rsid w:val="5B361E7C"/>
    <w:rsid w:val="5B554B3E"/>
    <w:rsid w:val="5B5877E2"/>
    <w:rsid w:val="5B5E287E"/>
    <w:rsid w:val="5BC85F49"/>
    <w:rsid w:val="5BE3458F"/>
    <w:rsid w:val="5BE73983"/>
    <w:rsid w:val="5CC32F12"/>
    <w:rsid w:val="5CDA3BBB"/>
    <w:rsid w:val="5D0D455B"/>
    <w:rsid w:val="5D186A5C"/>
    <w:rsid w:val="5D2C42B6"/>
    <w:rsid w:val="5DB744C7"/>
    <w:rsid w:val="5DC40368"/>
    <w:rsid w:val="5DCB3ACF"/>
    <w:rsid w:val="5DD0286D"/>
    <w:rsid w:val="5DF40F6B"/>
    <w:rsid w:val="5E660B09"/>
    <w:rsid w:val="5E954808"/>
    <w:rsid w:val="5EC84FF2"/>
    <w:rsid w:val="5ED961F2"/>
    <w:rsid w:val="5EEA0F2A"/>
    <w:rsid w:val="5F0E45BB"/>
    <w:rsid w:val="5F5168CF"/>
    <w:rsid w:val="5F9D1CA2"/>
    <w:rsid w:val="5FC81CAB"/>
    <w:rsid w:val="5FD300DB"/>
    <w:rsid w:val="60284D4C"/>
    <w:rsid w:val="602A1431"/>
    <w:rsid w:val="602F06F9"/>
    <w:rsid w:val="60350EDC"/>
    <w:rsid w:val="608C59E7"/>
    <w:rsid w:val="60C44DAC"/>
    <w:rsid w:val="60CA10D1"/>
    <w:rsid w:val="61095D5D"/>
    <w:rsid w:val="61284751"/>
    <w:rsid w:val="612956DC"/>
    <w:rsid w:val="615B6854"/>
    <w:rsid w:val="617E77D6"/>
    <w:rsid w:val="61953913"/>
    <w:rsid w:val="61BC12B7"/>
    <w:rsid w:val="61CD250B"/>
    <w:rsid w:val="61F73A6C"/>
    <w:rsid w:val="61F950AE"/>
    <w:rsid w:val="62202B07"/>
    <w:rsid w:val="62286805"/>
    <w:rsid w:val="628506F0"/>
    <w:rsid w:val="6294738C"/>
    <w:rsid w:val="62F006F1"/>
    <w:rsid w:val="62F814B0"/>
    <w:rsid w:val="632C6D8E"/>
    <w:rsid w:val="634549CF"/>
    <w:rsid w:val="63BC4518"/>
    <w:rsid w:val="63FA3522"/>
    <w:rsid w:val="64274D62"/>
    <w:rsid w:val="6451149D"/>
    <w:rsid w:val="646761C8"/>
    <w:rsid w:val="646F3406"/>
    <w:rsid w:val="64C4269D"/>
    <w:rsid w:val="65027B05"/>
    <w:rsid w:val="65493C57"/>
    <w:rsid w:val="6554585D"/>
    <w:rsid w:val="655541D3"/>
    <w:rsid w:val="65594766"/>
    <w:rsid w:val="657C753B"/>
    <w:rsid w:val="659550EE"/>
    <w:rsid w:val="65AE22F3"/>
    <w:rsid w:val="65EB0365"/>
    <w:rsid w:val="66465782"/>
    <w:rsid w:val="664802EF"/>
    <w:rsid w:val="667747F4"/>
    <w:rsid w:val="66AD359D"/>
    <w:rsid w:val="66B94E0C"/>
    <w:rsid w:val="66BB0B84"/>
    <w:rsid w:val="66F35AF0"/>
    <w:rsid w:val="670A4733"/>
    <w:rsid w:val="67DE5EA5"/>
    <w:rsid w:val="683325DF"/>
    <w:rsid w:val="688D02FE"/>
    <w:rsid w:val="68E24E4E"/>
    <w:rsid w:val="69642093"/>
    <w:rsid w:val="699B02E9"/>
    <w:rsid w:val="69A518F6"/>
    <w:rsid w:val="69C81CE8"/>
    <w:rsid w:val="69F26A0E"/>
    <w:rsid w:val="6A16299D"/>
    <w:rsid w:val="6A2829D5"/>
    <w:rsid w:val="6A42615D"/>
    <w:rsid w:val="6A546685"/>
    <w:rsid w:val="6A5B1469"/>
    <w:rsid w:val="6A6D7173"/>
    <w:rsid w:val="6AC6490F"/>
    <w:rsid w:val="6ACE1747"/>
    <w:rsid w:val="6AEB0E9F"/>
    <w:rsid w:val="6B1C6C77"/>
    <w:rsid w:val="6B2F50CF"/>
    <w:rsid w:val="6B6D78FB"/>
    <w:rsid w:val="6BB4626C"/>
    <w:rsid w:val="6BDE45F3"/>
    <w:rsid w:val="6C0E025D"/>
    <w:rsid w:val="6C880962"/>
    <w:rsid w:val="6D0B604A"/>
    <w:rsid w:val="6DAC05BE"/>
    <w:rsid w:val="6E0948CB"/>
    <w:rsid w:val="6E513045"/>
    <w:rsid w:val="6E663ACB"/>
    <w:rsid w:val="6E804DFF"/>
    <w:rsid w:val="6EA445F4"/>
    <w:rsid w:val="6ED07EFC"/>
    <w:rsid w:val="6F6D5C87"/>
    <w:rsid w:val="6F8373FF"/>
    <w:rsid w:val="6F9E54E7"/>
    <w:rsid w:val="6FA80114"/>
    <w:rsid w:val="6FD16561"/>
    <w:rsid w:val="6FD76303"/>
    <w:rsid w:val="6FDE7145"/>
    <w:rsid w:val="6FFC562B"/>
    <w:rsid w:val="7003131E"/>
    <w:rsid w:val="7009213F"/>
    <w:rsid w:val="70215690"/>
    <w:rsid w:val="7025059A"/>
    <w:rsid w:val="702E0619"/>
    <w:rsid w:val="70311072"/>
    <w:rsid w:val="70AE3508"/>
    <w:rsid w:val="70E63DE0"/>
    <w:rsid w:val="71070D0D"/>
    <w:rsid w:val="712612F0"/>
    <w:rsid w:val="71344FFF"/>
    <w:rsid w:val="715D4FE8"/>
    <w:rsid w:val="725809D6"/>
    <w:rsid w:val="728269FA"/>
    <w:rsid w:val="729A1F96"/>
    <w:rsid w:val="734168B5"/>
    <w:rsid w:val="737A421D"/>
    <w:rsid w:val="73875405"/>
    <w:rsid w:val="73B74532"/>
    <w:rsid w:val="73DE4104"/>
    <w:rsid w:val="740912D6"/>
    <w:rsid w:val="742A7349"/>
    <w:rsid w:val="74363C49"/>
    <w:rsid w:val="74425F26"/>
    <w:rsid w:val="7487479C"/>
    <w:rsid w:val="748922C2"/>
    <w:rsid w:val="74CA11F8"/>
    <w:rsid w:val="74CC7CBB"/>
    <w:rsid w:val="74CD2DFA"/>
    <w:rsid w:val="74E20428"/>
    <w:rsid w:val="7561059F"/>
    <w:rsid w:val="75695FAC"/>
    <w:rsid w:val="75A3409C"/>
    <w:rsid w:val="75D961A0"/>
    <w:rsid w:val="762C6AF6"/>
    <w:rsid w:val="765A6376"/>
    <w:rsid w:val="76955006"/>
    <w:rsid w:val="77392375"/>
    <w:rsid w:val="774E2667"/>
    <w:rsid w:val="775546DD"/>
    <w:rsid w:val="7793469B"/>
    <w:rsid w:val="77C74EAF"/>
    <w:rsid w:val="785C5E6F"/>
    <w:rsid w:val="789C2A58"/>
    <w:rsid w:val="78FF3EB4"/>
    <w:rsid w:val="7A4A386D"/>
    <w:rsid w:val="7A650E3C"/>
    <w:rsid w:val="7A9B18B0"/>
    <w:rsid w:val="7B002BB2"/>
    <w:rsid w:val="7B242D44"/>
    <w:rsid w:val="7B360113"/>
    <w:rsid w:val="7B4A526C"/>
    <w:rsid w:val="7B4C4B65"/>
    <w:rsid w:val="7B780F7C"/>
    <w:rsid w:val="7B9D6375"/>
    <w:rsid w:val="7C6D63F4"/>
    <w:rsid w:val="7C6F0B11"/>
    <w:rsid w:val="7C7E46D6"/>
    <w:rsid w:val="7C8660BD"/>
    <w:rsid w:val="7CA05978"/>
    <w:rsid w:val="7D1370F0"/>
    <w:rsid w:val="7E01736D"/>
    <w:rsid w:val="7F09259F"/>
    <w:rsid w:val="7F437511"/>
    <w:rsid w:val="7FB977D3"/>
    <w:rsid w:val="7FBC5227"/>
    <w:rsid w:val="7FCD7FD5"/>
    <w:rsid w:val="7FD72BB2"/>
    <w:rsid w:val="7FEE047D"/>
    <w:rsid w:val="7FFC4290"/>
    <w:rsid w:val="7FFC43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autoRedefine/>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9">
    <w:name w:val="heading 4"/>
    <w:basedOn w:val="1"/>
    <w:next w:val="1"/>
    <w:link w:val="67"/>
    <w:autoRedefine/>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autoRedefine/>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autoRedefine/>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90"/>
    <w:autoRedefine/>
    <w:qFormat/>
    <w:uiPriority w:val="99"/>
    <w:pPr>
      <w:ind w:firstLine="420" w:firstLineChars="200"/>
    </w:pPr>
  </w:style>
  <w:style w:type="paragraph" w:styleId="3">
    <w:name w:val="Body Text Indent"/>
    <w:basedOn w:val="1"/>
    <w:next w:val="4"/>
    <w:link w:val="77"/>
    <w:autoRedefine/>
    <w:qFormat/>
    <w:uiPriority w:val="99"/>
    <w:pPr>
      <w:spacing w:line="500" w:lineRule="exact"/>
      <w:ind w:firstLine="538"/>
    </w:pPr>
    <w:rPr>
      <w:sz w:val="28"/>
      <w:szCs w:val="28"/>
    </w:rPr>
  </w:style>
  <w:style w:type="paragraph" w:styleId="4">
    <w:name w:val="envelope return"/>
    <w:basedOn w:val="1"/>
    <w:next w:val="5"/>
    <w:autoRedefine/>
    <w:qFormat/>
    <w:uiPriority w:val="99"/>
    <w:pPr>
      <w:snapToGrid w:val="0"/>
    </w:pPr>
    <w:rPr>
      <w:rFonts w:ascii="Arial" w:hAnsi="Arial"/>
    </w:rPr>
  </w:style>
  <w:style w:type="paragraph" w:styleId="5">
    <w:name w:val="toc 7"/>
    <w:basedOn w:val="1"/>
    <w:next w:val="1"/>
    <w:autoRedefine/>
    <w:semiHidden/>
    <w:qFormat/>
    <w:uiPriority w:val="99"/>
    <w:pPr>
      <w:ind w:left="2520" w:leftChars="1200"/>
    </w:pPr>
    <w:rPr>
      <w:rFonts w:ascii="Calibri" w:hAnsi="Calibri" w:cs="Calibri"/>
    </w:rPr>
  </w:style>
  <w:style w:type="paragraph" w:styleId="15">
    <w:name w:val="caption"/>
    <w:basedOn w:val="1"/>
    <w:next w:val="1"/>
    <w:autoRedefine/>
    <w:qFormat/>
    <w:uiPriority w:val="99"/>
    <w:rPr>
      <w:rFonts w:ascii="Cambria" w:hAnsi="Cambria" w:eastAsia="黑体" w:cs="Cambria"/>
      <w:sz w:val="20"/>
      <w:szCs w:val="20"/>
    </w:rPr>
  </w:style>
  <w:style w:type="paragraph" w:styleId="16">
    <w:name w:val="Document Map"/>
    <w:basedOn w:val="1"/>
    <w:link w:val="73"/>
    <w:autoRedefine/>
    <w:semiHidden/>
    <w:qFormat/>
    <w:uiPriority w:val="99"/>
    <w:pPr>
      <w:shd w:val="clear" w:color="auto" w:fill="000080"/>
    </w:pPr>
    <w:rPr>
      <w:kern w:val="0"/>
      <w:sz w:val="20"/>
      <w:szCs w:val="20"/>
      <w:shd w:val="clear" w:color="auto" w:fill="000080"/>
    </w:rPr>
  </w:style>
  <w:style w:type="paragraph" w:styleId="17">
    <w:name w:val="annotation text"/>
    <w:basedOn w:val="1"/>
    <w:link w:val="74"/>
    <w:autoRedefine/>
    <w:semiHidden/>
    <w:qFormat/>
    <w:uiPriority w:val="99"/>
    <w:pPr>
      <w:jc w:val="left"/>
    </w:pPr>
  </w:style>
  <w:style w:type="paragraph" w:styleId="18">
    <w:name w:val="Body Text 3"/>
    <w:basedOn w:val="1"/>
    <w:link w:val="75"/>
    <w:autoRedefine/>
    <w:qFormat/>
    <w:uiPriority w:val="99"/>
    <w:rPr>
      <w:rFonts w:ascii="宋体" w:cs="宋体"/>
      <w:sz w:val="24"/>
      <w:szCs w:val="24"/>
    </w:rPr>
  </w:style>
  <w:style w:type="paragraph" w:styleId="19">
    <w:name w:val="Body Text"/>
    <w:basedOn w:val="1"/>
    <w:link w:val="76"/>
    <w:autoRedefine/>
    <w:qFormat/>
    <w:uiPriority w:val="99"/>
    <w:pPr>
      <w:jc w:val="center"/>
    </w:pPr>
    <w:rPr>
      <w:b/>
      <w:bCs/>
      <w:sz w:val="44"/>
      <w:szCs w:val="44"/>
    </w:rPr>
  </w:style>
  <w:style w:type="paragraph" w:styleId="20">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autoRedefine/>
    <w:semiHidden/>
    <w:qFormat/>
    <w:uiPriority w:val="99"/>
    <w:pPr>
      <w:ind w:left="600" w:leftChars="600"/>
    </w:pPr>
  </w:style>
  <w:style w:type="paragraph" w:styleId="22">
    <w:name w:val="toc 5"/>
    <w:basedOn w:val="1"/>
    <w:next w:val="1"/>
    <w:autoRedefine/>
    <w:semiHidden/>
    <w:qFormat/>
    <w:uiPriority w:val="99"/>
    <w:pPr>
      <w:tabs>
        <w:tab w:val="right" w:leader="dot" w:pos="8296"/>
      </w:tabs>
      <w:ind w:left="1050" w:leftChars="500"/>
    </w:pPr>
    <w:rPr>
      <w:rFonts w:ascii="Calibri" w:hAnsi="Calibri" w:cs="Calibri"/>
    </w:rPr>
  </w:style>
  <w:style w:type="paragraph" w:styleId="23">
    <w:name w:val="toc 3"/>
    <w:basedOn w:val="1"/>
    <w:next w:val="1"/>
    <w:autoRedefine/>
    <w:semiHidden/>
    <w:qFormat/>
    <w:uiPriority w:val="99"/>
    <w:pPr>
      <w:ind w:left="840" w:leftChars="400"/>
    </w:pPr>
    <w:rPr>
      <w:rFonts w:ascii="Calibri" w:hAnsi="Calibri" w:cs="Calibri"/>
    </w:rPr>
  </w:style>
  <w:style w:type="paragraph" w:styleId="24">
    <w:name w:val="Plain Text"/>
    <w:basedOn w:val="1"/>
    <w:next w:val="1"/>
    <w:link w:val="78"/>
    <w:autoRedefine/>
    <w:qFormat/>
    <w:uiPriority w:val="99"/>
    <w:rPr>
      <w:rFonts w:ascii="宋体" w:hAnsi="Courier New" w:cs="宋体"/>
    </w:rPr>
  </w:style>
  <w:style w:type="paragraph" w:styleId="25">
    <w:name w:val="toc 8"/>
    <w:basedOn w:val="1"/>
    <w:next w:val="1"/>
    <w:autoRedefine/>
    <w:semiHidden/>
    <w:qFormat/>
    <w:uiPriority w:val="99"/>
    <w:pPr>
      <w:ind w:left="2940" w:leftChars="1400"/>
    </w:pPr>
    <w:rPr>
      <w:rFonts w:ascii="Calibri" w:hAnsi="Calibri" w:cs="Calibri"/>
    </w:rPr>
  </w:style>
  <w:style w:type="paragraph" w:styleId="26">
    <w:name w:val="Date"/>
    <w:basedOn w:val="1"/>
    <w:next w:val="1"/>
    <w:link w:val="79"/>
    <w:autoRedefine/>
    <w:qFormat/>
    <w:uiPriority w:val="99"/>
    <w:rPr>
      <w:rFonts w:ascii="仿宋_GB2312" w:eastAsia="仿宋_GB2312" w:cs="仿宋_GB2312"/>
      <w:sz w:val="30"/>
      <w:szCs w:val="30"/>
    </w:rPr>
  </w:style>
  <w:style w:type="paragraph" w:styleId="27">
    <w:name w:val="Body Text Indent 2"/>
    <w:basedOn w:val="1"/>
    <w:link w:val="80"/>
    <w:autoRedefine/>
    <w:qFormat/>
    <w:uiPriority w:val="99"/>
    <w:pPr>
      <w:spacing w:line="360" w:lineRule="exact"/>
      <w:ind w:firstLine="600" w:firstLineChars="250"/>
      <w:jc w:val="left"/>
    </w:pPr>
    <w:rPr>
      <w:sz w:val="24"/>
      <w:szCs w:val="24"/>
    </w:rPr>
  </w:style>
  <w:style w:type="paragraph" w:styleId="28">
    <w:name w:val="Balloon Text"/>
    <w:basedOn w:val="1"/>
    <w:link w:val="81"/>
    <w:autoRedefine/>
    <w:semiHidden/>
    <w:qFormat/>
    <w:uiPriority w:val="99"/>
    <w:rPr>
      <w:sz w:val="18"/>
      <w:szCs w:val="18"/>
    </w:rPr>
  </w:style>
  <w:style w:type="paragraph" w:styleId="29">
    <w:name w:val="footer"/>
    <w:basedOn w:val="1"/>
    <w:link w:val="82"/>
    <w:autoRedefine/>
    <w:qFormat/>
    <w:uiPriority w:val="99"/>
    <w:pPr>
      <w:tabs>
        <w:tab w:val="center" w:pos="4153"/>
        <w:tab w:val="right" w:pos="8306"/>
      </w:tabs>
      <w:snapToGrid w:val="0"/>
      <w:jc w:val="left"/>
    </w:pPr>
    <w:rPr>
      <w:sz w:val="18"/>
      <w:szCs w:val="18"/>
    </w:rPr>
  </w:style>
  <w:style w:type="paragraph" w:styleId="30">
    <w:name w:val="header"/>
    <w:basedOn w:val="1"/>
    <w:link w:val="83"/>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autoRedefine/>
    <w:qFormat/>
    <w:uiPriority w:val="99"/>
    <w:pPr>
      <w:spacing w:before="240" w:after="60" w:line="312" w:lineRule="auto"/>
      <w:jc w:val="center"/>
      <w:outlineLvl w:val="1"/>
    </w:pPr>
    <w:rPr>
      <w:rFonts w:ascii="Cambria" w:hAnsi="Cambria" w:cs="Cambria"/>
      <w:b/>
      <w:bCs/>
      <w:kern w:val="28"/>
      <w:sz w:val="32"/>
      <w:szCs w:val="32"/>
    </w:rPr>
  </w:style>
  <w:style w:type="paragraph" w:styleId="34">
    <w:name w:val="List"/>
    <w:basedOn w:val="1"/>
    <w:autoRedefine/>
    <w:qFormat/>
    <w:locked/>
    <w:uiPriority w:val="0"/>
    <w:pPr>
      <w:ind w:left="200" w:hanging="200" w:hangingChars="200"/>
    </w:pPr>
  </w:style>
  <w:style w:type="paragraph" w:styleId="35">
    <w:name w:val="footnote text"/>
    <w:basedOn w:val="1"/>
    <w:link w:val="85"/>
    <w:autoRedefine/>
    <w:semiHidden/>
    <w:qFormat/>
    <w:uiPriority w:val="99"/>
    <w:rPr>
      <w:sz w:val="20"/>
      <w:szCs w:val="20"/>
    </w:rPr>
  </w:style>
  <w:style w:type="paragraph" w:styleId="36">
    <w:name w:val="toc 6"/>
    <w:basedOn w:val="1"/>
    <w:next w:val="1"/>
    <w:autoRedefine/>
    <w:semiHidden/>
    <w:qFormat/>
    <w:uiPriority w:val="99"/>
    <w:pPr>
      <w:ind w:left="2100" w:leftChars="1000"/>
    </w:pPr>
    <w:rPr>
      <w:rFonts w:ascii="Calibri" w:hAnsi="Calibri" w:cs="Calibri"/>
    </w:rPr>
  </w:style>
  <w:style w:type="paragraph" w:styleId="37">
    <w:name w:val="Body Text Indent 3"/>
    <w:basedOn w:val="1"/>
    <w:link w:val="86"/>
    <w:autoRedefine/>
    <w:qFormat/>
    <w:uiPriority w:val="99"/>
    <w:pPr>
      <w:spacing w:after="120"/>
      <w:ind w:left="420" w:leftChars="200"/>
    </w:pPr>
    <w:rPr>
      <w:sz w:val="16"/>
      <w:szCs w:val="16"/>
    </w:rPr>
  </w:style>
  <w:style w:type="paragraph" w:styleId="38">
    <w:name w:val="table of figures"/>
    <w:basedOn w:val="1"/>
    <w:next w:val="1"/>
    <w:autoRedefine/>
    <w:semiHidden/>
    <w:qFormat/>
    <w:uiPriority w:val="99"/>
    <w:pPr>
      <w:ind w:left="200" w:leftChars="200" w:hanging="200" w:hangingChars="200"/>
    </w:pPr>
  </w:style>
  <w:style w:type="paragraph" w:styleId="39">
    <w:name w:val="toc 2"/>
    <w:basedOn w:val="1"/>
    <w:next w:val="1"/>
    <w:autoRedefine/>
    <w:semiHidden/>
    <w:qFormat/>
    <w:uiPriority w:val="99"/>
    <w:pPr>
      <w:ind w:left="420" w:leftChars="200"/>
    </w:pPr>
    <w:rPr>
      <w:rFonts w:ascii="宋体" w:cs="宋体"/>
      <w:b/>
      <w:bCs/>
      <w:sz w:val="28"/>
      <w:szCs w:val="28"/>
    </w:rPr>
  </w:style>
  <w:style w:type="paragraph" w:styleId="40">
    <w:name w:val="toc 9"/>
    <w:basedOn w:val="1"/>
    <w:next w:val="1"/>
    <w:autoRedefine/>
    <w:semiHidden/>
    <w:qFormat/>
    <w:uiPriority w:val="99"/>
    <w:pPr>
      <w:ind w:left="3360" w:leftChars="1600"/>
    </w:pPr>
    <w:rPr>
      <w:rFonts w:ascii="Calibri" w:hAnsi="Calibri" w:cs="Calibri"/>
    </w:rPr>
  </w:style>
  <w:style w:type="paragraph" w:styleId="41">
    <w:name w:val="Body Text 2"/>
    <w:basedOn w:val="1"/>
    <w:link w:val="87"/>
    <w:autoRedefine/>
    <w:qFormat/>
    <w:uiPriority w:val="99"/>
    <w:pPr>
      <w:spacing w:line="440" w:lineRule="exact"/>
    </w:pPr>
    <w:rPr>
      <w:sz w:val="28"/>
      <w:szCs w:val="28"/>
    </w:rPr>
  </w:style>
  <w:style w:type="paragraph" w:styleId="42">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autoRedefine/>
    <w:qFormat/>
    <w:uiPriority w:val="99"/>
    <w:pPr>
      <w:spacing w:before="240" w:after="60"/>
      <w:jc w:val="center"/>
      <w:outlineLvl w:val="0"/>
    </w:pPr>
    <w:rPr>
      <w:rFonts w:ascii="Cambria" w:hAnsi="Cambria" w:cs="Cambria"/>
      <w:b/>
      <w:bCs/>
      <w:sz w:val="32"/>
      <w:szCs w:val="32"/>
    </w:rPr>
  </w:style>
  <w:style w:type="paragraph" w:styleId="44">
    <w:name w:val="annotation subject"/>
    <w:basedOn w:val="17"/>
    <w:next w:val="17"/>
    <w:link w:val="89"/>
    <w:autoRedefine/>
    <w:semiHidden/>
    <w:qFormat/>
    <w:uiPriority w:val="99"/>
    <w:rPr>
      <w:rFonts w:ascii="宋体" w:cs="宋体"/>
      <w:b/>
      <w:bCs/>
      <w:kern w:val="0"/>
      <w:sz w:val="28"/>
      <w:szCs w:val="28"/>
    </w:rPr>
  </w:style>
  <w:style w:type="table" w:styleId="46">
    <w:name w:val="Table Grid"/>
    <w:basedOn w:val="4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99"/>
    <w:rPr>
      <w:rFonts w:cs="Times New Roman"/>
      <w:b/>
      <w:bCs/>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auto"/>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monospace"/>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monospace"/>
      <w:sz w:val="20"/>
    </w:rPr>
  </w:style>
  <w:style w:type="character" w:styleId="58">
    <w:name w:val="annotation reference"/>
    <w:basedOn w:val="47"/>
    <w:autoRedefine/>
    <w:semiHidden/>
    <w:qFormat/>
    <w:uiPriority w:val="99"/>
    <w:rPr>
      <w:rFonts w:cs="Times New Roman"/>
      <w:sz w:val="21"/>
      <w:szCs w:val="21"/>
    </w:rPr>
  </w:style>
  <w:style w:type="character" w:styleId="59">
    <w:name w:val="HTML Cite"/>
    <w:basedOn w:val="47"/>
    <w:autoRedefine/>
    <w:qFormat/>
    <w:uiPriority w:val="99"/>
    <w:rPr>
      <w:rFonts w:cs="Times New Roman"/>
    </w:rPr>
  </w:style>
  <w:style w:type="character" w:styleId="60">
    <w:name w:val="footnote reference"/>
    <w:basedOn w:val="47"/>
    <w:autoRedefine/>
    <w:semiHidden/>
    <w:qFormat/>
    <w:uiPriority w:val="99"/>
    <w:rPr>
      <w:rFonts w:cs="Times New Roman"/>
      <w:vertAlign w:val="superscript"/>
    </w:rPr>
  </w:style>
  <w:style w:type="character" w:styleId="61">
    <w:name w:val="HTML Keyboard"/>
    <w:basedOn w:val="47"/>
    <w:autoRedefine/>
    <w:qFormat/>
    <w:uiPriority w:val="99"/>
    <w:rPr>
      <w:rFonts w:ascii="monospace" w:hAnsi="monospace" w:cs="monospace"/>
      <w:sz w:val="20"/>
    </w:rPr>
  </w:style>
  <w:style w:type="character" w:styleId="62">
    <w:name w:val="HTML Sample"/>
    <w:basedOn w:val="47"/>
    <w:autoRedefine/>
    <w:qFormat/>
    <w:uiPriority w:val="99"/>
    <w:rPr>
      <w:rFonts w:ascii="monospace" w:hAnsi="monospace" w:cs="monospace"/>
    </w:rPr>
  </w:style>
  <w:style w:type="paragraph" w:customStyle="1" w:styleId="63">
    <w:name w:val="Normal Indent1"/>
    <w:basedOn w:val="1"/>
    <w:autoRedefine/>
    <w:qFormat/>
    <w:uiPriority w:val="0"/>
    <w:pPr>
      <w:adjustRightInd w:val="0"/>
      <w:spacing w:line="360" w:lineRule="atLeast"/>
      <w:ind w:firstLine="482"/>
      <w:textAlignment w:val="baseline"/>
    </w:pPr>
    <w:rPr>
      <w:kern w:val="0"/>
      <w:sz w:val="24"/>
      <w:szCs w:val="24"/>
    </w:rPr>
  </w:style>
  <w:style w:type="character" w:customStyle="1" w:styleId="64">
    <w:name w:val="标题 1 字符"/>
    <w:basedOn w:val="47"/>
    <w:link w:val="6"/>
    <w:autoRedefine/>
    <w:qFormat/>
    <w:locked/>
    <w:uiPriority w:val="99"/>
    <w:rPr>
      <w:rFonts w:ascii="Times New Roman" w:hAnsi="Times New Roman" w:eastAsia="仿宋" w:cs="Times New Roman"/>
      <w:b/>
      <w:bCs/>
      <w:kern w:val="44"/>
      <w:sz w:val="44"/>
      <w:szCs w:val="44"/>
      <w:lang w:val="en-US" w:eastAsia="zh-CN"/>
    </w:rPr>
  </w:style>
  <w:style w:type="character" w:customStyle="1" w:styleId="65">
    <w:name w:val="标题 2 字符"/>
    <w:basedOn w:val="47"/>
    <w:link w:val="7"/>
    <w:autoRedefine/>
    <w:qFormat/>
    <w:locked/>
    <w:uiPriority w:val="99"/>
    <w:rPr>
      <w:rFonts w:ascii="Arial" w:hAnsi="Arial" w:eastAsia="黑体" w:cs="Arial"/>
      <w:b/>
      <w:bCs/>
      <w:kern w:val="2"/>
      <w:sz w:val="32"/>
      <w:szCs w:val="32"/>
      <w:lang w:val="en-US" w:eastAsia="zh-CN"/>
    </w:rPr>
  </w:style>
  <w:style w:type="character" w:customStyle="1" w:styleId="66">
    <w:name w:val="标题 3 字符"/>
    <w:basedOn w:val="47"/>
    <w:link w:val="8"/>
    <w:autoRedefine/>
    <w:qFormat/>
    <w:locked/>
    <w:uiPriority w:val="99"/>
    <w:rPr>
      <w:rFonts w:eastAsia="宋体" w:cs="Times New Roman"/>
      <w:b/>
      <w:bCs/>
      <w:kern w:val="2"/>
      <w:sz w:val="32"/>
      <w:szCs w:val="32"/>
      <w:lang w:val="en-US" w:eastAsia="zh-CN"/>
    </w:rPr>
  </w:style>
  <w:style w:type="character" w:customStyle="1" w:styleId="67">
    <w:name w:val="标题 4 字符"/>
    <w:basedOn w:val="47"/>
    <w:link w:val="9"/>
    <w:autoRedefine/>
    <w:qFormat/>
    <w:locked/>
    <w:uiPriority w:val="99"/>
    <w:rPr>
      <w:rFonts w:ascii="Cambria" w:hAnsi="Cambria" w:eastAsia="宋体" w:cs="Cambria"/>
      <w:b/>
      <w:bCs/>
      <w:kern w:val="2"/>
      <w:sz w:val="28"/>
      <w:szCs w:val="28"/>
      <w:lang w:val="en-US" w:eastAsia="zh-CN"/>
    </w:rPr>
  </w:style>
  <w:style w:type="character" w:customStyle="1" w:styleId="68">
    <w:name w:val="标题 5 字符"/>
    <w:basedOn w:val="47"/>
    <w:link w:val="10"/>
    <w:autoRedefine/>
    <w:qFormat/>
    <w:locked/>
    <w:uiPriority w:val="99"/>
    <w:rPr>
      <w:rFonts w:ascii="Calibri" w:hAnsi="Calibri" w:eastAsia="宋体" w:cs="Calibri"/>
      <w:b/>
      <w:bCs/>
      <w:kern w:val="2"/>
      <w:sz w:val="28"/>
      <w:szCs w:val="28"/>
      <w:lang w:val="en-US" w:eastAsia="zh-CN"/>
    </w:rPr>
  </w:style>
  <w:style w:type="character" w:customStyle="1" w:styleId="69">
    <w:name w:val="标题 6 字符"/>
    <w:basedOn w:val="47"/>
    <w:link w:val="11"/>
    <w:autoRedefine/>
    <w:qFormat/>
    <w:locked/>
    <w:uiPriority w:val="99"/>
    <w:rPr>
      <w:rFonts w:ascii="Cambria" w:hAnsi="Cambria" w:eastAsia="宋体" w:cs="Cambria"/>
      <w:b/>
      <w:bCs/>
      <w:kern w:val="2"/>
      <w:sz w:val="24"/>
      <w:szCs w:val="24"/>
      <w:lang w:val="en-US" w:eastAsia="zh-CN"/>
    </w:rPr>
  </w:style>
  <w:style w:type="character" w:customStyle="1" w:styleId="70">
    <w:name w:val="标题 7 字符"/>
    <w:basedOn w:val="47"/>
    <w:link w:val="12"/>
    <w:autoRedefine/>
    <w:qFormat/>
    <w:locked/>
    <w:uiPriority w:val="99"/>
    <w:rPr>
      <w:rFonts w:ascii="Calibri" w:hAnsi="Calibri" w:eastAsia="宋体" w:cs="Calibri"/>
      <w:b/>
      <w:bCs/>
      <w:kern w:val="2"/>
      <w:sz w:val="24"/>
      <w:szCs w:val="24"/>
      <w:lang w:val="en-US" w:eastAsia="zh-CN"/>
    </w:rPr>
  </w:style>
  <w:style w:type="character" w:customStyle="1" w:styleId="71">
    <w:name w:val="标题 8 字符"/>
    <w:basedOn w:val="47"/>
    <w:link w:val="13"/>
    <w:qFormat/>
    <w:locked/>
    <w:uiPriority w:val="99"/>
    <w:rPr>
      <w:rFonts w:ascii="Cambria" w:hAnsi="Cambria" w:eastAsia="宋体" w:cs="Cambria"/>
      <w:kern w:val="2"/>
      <w:sz w:val="24"/>
      <w:szCs w:val="24"/>
      <w:lang w:val="en-US" w:eastAsia="zh-CN"/>
    </w:rPr>
  </w:style>
  <w:style w:type="character" w:customStyle="1" w:styleId="72">
    <w:name w:val="标题 9 字符"/>
    <w:basedOn w:val="47"/>
    <w:link w:val="14"/>
    <w:qFormat/>
    <w:locked/>
    <w:uiPriority w:val="99"/>
    <w:rPr>
      <w:rFonts w:ascii="Cambria" w:hAnsi="Cambria" w:eastAsia="宋体" w:cs="Cambria"/>
      <w:kern w:val="2"/>
      <w:sz w:val="21"/>
      <w:szCs w:val="21"/>
      <w:lang w:val="en-US" w:eastAsia="zh-CN"/>
    </w:rPr>
  </w:style>
  <w:style w:type="character" w:customStyle="1" w:styleId="73">
    <w:name w:val="文档结构图 字符"/>
    <w:basedOn w:val="47"/>
    <w:link w:val="16"/>
    <w:autoRedefine/>
    <w:qFormat/>
    <w:locked/>
    <w:uiPriority w:val="99"/>
    <w:rPr>
      <w:rFonts w:cs="Times New Roman"/>
      <w:sz w:val="24"/>
      <w:szCs w:val="24"/>
      <w:shd w:val="clear" w:color="auto" w:fill="000080"/>
    </w:rPr>
  </w:style>
  <w:style w:type="character" w:customStyle="1" w:styleId="74">
    <w:name w:val="批注文字 字符"/>
    <w:basedOn w:val="47"/>
    <w:link w:val="17"/>
    <w:autoRedefine/>
    <w:qFormat/>
    <w:locked/>
    <w:uiPriority w:val="99"/>
    <w:rPr>
      <w:rFonts w:cs="Times New Roman"/>
      <w:kern w:val="2"/>
      <w:sz w:val="22"/>
      <w:szCs w:val="22"/>
    </w:rPr>
  </w:style>
  <w:style w:type="character" w:customStyle="1" w:styleId="75">
    <w:name w:val="正文文本 3 字符"/>
    <w:basedOn w:val="47"/>
    <w:link w:val="18"/>
    <w:autoRedefine/>
    <w:semiHidden/>
    <w:qFormat/>
    <w:locked/>
    <w:uiPriority w:val="99"/>
    <w:rPr>
      <w:rFonts w:cs="Times New Roman"/>
      <w:sz w:val="16"/>
      <w:szCs w:val="16"/>
    </w:rPr>
  </w:style>
  <w:style w:type="character" w:customStyle="1" w:styleId="76">
    <w:name w:val="正文文本 字符"/>
    <w:basedOn w:val="47"/>
    <w:link w:val="19"/>
    <w:autoRedefine/>
    <w:qFormat/>
    <w:locked/>
    <w:uiPriority w:val="99"/>
    <w:rPr>
      <w:rFonts w:eastAsia="宋体" w:cs="Times New Roman"/>
      <w:b/>
      <w:bCs/>
      <w:kern w:val="2"/>
      <w:sz w:val="44"/>
      <w:szCs w:val="44"/>
      <w:lang w:val="en-US" w:eastAsia="zh-CN"/>
    </w:rPr>
  </w:style>
  <w:style w:type="character" w:customStyle="1" w:styleId="77">
    <w:name w:val="正文文本缩进 字符"/>
    <w:basedOn w:val="47"/>
    <w:link w:val="3"/>
    <w:autoRedefine/>
    <w:semiHidden/>
    <w:qFormat/>
    <w:locked/>
    <w:uiPriority w:val="99"/>
    <w:rPr>
      <w:rFonts w:cs="Times New Roman"/>
      <w:sz w:val="21"/>
      <w:szCs w:val="21"/>
    </w:rPr>
  </w:style>
  <w:style w:type="character" w:customStyle="1" w:styleId="78">
    <w:name w:val="纯文本 字符"/>
    <w:basedOn w:val="47"/>
    <w:link w:val="24"/>
    <w:autoRedefine/>
    <w:semiHidden/>
    <w:qFormat/>
    <w:locked/>
    <w:uiPriority w:val="99"/>
    <w:rPr>
      <w:rFonts w:ascii="宋体" w:hAnsi="Courier New" w:cs="Courier New"/>
      <w:sz w:val="21"/>
      <w:szCs w:val="21"/>
    </w:rPr>
  </w:style>
  <w:style w:type="character" w:customStyle="1" w:styleId="79">
    <w:name w:val="日期 字符"/>
    <w:basedOn w:val="47"/>
    <w:link w:val="26"/>
    <w:autoRedefine/>
    <w:qFormat/>
    <w:locked/>
    <w:uiPriority w:val="99"/>
    <w:rPr>
      <w:rFonts w:ascii="仿宋_GB2312" w:eastAsia="仿宋_GB2312" w:cs="仿宋_GB2312"/>
      <w:kern w:val="2"/>
      <w:sz w:val="30"/>
      <w:szCs w:val="30"/>
      <w:lang w:val="en-US" w:eastAsia="zh-CN"/>
    </w:rPr>
  </w:style>
  <w:style w:type="character" w:customStyle="1" w:styleId="80">
    <w:name w:val="正文文本缩进 2 字符"/>
    <w:basedOn w:val="47"/>
    <w:link w:val="27"/>
    <w:autoRedefine/>
    <w:semiHidden/>
    <w:qFormat/>
    <w:locked/>
    <w:uiPriority w:val="99"/>
    <w:rPr>
      <w:rFonts w:cs="Times New Roman"/>
      <w:sz w:val="21"/>
      <w:szCs w:val="21"/>
    </w:rPr>
  </w:style>
  <w:style w:type="character" w:customStyle="1" w:styleId="81">
    <w:name w:val="批注框文本 字符"/>
    <w:basedOn w:val="47"/>
    <w:link w:val="28"/>
    <w:autoRedefine/>
    <w:semiHidden/>
    <w:qFormat/>
    <w:locked/>
    <w:uiPriority w:val="99"/>
    <w:rPr>
      <w:rFonts w:cs="Times New Roman"/>
      <w:sz w:val="2"/>
    </w:rPr>
  </w:style>
  <w:style w:type="character" w:customStyle="1" w:styleId="82">
    <w:name w:val="页脚 字符"/>
    <w:basedOn w:val="47"/>
    <w:link w:val="29"/>
    <w:autoRedefine/>
    <w:qFormat/>
    <w:locked/>
    <w:uiPriority w:val="99"/>
    <w:rPr>
      <w:rFonts w:eastAsia="宋体" w:cs="Times New Roman"/>
      <w:kern w:val="2"/>
      <w:sz w:val="18"/>
      <w:szCs w:val="18"/>
      <w:lang w:val="en-US" w:eastAsia="zh-CN"/>
    </w:rPr>
  </w:style>
  <w:style w:type="character" w:customStyle="1" w:styleId="83">
    <w:name w:val="页眉 字符"/>
    <w:basedOn w:val="47"/>
    <w:link w:val="30"/>
    <w:autoRedefine/>
    <w:qFormat/>
    <w:locked/>
    <w:uiPriority w:val="99"/>
    <w:rPr>
      <w:rFonts w:eastAsia="宋体" w:cs="Times New Roman"/>
      <w:kern w:val="2"/>
      <w:sz w:val="18"/>
      <w:szCs w:val="18"/>
      <w:lang w:val="en-US" w:eastAsia="zh-CN"/>
    </w:rPr>
  </w:style>
  <w:style w:type="character" w:customStyle="1" w:styleId="84">
    <w:name w:val="副标题 字符"/>
    <w:basedOn w:val="47"/>
    <w:link w:val="33"/>
    <w:autoRedefine/>
    <w:qFormat/>
    <w:locked/>
    <w:uiPriority w:val="99"/>
    <w:rPr>
      <w:rFonts w:ascii="Cambria" w:hAnsi="Cambria" w:cs="Cambria"/>
      <w:b/>
      <w:bCs/>
      <w:kern w:val="28"/>
      <w:sz w:val="32"/>
      <w:szCs w:val="32"/>
    </w:rPr>
  </w:style>
  <w:style w:type="character" w:customStyle="1" w:styleId="85">
    <w:name w:val="脚注文本 字符"/>
    <w:basedOn w:val="47"/>
    <w:link w:val="35"/>
    <w:autoRedefine/>
    <w:semiHidden/>
    <w:qFormat/>
    <w:locked/>
    <w:uiPriority w:val="99"/>
    <w:rPr>
      <w:rFonts w:cs="Times New Roman"/>
      <w:sz w:val="18"/>
      <w:szCs w:val="18"/>
    </w:rPr>
  </w:style>
  <w:style w:type="character" w:customStyle="1" w:styleId="86">
    <w:name w:val="正文文本缩进 3 字符"/>
    <w:basedOn w:val="47"/>
    <w:link w:val="37"/>
    <w:autoRedefine/>
    <w:semiHidden/>
    <w:qFormat/>
    <w:locked/>
    <w:uiPriority w:val="99"/>
    <w:rPr>
      <w:rFonts w:cs="Times New Roman"/>
      <w:sz w:val="16"/>
      <w:szCs w:val="16"/>
    </w:rPr>
  </w:style>
  <w:style w:type="character" w:customStyle="1" w:styleId="87">
    <w:name w:val="正文文本 2 字符"/>
    <w:basedOn w:val="47"/>
    <w:link w:val="41"/>
    <w:autoRedefine/>
    <w:semiHidden/>
    <w:qFormat/>
    <w:locked/>
    <w:uiPriority w:val="99"/>
    <w:rPr>
      <w:rFonts w:cs="Times New Roman"/>
      <w:sz w:val="21"/>
      <w:szCs w:val="21"/>
    </w:rPr>
  </w:style>
  <w:style w:type="character" w:customStyle="1" w:styleId="88">
    <w:name w:val="标题 字符"/>
    <w:basedOn w:val="47"/>
    <w:link w:val="43"/>
    <w:autoRedefine/>
    <w:qFormat/>
    <w:locked/>
    <w:uiPriority w:val="99"/>
    <w:rPr>
      <w:rFonts w:ascii="Cambria" w:hAnsi="Cambria" w:cs="Cambria"/>
      <w:b/>
      <w:bCs/>
      <w:kern w:val="2"/>
      <w:sz w:val="32"/>
      <w:szCs w:val="32"/>
    </w:rPr>
  </w:style>
  <w:style w:type="character" w:customStyle="1" w:styleId="89">
    <w:name w:val="批注主题 字符"/>
    <w:basedOn w:val="74"/>
    <w:link w:val="44"/>
    <w:autoRedefine/>
    <w:qFormat/>
    <w:locked/>
    <w:uiPriority w:val="99"/>
    <w:rPr>
      <w:rFonts w:ascii="宋体" w:cs="宋体"/>
      <w:b/>
      <w:bCs/>
      <w:kern w:val="2"/>
      <w:sz w:val="28"/>
      <w:szCs w:val="28"/>
    </w:rPr>
  </w:style>
  <w:style w:type="character" w:customStyle="1" w:styleId="90">
    <w:name w:val="正文文本首行缩进 2 字符"/>
    <w:basedOn w:val="77"/>
    <w:link w:val="2"/>
    <w:autoRedefine/>
    <w:semiHidden/>
    <w:qFormat/>
    <w:locked/>
    <w:uiPriority w:val="99"/>
    <w:rPr>
      <w:rFonts w:cs="Times New Roman"/>
      <w:sz w:val="21"/>
      <w:szCs w:val="21"/>
    </w:rPr>
  </w:style>
  <w:style w:type="character" w:customStyle="1" w:styleId="91">
    <w:name w:val="批注文字 Char Char"/>
    <w:autoRedefine/>
    <w:qFormat/>
    <w:uiPriority w:val="99"/>
    <w:rPr>
      <w:rFonts w:ascii="宋体" w:hAnsi="Times New Roman" w:eastAsia="宋体"/>
      <w:sz w:val="20"/>
    </w:rPr>
  </w:style>
  <w:style w:type="character" w:customStyle="1" w:styleId="92">
    <w:name w:val="标题 1 Char Char"/>
    <w:autoRedefine/>
    <w:qFormat/>
    <w:locked/>
    <w:uiPriority w:val="99"/>
    <w:rPr>
      <w:rFonts w:eastAsia="宋体"/>
      <w:b/>
      <w:kern w:val="44"/>
      <w:sz w:val="44"/>
      <w:lang w:val="en-US" w:eastAsia="zh-CN"/>
    </w:rPr>
  </w:style>
  <w:style w:type="character" w:customStyle="1" w:styleId="93">
    <w:name w:val="Char Char"/>
    <w:autoRedefine/>
    <w:qFormat/>
    <w:uiPriority w:val="99"/>
    <w:rPr>
      <w:rFonts w:ascii="Arial" w:hAnsi="Arial" w:eastAsia="黑体"/>
      <w:b/>
      <w:kern w:val="2"/>
      <w:sz w:val="32"/>
      <w:lang w:val="en-US" w:eastAsia="zh-CN"/>
    </w:rPr>
  </w:style>
  <w:style w:type="character" w:customStyle="1" w:styleId="94">
    <w:name w:val="明显参考1"/>
    <w:autoRedefine/>
    <w:qFormat/>
    <w:uiPriority w:val="99"/>
    <w:rPr>
      <w:b/>
      <w:smallCaps/>
      <w:color w:val="auto"/>
      <w:spacing w:val="5"/>
      <w:u w:val="single"/>
    </w:rPr>
  </w:style>
  <w:style w:type="character" w:customStyle="1" w:styleId="95">
    <w:name w:val="明显强调1"/>
    <w:autoRedefine/>
    <w:qFormat/>
    <w:uiPriority w:val="99"/>
    <w:rPr>
      <w:b/>
      <w:i/>
      <w:color w:val="4F81BD"/>
    </w:rPr>
  </w:style>
  <w:style w:type="character" w:customStyle="1" w:styleId="96">
    <w:name w:val="文档结构图 Char1"/>
    <w:autoRedefine/>
    <w:qFormat/>
    <w:uiPriority w:val="99"/>
    <w:rPr>
      <w:rFonts w:ascii="宋体"/>
      <w:kern w:val="2"/>
      <w:sz w:val="18"/>
    </w:rPr>
  </w:style>
  <w:style w:type="character" w:customStyle="1" w:styleId="97">
    <w:name w:val="日期 Char"/>
    <w:autoRedefine/>
    <w:qFormat/>
    <w:uiPriority w:val="99"/>
    <w:rPr>
      <w:rFonts w:ascii="仿宋_GB2312" w:eastAsia="仿宋_GB2312"/>
      <w:kern w:val="2"/>
      <w:sz w:val="30"/>
      <w:lang w:val="en-US" w:eastAsia="zh-CN"/>
    </w:rPr>
  </w:style>
  <w:style w:type="character" w:customStyle="1" w:styleId="98">
    <w:name w:val="textcontents"/>
    <w:autoRedefine/>
    <w:qFormat/>
    <w:uiPriority w:val="99"/>
  </w:style>
  <w:style w:type="character" w:customStyle="1" w:styleId="99">
    <w:name w:val="引用 Char"/>
    <w:link w:val="100"/>
    <w:autoRedefine/>
    <w:qFormat/>
    <w:locked/>
    <w:uiPriority w:val="99"/>
    <w:rPr>
      <w:i/>
      <w:color w:val="000000"/>
      <w:kern w:val="2"/>
      <w:sz w:val="22"/>
    </w:rPr>
  </w:style>
  <w:style w:type="paragraph" w:customStyle="1" w:styleId="100">
    <w:name w:val="引用1"/>
    <w:basedOn w:val="1"/>
    <w:next w:val="1"/>
    <w:link w:val="99"/>
    <w:autoRedefine/>
    <w:qFormat/>
    <w:uiPriority w:val="99"/>
    <w:rPr>
      <w:i/>
      <w:color w:val="000000"/>
      <w:sz w:val="22"/>
      <w:szCs w:val="20"/>
    </w:rPr>
  </w:style>
  <w:style w:type="character" w:customStyle="1" w:styleId="101">
    <w:name w:val="日期 Char1"/>
    <w:autoRedefine/>
    <w:qFormat/>
    <w:uiPriority w:val="99"/>
    <w:rPr>
      <w:kern w:val="2"/>
      <w:sz w:val="22"/>
    </w:rPr>
  </w:style>
  <w:style w:type="character" w:customStyle="1" w:styleId="102">
    <w:name w:val="不明显参考1"/>
    <w:autoRedefine/>
    <w:qFormat/>
    <w:uiPriority w:val="99"/>
    <w:rPr>
      <w:smallCaps/>
      <w:color w:val="auto"/>
      <w:u w:val="single"/>
    </w:rPr>
  </w:style>
  <w:style w:type="character" w:customStyle="1" w:styleId="103">
    <w:name w:val="批注框文本 Char1"/>
    <w:autoRedefine/>
    <w:qFormat/>
    <w:uiPriority w:val="99"/>
    <w:rPr>
      <w:kern w:val="2"/>
      <w:sz w:val="18"/>
    </w:rPr>
  </w:style>
  <w:style w:type="character" w:customStyle="1" w:styleId="104">
    <w:name w:val="不明显强调1"/>
    <w:autoRedefine/>
    <w:qFormat/>
    <w:uiPriority w:val="99"/>
    <w:rPr>
      <w:i/>
      <w:color w:val="808080"/>
    </w:rPr>
  </w:style>
  <w:style w:type="character" w:customStyle="1" w:styleId="105">
    <w:name w:val="标题4 Char Char"/>
    <w:link w:val="106"/>
    <w:autoRedefine/>
    <w:qFormat/>
    <w:locked/>
    <w:uiPriority w:val="99"/>
    <w:rPr>
      <w:rFonts w:ascii="Arial" w:hAnsi="Arial"/>
      <w:b/>
      <w:sz w:val="32"/>
    </w:rPr>
  </w:style>
  <w:style w:type="paragraph" w:customStyle="1" w:styleId="106">
    <w:name w:val="标题4"/>
    <w:basedOn w:val="7"/>
    <w:next w:val="21"/>
    <w:link w:val="105"/>
    <w:autoRedefine/>
    <w:qFormat/>
    <w:uiPriority w:val="99"/>
    <w:pPr>
      <w:spacing w:line="413" w:lineRule="auto"/>
    </w:pPr>
    <w:rPr>
      <w:rFonts w:eastAsia="宋体" w:cs="Times New Roman"/>
      <w:bCs w:val="0"/>
      <w:kern w:val="0"/>
      <w:szCs w:val="20"/>
    </w:rPr>
  </w:style>
  <w:style w:type="character" w:customStyle="1" w:styleId="107">
    <w:name w:val="书籍标题1"/>
    <w:autoRedefine/>
    <w:qFormat/>
    <w:uiPriority w:val="99"/>
    <w:rPr>
      <w:b/>
      <w:smallCaps/>
      <w:spacing w:val="5"/>
    </w:rPr>
  </w:style>
  <w:style w:type="character" w:customStyle="1" w:styleId="108">
    <w:name w:val="bigfont"/>
    <w:basedOn w:val="47"/>
    <w:autoRedefine/>
    <w:qFormat/>
    <w:uiPriority w:val="99"/>
    <w:rPr>
      <w:rFonts w:cs="Times New Roman"/>
    </w:rPr>
  </w:style>
  <w:style w:type="character" w:customStyle="1" w:styleId="109">
    <w:name w:val="news_title1"/>
    <w:autoRedefine/>
    <w:qFormat/>
    <w:uiPriority w:val="99"/>
    <w:rPr>
      <w:rFonts w:ascii="宋体" w:hAnsi="宋体" w:eastAsia="宋体"/>
      <w:b/>
      <w:color w:val="000000"/>
      <w:sz w:val="36"/>
      <w:u w:val="none"/>
    </w:rPr>
  </w:style>
  <w:style w:type="character" w:customStyle="1" w:styleId="110">
    <w:name w:val="标题5 Char Char"/>
    <w:link w:val="111"/>
    <w:autoRedefine/>
    <w:qFormat/>
    <w:locked/>
    <w:uiPriority w:val="99"/>
    <w:rPr>
      <w:rFonts w:ascii="Arial" w:hAnsi="Arial"/>
      <w:b/>
      <w:sz w:val="32"/>
    </w:rPr>
  </w:style>
  <w:style w:type="paragraph" w:customStyle="1" w:styleId="111">
    <w:name w:val="标题5"/>
    <w:basedOn w:val="8"/>
    <w:link w:val="110"/>
    <w:autoRedefine/>
    <w:qFormat/>
    <w:uiPriority w:val="99"/>
    <w:pPr>
      <w:spacing w:line="413" w:lineRule="auto"/>
    </w:pPr>
    <w:rPr>
      <w:rFonts w:ascii="Arial" w:hAnsi="Arial"/>
      <w:bCs w:val="0"/>
      <w:kern w:val="0"/>
      <w:szCs w:val="20"/>
    </w:rPr>
  </w:style>
  <w:style w:type="character" w:customStyle="1" w:styleId="112">
    <w:name w:val="font161"/>
    <w:autoRedefine/>
    <w:qFormat/>
    <w:uiPriority w:val="99"/>
    <w:rPr>
      <w:b/>
      <w:sz w:val="32"/>
    </w:rPr>
  </w:style>
  <w:style w:type="character" w:customStyle="1" w:styleId="113">
    <w:name w:val="标题 2 Char Char"/>
    <w:autoRedefine/>
    <w:qFormat/>
    <w:locked/>
    <w:uiPriority w:val="99"/>
    <w:rPr>
      <w:rFonts w:ascii="Arial" w:hAnsi="Arial" w:eastAsia="黑体"/>
      <w:b/>
      <w:kern w:val="2"/>
      <w:sz w:val="32"/>
      <w:lang w:val="en-US" w:eastAsia="zh-CN"/>
    </w:rPr>
  </w:style>
  <w:style w:type="character" w:customStyle="1" w:styleId="114">
    <w:name w:val="Char Char1"/>
    <w:autoRedefine/>
    <w:qFormat/>
    <w:uiPriority w:val="99"/>
    <w:rPr>
      <w:rFonts w:ascii="宋体" w:hAnsi="Times New Roman"/>
      <w:sz w:val="28"/>
    </w:rPr>
  </w:style>
  <w:style w:type="character" w:customStyle="1" w:styleId="115">
    <w:name w:val="明显引用 Char"/>
    <w:link w:val="116"/>
    <w:autoRedefine/>
    <w:qFormat/>
    <w:locked/>
    <w:uiPriority w:val="99"/>
    <w:rPr>
      <w:b/>
      <w:i/>
      <w:color w:val="4F81BD"/>
      <w:kern w:val="2"/>
      <w:sz w:val="22"/>
    </w:rPr>
  </w:style>
  <w:style w:type="paragraph" w:customStyle="1" w:styleId="116">
    <w:name w:val="明显引用1"/>
    <w:basedOn w:val="1"/>
    <w:next w:val="1"/>
    <w:link w:val="115"/>
    <w:autoRedefine/>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autoRedefine/>
    <w:qFormat/>
    <w:uiPriority w:val="99"/>
    <w:rPr>
      <w:b/>
      <w:kern w:val="2"/>
      <w:sz w:val="22"/>
    </w:rPr>
  </w:style>
  <w:style w:type="character" w:customStyle="1" w:styleId="118">
    <w:name w:val="正文文本 Char1"/>
    <w:autoRedefine/>
    <w:qFormat/>
    <w:uiPriority w:val="99"/>
    <w:rPr>
      <w:kern w:val="2"/>
      <w:sz w:val="22"/>
    </w:rPr>
  </w:style>
  <w:style w:type="paragraph" w:customStyle="1" w:styleId="119">
    <w:name w:val="默认段落字体 Para Char Char Char Char"/>
    <w:basedOn w:val="1"/>
    <w:autoRedefine/>
    <w:qFormat/>
    <w:uiPriority w:val="99"/>
  </w:style>
  <w:style w:type="paragraph" w:customStyle="1" w:styleId="120">
    <w:name w:val="Char Char Char Char Char Char Char Char Char Char Char Char Char"/>
    <w:basedOn w:val="1"/>
    <w:autoRedefine/>
    <w:qFormat/>
    <w:uiPriority w:val="99"/>
  </w:style>
  <w:style w:type="paragraph" w:customStyle="1" w:styleId="121">
    <w:name w:val="样式 标题 3 + (中文) 黑体 小四 非加粗 段前: 7.8 磅 段后: 0 磅 行距: 固定值 20 磅"/>
    <w:basedOn w:val="8"/>
    <w:autoRedefine/>
    <w:qFormat/>
    <w:uiPriority w:val="99"/>
    <w:pPr>
      <w:spacing w:before="0" w:after="0" w:line="400" w:lineRule="exact"/>
    </w:pPr>
    <w:rPr>
      <w:rFonts w:eastAsia="黑体"/>
      <w:b w:val="0"/>
      <w:bCs w:val="0"/>
      <w:sz w:val="24"/>
      <w:szCs w:val="24"/>
    </w:rPr>
  </w:style>
  <w:style w:type="paragraph" w:customStyle="1" w:styleId="122">
    <w:name w:val="表格文字"/>
    <w:basedOn w:val="1"/>
    <w:autoRedefine/>
    <w:qFormat/>
    <w:uiPriority w:val="99"/>
    <w:pPr>
      <w:adjustRightInd w:val="0"/>
      <w:spacing w:line="420" w:lineRule="atLeast"/>
      <w:jc w:val="left"/>
      <w:textAlignment w:val="baseline"/>
    </w:pPr>
    <w:rPr>
      <w:kern w:val="0"/>
    </w:rPr>
  </w:style>
  <w:style w:type="paragraph" w:customStyle="1" w:styleId="123">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autoRedefine/>
    <w:qFormat/>
    <w:uiPriority w:val="99"/>
    <w:pPr>
      <w:widowControl/>
      <w:spacing w:line="360" w:lineRule="auto"/>
      <w:jc w:val="left"/>
    </w:pPr>
    <w:rPr>
      <w:kern w:val="0"/>
      <w:lang w:eastAsia="en-US"/>
    </w:rPr>
  </w:style>
  <w:style w:type="paragraph" w:customStyle="1" w:styleId="125">
    <w:name w:val="样式2"/>
    <w:basedOn w:val="8"/>
    <w:autoRedefine/>
    <w:qFormat/>
    <w:uiPriority w:val="99"/>
    <w:pPr>
      <w:spacing w:line="413" w:lineRule="auto"/>
    </w:pPr>
  </w:style>
  <w:style w:type="paragraph" w:customStyle="1" w:styleId="126">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autoRedefine/>
    <w:qFormat/>
    <w:uiPriority w:val="99"/>
    <w:pPr>
      <w:jc w:val="center"/>
      <w:textAlignment w:val="center"/>
    </w:pPr>
    <w:rPr>
      <w:rFonts w:ascii="华文细黑" w:hAnsi="华文细黑" w:cs="华文细黑"/>
      <w:kern w:val="0"/>
    </w:rPr>
  </w:style>
  <w:style w:type="paragraph" w:customStyle="1" w:styleId="128">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autoRedefine/>
    <w:qFormat/>
    <w:uiPriority w:val="99"/>
  </w:style>
  <w:style w:type="paragraph" w:customStyle="1" w:styleId="130">
    <w:name w:val="样式1"/>
    <w:basedOn w:val="8"/>
    <w:autoRedefine/>
    <w:qFormat/>
    <w:uiPriority w:val="99"/>
    <w:pPr>
      <w:spacing w:line="413" w:lineRule="auto"/>
    </w:pPr>
  </w:style>
  <w:style w:type="paragraph" w:customStyle="1" w:styleId="131">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autoRedefine/>
    <w:qFormat/>
    <w:uiPriority w:val="99"/>
    <w:pPr>
      <w:spacing w:line="413" w:lineRule="auto"/>
    </w:pPr>
  </w:style>
  <w:style w:type="paragraph" w:customStyle="1" w:styleId="134">
    <w:name w:val="TOC 标题1"/>
    <w:basedOn w:val="6"/>
    <w:next w:val="1"/>
    <w:autoRedefine/>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autoRedefine/>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6"/>
    <w:autoRedefine/>
    <w:qFormat/>
    <w:uiPriority w:val="99"/>
    <w:rPr>
      <w:rFonts w:ascii="Tahoma" w:hAnsi="Tahoma" w:cs="Tahoma"/>
      <w:sz w:val="24"/>
      <w:szCs w:val="24"/>
      <w:shd w:val="clear" w:color="auto" w:fill="auto"/>
    </w:rPr>
  </w:style>
  <w:style w:type="paragraph" w:customStyle="1" w:styleId="138">
    <w:name w:val="列出段落1"/>
    <w:basedOn w:val="1"/>
    <w:autoRedefine/>
    <w:qFormat/>
    <w:uiPriority w:val="99"/>
    <w:pPr>
      <w:ind w:firstLine="420" w:firstLineChars="200"/>
    </w:pPr>
    <w:rPr>
      <w:rFonts w:ascii="Calibri" w:hAnsi="Calibri" w:cs="Calibri"/>
    </w:rPr>
  </w:style>
  <w:style w:type="paragraph" w:customStyle="1" w:styleId="139">
    <w:name w:val="Char1"/>
    <w:basedOn w:val="1"/>
    <w:autoRedefine/>
    <w:qFormat/>
    <w:uiPriority w:val="99"/>
    <w:rPr>
      <w:rFonts w:ascii="Tahoma" w:hAnsi="Tahoma" w:cs="Tahoma"/>
      <w:sz w:val="24"/>
      <w:szCs w:val="24"/>
    </w:rPr>
  </w:style>
  <w:style w:type="paragraph" w:customStyle="1" w:styleId="14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autoRedefine/>
    <w:qFormat/>
    <w:uiPriority w:val="99"/>
    <w:pPr>
      <w:spacing w:line="413" w:lineRule="auto"/>
    </w:pPr>
  </w:style>
  <w:style w:type="paragraph" w:customStyle="1" w:styleId="142">
    <w:name w:val="正文1"/>
    <w:autoRedefine/>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列出段落2"/>
    <w:basedOn w:val="1"/>
    <w:autoRedefine/>
    <w:qFormat/>
    <w:uiPriority w:val="99"/>
    <w:pPr>
      <w:ind w:firstLine="200" w:firstLineChars="200"/>
    </w:pPr>
  </w:style>
  <w:style w:type="paragraph" w:customStyle="1" w:styleId="144">
    <w:name w:val="p0"/>
    <w:basedOn w:val="1"/>
    <w:autoRedefine/>
    <w:qFormat/>
    <w:uiPriority w:val="99"/>
    <w:pPr>
      <w:widowControl/>
    </w:pPr>
    <w:rPr>
      <w:kern w:val="0"/>
    </w:rPr>
  </w:style>
  <w:style w:type="paragraph" w:customStyle="1" w:styleId="145">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autoRedefine/>
    <w:qFormat/>
    <w:uiPriority w:val="99"/>
    <w:rPr>
      <w:rFonts w:ascii="Times New Roman" w:hAnsi="Times New Roman" w:eastAsia="宋体" w:cs="Times New Roman"/>
      <w:lang w:val="en-US" w:eastAsia="zh-CN" w:bidi="ar-SA"/>
    </w:rPr>
  </w:style>
  <w:style w:type="paragraph" w:customStyle="1" w:styleId="147">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48">
    <w:name w:val="WPSOffice手动目录 3"/>
    <w:autoRedefine/>
    <w:qFormat/>
    <w:uiPriority w:val="99"/>
    <w:pPr>
      <w:ind w:left="400" w:leftChars="400"/>
    </w:pPr>
    <w:rPr>
      <w:rFonts w:ascii="Times New Roman" w:hAnsi="Times New Roman" w:eastAsia="宋体" w:cs="Times New Roman"/>
      <w:lang w:val="en-US" w:eastAsia="zh-CN" w:bidi="ar-SA"/>
    </w:rPr>
  </w:style>
  <w:style w:type="character" w:customStyle="1" w:styleId="149">
    <w:name w:val="c-icon26"/>
    <w:basedOn w:val="47"/>
    <w:autoRedefine/>
    <w:qFormat/>
    <w:uiPriority w:val="0"/>
  </w:style>
  <w:style w:type="character" w:customStyle="1" w:styleId="150">
    <w:name w:val="hover28"/>
    <w:basedOn w:val="47"/>
    <w:autoRedefine/>
    <w:qFormat/>
    <w:uiPriority w:val="0"/>
  </w:style>
  <w:style w:type="character" w:customStyle="1" w:styleId="151">
    <w:name w:val="hover29"/>
    <w:basedOn w:val="47"/>
    <w:autoRedefine/>
    <w:qFormat/>
    <w:uiPriority w:val="0"/>
    <w:rPr>
      <w:color w:val="315EFB"/>
    </w:rPr>
  </w:style>
  <w:style w:type="character" w:customStyle="1" w:styleId="152">
    <w:name w:val="hover30"/>
    <w:basedOn w:val="47"/>
    <w:autoRedefine/>
    <w:qFormat/>
    <w:uiPriority w:val="0"/>
    <w:rPr>
      <w:color w:val="315EFB"/>
    </w:rPr>
  </w:style>
  <w:style w:type="paragraph" w:customStyle="1" w:styleId="153">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15312</Words>
  <Characters>16186</Characters>
  <Lines>1</Lines>
  <Paragraphs>1</Paragraphs>
  <TotalTime>5</TotalTime>
  <ScaleCrop>false</ScaleCrop>
  <LinksUpToDate>false</LinksUpToDate>
  <CharactersWithSpaces>20474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傻傻一辈子</cp:lastModifiedBy>
  <cp:lastPrinted>2023-03-21T07:56:00Z</cp:lastPrinted>
  <dcterms:modified xsi:type="dcterms:W3CDTF">2024-09-20T00:47:04Z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798D0C231FBA4D34AA68AAFA09D39789_13</vt:lpwstr>
  </property>
</Properties>
</file>