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800" w:lineRule="exact"/>
        <w:jc w:val="center"/>
        <w:rPr>
          <w:rFonts w:hint="eastAsia" w:ascii="宋体" w:hAnsi="宋体" w:cs="宋体"/>
          <w:b/>
          <w:bCs/>
          <w:color w:val="auto"/>
          <w:sz w:val="72"/>
          <w:szCs w:val="72"/>
          <w:highlight w:val="none"/>
          <w:vertAlign w:val="subscript"/>
        </w:rPr>
      </w:pPr>
    </w:p>
    <w:p>
      <w:pPr>
        <w:spacing w:line="800" w:lineRule="exact"/>
        <w:jc w:val="center"/>
        <w:rPr>
          <w:rFonts w:hint="eastAsia" w:ascii="宋体" w:hAnsi="宋体" w:eastAsia="宋体" w:cs="宋体"/>
          <w:b/>
          <w:bCs/>
          <w:color w:val="auto"/>
          <w:sz w:val="84"/>
          <w:szCs w:val="84"/>
          <w:highlight w:val="none"/>
          <w:vertAlign w:val="subscript"/>
          <w:lang w:eastAsia="zh-CN"/>
        </w:rPr>
      </w:pPr>
      <w:r>
        <w:rPr>
          <w:rFonts w:hint="eastAsia" w:ascii="宋体" w:hAnsi="宋体" w:cs="宋体"/>
          <w:b/>
          <w:bCs/>
          <w:color w:val="auto"/>
          <w:sz w:val="84"/>
          <w:szCs w:val="84"/>
          <w:highlight w:val="none"/>
          <w:vertAlign w:val="subscript"/>
          <w:lang w:eastAsia="zh-CN"/>
        </w:rPr>
        <w:t>投资某公司尽职调查服务项目</w:t>
      </w:r>
    </w:p>
    <w:p>
      <w:pPr>
        <w:pStyle w:val="43"/>
        <w:rPr>
          <w:rFonts w:hint="eastAsia" w:ascii="宋体" w:hAnsi="宋体" w:cs="宋体"/>
          <w:color w:val="auto"/>
          <w:highlight w:val="none"/>
        </w:rPr>
      </w:pPr>
    </w:p>
    <w:p>
      <w:pPr>
        <w:spacing w:line="1200" w:lineRule="exact"/>
        <w:jc w:val="center"/>
        <w:rPr>
          <w:rFonts w:hint="eastAsia" w:ascii="宋体" w:hAnsi="宋体" w:cs="宋体"/>
          <w:b/>
          <w:bCs/>
          <w:color w:val="auto"/>
          <w:sz w:val="66"/>
          <w:szCs w:val="66"/>
          <w:highlight w:val="none"/>
        </w:rPr>
      </w:pPr>
    </w:p>
    <w:p>
      <w:pPr>
        <w:spacing w:line="1200" w:lineRule="exact"/>
        <w:jc w:val="center"/>
        <w:rPr>
          <w:rFonts w:hint="eastAsia" w:ascii="宋体" w:hAnsi="宋体" w:cs="宋体"/>
          <w:b/>
          <w:bCs/>
          <w:color w:val="auto"/>
          <w:sz w:val="66"/>
          <w:szCs w:val="66"/>
          <w:highlight w:val="none"/>
        </w:rPr>
      </w:pPr>
      <w:r>
        <w:rPr>
          <w:rFonts w:hint="eastAsia" w:ascii="宋体" w:hAnsi="宋体" w:cs="宋体"/>
          <w:b/>
          <w:bCs/>
          <w:color w:val="auto"/>
          <w:sz w:val="66"/>
          <w:szCs w:val="66"/>
          <w:highlight w:val="none"/>
        </w:rPr>
        <w:t>招</w:t>
      </w:r>
      <w:bookmarkStart w:id="87" w:name="_GoBack"/>
      <w:bookmarkEnd w:id="87"/>
    </w:p>
    <w:p>
      <w:pPr>
        <w:spacing w:line="1200" w:lineRule="exact"/>
        <w:jc w:val="center"/>
        <w:rPr>
          <w:rFonts w:hint="eastAsia" w:ascii="宋体" w:hAnsi="宋体" w:cs="宋体"/>
          <w:b/>
          <w:bCs/>
          <w:color w:val="auto"/>
          <w:sz w:val="66"/>
          <w:szCs w:val="66"/>
          <w:highlight w:val="none"/>
        </w:rPr>
      </w:pPr>
      <w:r>
        <w:rPr>
          <w:rFonts w:hint="eastAsia" w:ascii="宋体" w:hAnsi="宋体" w:cs="宋体"/>
          <w:b/>
          <w:bCs/>
          <w:color w:val="auto"/>
          <w:sz w:val="66"/>
          <w:szCs w:val="66"/>
          <w:highlight w:val="none"/>
        </w:rPr>
        <w:t>标</w:t>
      </w:r>
    </w:p>
    <w:p>
      <w:pPr>
        <w:spacing w:line="1200" w:lineRule="exact"/>
        <w:jc w:val="center"/>
        <w:rPr>
          <w:rFonts w:hint="eastAsia" w:ascii="宋体" w:hAnsi="宋体" w:cs="宋体"/>
          <w:b/>
          <w:bCs/>
          <w:color w:val="auto"/>
          <w:sz w:val="66"/>
          <w:szCs w:val="66"/>
          <w:highlight w:val="none"/>
        </w:rPr>
      </w:pPr>
      <w:r>
        <w:rPr>
          <w:rFonts w:hint="eastAsia" w:ascii="宋体" w:hAnsi="宋体" w:cs="宋体"/>
          <w:b/>
          <w:bCs/>
          <w:color w:val="auto"/>
          <w:sz w:val="66"/>
          <w:szCs w:val="66"/>
          <w:highlight w:val="none"/>
        </w:rPr>
        <w:t>文</w:t>
      </w:r>
    </w:p>
    <w:p>
      <w:pPr>
        <w:spacing w:line="1200" w:lineRule="exact"/>
        <w:jc w:val="center"/>
        <w:rPr>
          <w:rFonts w:hint="eastAsia" w:ascii="宋体" w:hAnsi="宋体" w:cs="宋体"/>
          <w:b/>
          <w:bCs/>
          <w:color w:val="auto"/>
          <w:sz w:val="66"/>
          <w:szCs w:val="66"/>
          <w:highlight w:val="none"/>
        </w:rPr>
      </w:pPr>
      <w:r>
        <w:rPr>
          <w:rFonts w:hint="eastAsia" w:ascii="宋体" w:hAnsi="宋体" w:cs="宋体"/>
          <w:b/>
          <w:bCs/>
          <w:color w:val="auto"/>
          <w:sz w:val="66"/>
          <w:szCs w:val="66"/>
          <w:highlight w:val="none"/>
        </w:rPr>
        <w:t>件</w:t>
      </w:r>
    </w:p>
    <w:p>
      <w:pPr>
        <w:spacing w:line="60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pPr>
        <w:pStyle w:val="43"/>
        <w:rPr>
          <w:rFonts w:hint="eastAsia" w:ascii="宋体" w:hAnsi="宋体" w:cs="宋体"/>
          <w:color w:val="auto"/>
          <w:highlight w:val="none"/>
        </w:rPr>
      </w:pPr>
    </w:p>
    <w:p>
      <w:pPr>
        <w:spacing w:line="600" w:lineRule="exact"/>
        <w:rPr>
          <w:rFonts w:hint="eastAsia" w:ascii="宋体" w:hAnsi="宋体" w:cs="宋体"/>
          <w:color w:val="auto"/>
          <w:sz w:val="28"/>
          <w:szCs w:val="28"/>
          <w:highlight w:val="none"/>
        </w:rPr>
      </w:pPr>
    </w:p>
    <w:p>
      <w:pPr>
        <w:spacing w:line="800" w:lineRule="exact"/>
        <w:rPr>
          <w:rFonts w:hint="eastAsia" w:ascii="宋体" w:hAnsi="宋体" w:cs="宋体"/>
          <w:b/>
          <w:bCs/>
          <w:color w:val="auto"/>
          <w:sz w:val="44"/>
          <w:szCs w:val="44"/>
          <w:highlight w:val="none"/>
        </w:rPr>
      </w:pPr>
    </w:p>
    <w:p>
      <w:pPr>
        <w:ind w:firstLine="803" w:firstLineChars="250"/>
        <w:rPr>
          <w:rFonts w:hint="eastAsia" w:ascii="宋体" w:hAnsi="宋体" w:cs="宋体"/>
          <w:b/>
          <w:color w:val="auto"/>
          <w:sz w:val="32"/>
          <w:szCs w:val="32"/>
          <w:highlight w:val="none"/>
        </w:rPr>
      </w:pPr>
      <w:r>
        <w:rPr>
          <w:rFonts w:hint="eastAsia" w:ascii="宋体" w:hAnsi="宋体" w:cs="宋体"/>
          <w:b/>
          <w:color w:val="auto"/>
          <w:sz w:val="32"/>
          <w:szCs w:val="32"/>
          <w:highlight w:val="none"/>
        </w:rPr>
        <w:t>招 标 单 位：</w:t>
      </w: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u w:val="single"/>
          <w:lang w:val="en-US" w:eastAsia="zh-CN"/>
        </w:rPr>
        <w:t xml:space="preserve"> </w:t>
      </w:r>
      <w:r>
        <w:rPr>
          <w:rFonts w:hint="eastAsia" w:ascii="宋体" w:hAnsi="宋体" w:cs="宋体"/>
          <w:b/>
          <w:color w:val="auto"/>
          <w:sz w:val="32"/>
          <w:szCs w:val="32"/>
          <w:highlight w:val="none"/>
          <w:u w:val="single"/>
          <w:lang w:eastAsia="zh-CN"/>
        </w:rPr>
        <w:t>滁州市兴滁科技发展有限公司</w:t>
      </w: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u w:val="single"/>
          <w:lang w:val="en-US" w:eastAsia="zh-CN"/>
        </w:rPr>
        <w:t xml:space="preserve"> </w:t>
      </w:r>
      <w:r>
        <w:rPr>
          <w:rFonts w:hint="eastAsia" w:ascii="宋体" w:hAnsi="宋体" w:cs="宋体"/>
          <w:b/>
          <w:color w:val="auto"/>
          <w:sz w:val="32"/>
          <w:szCs w:val="32"/>
          <w:highlight w:val="none"/>
        </w:rPr>
        <w:t>（盖章）</w:t>
      </w:r>
    </w:p>
    <w:p>
      <w:pPr>
        <w:spacing w:line="240" w:lineRule="exact"/>
        <w:ind w:firstLine="803" w:firstLineChars="250"/>
        <w:rPr>
          <w:rFonts w:hint="eastAsia" w:ascii="宋体" w:hAnsi="宋体" w:cs="宋体"/>
          <w:b/>
          <w:color w:val="auto"/>
          <w:sz w:val="32"/>
          <w:szCs w:val="32"/>
          <w:highlight w:val="none"/>
        </w:rPr>
      </w:pPr>
    </w:p>
    <w:p>
      <w:pPr>
        <w:spacing w:line="240" w:lineRule="exact"/>
        <w:ind w:firstLine="803" w:firstLineChars="250"/>
        <w:rPr>
          <w:rFonts w:hint="eastAsia" w:ascii="宋体" w:hAnsi="宋体" w:cs="宋体"/>
          <w:b/>
          <w:color w:val="auto"/>
          <w:sz w:val="32"/>
          <w:szCs w:val="32"/>
          <w:highlight w:val="none"/>
        </w:rPr>
      </w:pPr>
    </w:p>
    <w:p>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u w:val="single"/>
        </w:rPr>
        <w:t xml:space="preserve"> 202</w:t>
      </w:r>
      <w:r>
        <w:rPr>
          <w:rFonts w:hint="eastAsia" w:ascii="宋体" w:hAnsi="宋体" w:cs="宋体"/>
          <w:b/>
          <w:color w:val="auto"/>
          <w:sz w:val="32"/>
          <w:szCs w:val="32"/>
          <w:highlight w:val="none"/>
          <w:u w:val="single"/>
          <w:lang w:val="en-US" w:eastAsia="zh-CN"/>
        </w:rPr>
        <w:t>4</w:t>
      </w: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u w:val="single"/>
          <w:lang w:val="en-US" w:eastAsia="zh-CN"/>
        </w:rPr>
        <w:t xml:space="preserve"> 9 </w:t>
      </w:r>
      <w:r>
        <w:rPr>
          <w:rFonts w:hint="eastAsia" w:ascii="宋体" w:hAnsi="宋体" w:cs="宋体"/>
          <w:b/>
          <w:color w:val="auto"/>
          <w:sz w:val="32"/>
          <w:szCs w:val="32"/>
          <w:highlight w:val="none"/>
        </w:rPr>
        <w:t>月</w:t>
      </w:r>
    </w:p>
    <w:p>
      <w:pPr>
        <w:tabs>
          <w:tab w:val="left" w:pos="5042"/>
        </w:tabs>
        <w:jc w:val="left"/>
        <w:rPr>
          <w:rFonts w:hint="eastAsia" w:ascii="宋体" w:hAnsi="宋体" w:cs="宋体"/>
          <w:color w:val="auto"/>
          <w:highlight w:val="none"/>
        </w:rPr>
      </w:pPr>
    </w:p>
    <w:p>
      <w:pPr>
        <w:adjustRightInd w:val="0"/>
        <w:snapToGrid w:val="0"/>
        <w:spacing w:line="460" w:lineRule="exact"/>
        <w:jc w:val="center"/>
        <w:rPr>
          <w:rFonts w:hint="eastAsia" w:ascii="宋体" w:hAnsi="宋体" w:cs="宋体"/>
          <w:b/>
          <w:color w:val="auto"/>
          <w:spacing w:val="20"/>
          <w:sz w:val="32"/>
          <w:szCs w:val="32"/>
          <w:highlight w:val="none"/>
        </w:rPr>
      </w:pPr>
      <w:bookmarkStart w:id="0" w:name="OLE_LINK2"/>
      <w:bookmarkStart w:id="1" w:name="OLE_LINK3"/>
      <w:bookmarkStart w:id="2" w:name="OLE_LINK1"/>
      <w:bookmarkStart w:id="3" w:name="_Toc21247_WPSOffice_Level1"/>
      <w:r>
        <w:rPr>
          <w:rFonts w:hint="eastAsia" w:ascii="宋体" w:hAnsi="宋体" w:cs="宋体"/>
          <w:b/>
          <w:color w:val="auto"/>
          <w:spacing w:val="20"/>
          <w:sz w:val="32"/>
          <w:szCs w:val="32"/>
          <w:highlight w:val="none"/>
        </w:rPr>
        <w:br w:type="page"/>
      </w:r>
    </w:p>
    <w:p>
      <w:pPr>
        <w:adjustRightInd w:val="0"/>
        <w:snapToGrid w:val="0"/>
        <w:spacing w:line="460" w:lineRule="exact"/>
        <w:jc w:val="center"/>
        <w:rPr>
          <w:rFonts w:hint="eastAsia" w:ascii="宋体" w:hAnsi="宋体" w:cs="宋体"/>
          <w:b/>
          <w:color w:val="auto"/>
          <w:spacing w:val="20"/>
          <w:sz w:val="32"/>
          <w:szCs w:val="32"/>
          <w:highlight w:val="none"/>
        </w:rPr>
      </w:pPr>
    </w:p>
    <w:p>
      <w:pPr>
        <w:adjustRightInd w:val="0"/>
        <w:snapToGrid w:val="0"/>
        <w:spacing w:line="460" w:lineRule="exact"/>
        <w:jc w:val="center"/>
        <w:rPr>
          <w:rFonts w:hint="eastAsia" w:ascii="宋体" w:hAnsi="宋体" w:cs="宋体"/>
          <w:b/>
          <w:color w:val="auto"/>
          <w:spacing w:val="20"/>
          <w:sz w:val="32"/>
          <w:szCs w:val="32"/>
          <w:highlight w:val="none"/>
        </w:rPr>
      </w:pPr>
      <w:r>
        <w:rPr>
          <w:rFonts w:hint="eastAsia" w:ascii="宋体" w:hAnsi="宋体" w:cs="宋体"/>
          <w:b/>
          <w:color w:val="auto"/>
          <w:spacing w:val="20"/>
          <w:sz w:val="32"/>
          <w:szCs w:val="32"/>
          <w:highlight w:val="none"/>
        </w:rPr>
        <w:t>目 录</w:t>
      </w:r>
    </w:p>
    <w:p>
      <w:pPr>
        <w:adjustRightInd w:val="0"/>
        <w:snapToGrid w:val="0"/>
        <w:spacing w:line="460" w:lineRule="exact"/>
        <w:jc w:val="center"/>
        <w:rPr>
          <w:rFonts w:hint="eastAsia" w:ascii="宋体" w:hAnsi="宋体" w:cs="宋体"/>
          <w:b/>
          <w:color w:val="auto"/>
          <w:spacing w:val="20"/>
          <w:sz w:val="32"/>
          <w:szCs w:val="32"/>
          <w:highlight w:val="none"/>
        </w:rPr>
      </w:pPr>
    </w:p>
    <w:p>
      <w:pPr>
        <w:pStyle w:val="29"/>
        <w:tabs>
          <w:tab w:val="right" w:leader="dot" w:pos="9184"/>
        </w:tabs>
        <w:rPr>
          <w:color w:val="auto"/>
          <w:sz w:val="28"/>
          <w:szCs w:val="28"/>
          <w:highlight w:val="none"/>
        </w:rPr>
      </w:pPr>
      <w:r>
        <w:rPr>
          <w:rFonts w:hint="eastAsia" w:ascii="宋体" w:hAnsi="宋体" w:eastAsia="宋体" w:cs="宋体"/>
          <w:b w:val="0"/>
          <w:bCs/>
          <w:color w:val="auto"/>
          <w:spacing w:val="20"/>
          <w:sz w:val="28"/>
          <w:szCs w:val="28"/>
          <w:highlight w:val="none"/>
        </w:rPr>
        <w:fldChar w:fldCharType="begin"/>
      </w:r>
      <w:r>
        <w:rPr>
          <w:rFonts w:hint="eastAsia" w:ascii="宋体" w:hAnsi="宋体" w:eastAsia="宋体" w:cs="宋体"/>
          <w:b w:val="0"/>
          <w:bCs/>
          <w:color w:val="auto"/>
          <w:spacing w:val="20"/>
          <w:sz w:val="28"/>
          <w:szCs w:val="28"/>
          <w:highlight w:val="none"/>
        </w:rPr>
        <w:instrText xml:space="preserve">TOC \o "1-1" \h \u </w:instrText>
      </w:r>
      <w:r>
        <w:rPr>
          <w:rFonts w:hint="eastAsia" w:ascii="宋体" w:hAnsi="宋体" w:eastAsia="宋体" w:cs="宋体"/>
          <w:b w:val="0"/>
          <w:bCs/>
          <w:color w:val="auto"/>
          <w:spacing w:val="20"/>
          <w:sz w:val="28"/>
          <w:szCs w:val="28"/>
          <w:highlight w:val="none"/>
        </w:rPr>
        <w:fldChar w:fldCharType="separate"/>
      </w:r>
      <w:r>
        <w:rPr>
          <w:rFonts w:hint="eastAsia" w:ascii="宋体" w:hAnsi="宋体" w:eastAsia="宋体" w:cs="宋体"/>
          <w:bCs/>
          <w:color w:val="auto"/>
          <w:spacing w:val="20"/>
          <w:sz w:val="28"/>
          <w:szCs w:val="28"/>
          <w:highlight w:val="none"/>
        </w:rPr>
        <w:fldChar w:fldCharType="begin"/>
      </w:r>
      <w:r>
        <w:rPr>
          <w:rFonts w:hint="eastAsia" w:ascii="宋体" w:hAnsi="宋体" w:eastAsia="宋体" w:cs="宋体"/>
          <w:bCs/>
          <w:color w:val="auto"/>
          <w:spacing w:val="20"/>
          <w:sz w:val="28"/>
          <w:szCs w:val="28"/>
          <w:highlight w:val="none"/>
        </w:rPr>
        <w:instrText xml:space="preserve"> HYPERLINK \l _Toc4641 </w:instrText>
      </w:r>
      <w:r>
        <w:rPr>
          <w:rFonts w:hint="eastAsia" w:ascii="宋体" w:hAnsi="宋体" w:eastAsia="宋体" w:cs="宋体"/>
          <w:bCs/>
          <w:color w:val="auto"/>
          <w:spacing w:val="20"/>
          <w:sz w:val="28"/>
          <w:szCs w:val="28"/>
          <w:highlight w:val="none"/>
        </w:rPr>
        <w:fldChar w:fldCharType="separate"/>
      </w:r>
      <w:r>
        <w:rPr>
          <w:rFonts w:hint="eastAsia" w:ascii="宋体" w:hAnsi="宋体" w:eastAsia="宋体" w:cs="宋体"/>
          <w:bCs w:val="0"/>
          <w:color w:val="auto"/>
          <w:kern w:val="2"/>
          <w:sz w:val="28"/>
          <w:szCs w:val="28"/>
          <w:highlight w:val="none"/>
          <w:lang w:val="en-US" w:eastAsia="zh-CN" w:bidi="ar"/>
        </w:rPr>
        <w:t>招标公告信息</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_Toc4641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hint="eastAsia" w:ascii="宋体" w:hAnsi="宋体" w:eastAsia="宋体" w:cs="宋体"/>
          <w:bCs/>
          <w:color w:val="auto"/>
          <w:spacing w:val="20"/>
          <w:sz w:val="28"/>
          <w:szCs w:val="28"/>
          <w:highlight w:val="none"/>
        </w:rPr>
        <w:fldChar w:fldCharType="end"/>
      </w:r>
    </w:p>
    <w:p>
      <w:pPr>
        <w:pStyle w:val="29"/>
        <w:tabs>
          <w:tab w:val="right" w:leader="dot" w:pos="9184"/>
        </w:tabs>
        <w:rPr>
          <w:color w:val="auto"/>
          <w:sz w:val="28"/>
          <w:szCs w:val="28"/>
          <w:highlight w:val="none"/>
        </w:rPr>
      </w:pPr>
      <w:r>
        <w:rPr>
          <w:rFonts w:hint="eastAsia" w:ascii="宋体" w:hAnsi="宋体" w:eastAsia="宋体" w:cs="宋体"/>
          <w:bCs/>
          <w:color w:val="auto"/>
          <w:spacing w:val="20"/>
          <w:sz w:val="28"/>
          <w:szCs w:val="28"/>
          <w:highlight w:val="none"/>
        </w:rPr>
        <w:fldChar w:fldCharType="begin"/>
      </w:r>
      <w:r>
        <w:rPr>
          <w:rFonts w:hint="eastAsia" w:ascii="宋体" w:hAnsi="宋体" w:eastAsia="宋体" w:cs="宋体"/>
          <w:bCs/>
          <w:color w:val="auto"/>
          <w:spacing w:val="20"/>
          <w:sz w:val="28"/>
          <w:szCs w:val="28"/>
          <w:highlight w:val="none"/>
        </w:rPr>
        <w:instrText xml:space="preserve"> HYPERLINK \l _Toc15051 </w:instrText>
      </w:r>
      <w:r>
        <w:rPr>
          <w:rFonts w:hint="eastAsia" w:ascii="宋体" w:hAnsi="宋体" w:eastAsia="宋体" w:cs="宋体"/>
          <w:bCs/>
          <w:color w:val="auto"/>
          <w:spacing w:val="20"/>
          <w:sz w:val="28"/>
          <w:szCs w:val="28"/>
          <w:highlight w:val="none"/>
        </w:rPr>
        <w:fldChar w:fldCharType="separate"/>
      </w:r>
      <w:r>
        <w:rPr>
          <w:rFonts w:hint="eastAsia" w:ascii="宋体" w:hAnsi="宋体" w:cs="宋体"/>
          <w:color w:val="auto"/>
          <w:sz w:val="28"/>
          <w:szCs w:val="28"/>
          <w:highlight w:val="none"/>
        </w:rPr>
        <w:t>第一章 投标须知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_Toc15051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hint="eastAsia" w:ascii="宋体" w:hAnsi="宋体" w:eastAsia="宋体" w:cs="宋体"/>
          <w:bCs/>
          <w:color w:val="auto"/>
          <w:spacing w:val="20"/>
          <w:sz w:val="28"/>
          <w:szCs w:val="28"/>
          <w:highlight w:val="none"/>
        </w:rPr>
        <w:fldChar w:fldCharType="end"/>
      </w:r>
    </w:p>
    <w:p>
      <w:pPr>
        <w:pStyle w:val="29"/>
        <w:tabs>
          <w:tab w:val="right" w:leader="dot" w:pos="9184"/>
        </w:tabs>
        <w:rPr>
          <w:color w:val="auto"/>
          <w:sz w:val="28"/>
          <w:szCs w:val="28"/>
          <w:highlight w:val="none"/>
        </w:rPr>
      </w:pPr>
      <w:r>
        <w:rPr>
          <w:rFonts w:hint="eastAsia" w:ascii="宋体" w:hAnsi="宋体" w:eastAsia="宋体" w:cs="宋体"/>
          <w:bCs/>
          <w:color w:val="auto"/>
          <w:spacing w:val="20"/>
          <w:sz w:val="28"/>
          <w:szCs w:val="28"/>
          <w:highlight w:val="none"/>
        </w:rPr>
        <w:fldChar w:fldCharType="begin"/>
      </w:r>
      <w:r>
        <w:rPr>
          <w:rFonts w:hint="eastAsia" w:ascii="宋体" w:hAnsi="宋体" w:eastAsia="宋体" w:cs="宋体"/>
          <w:bCs/>
          <w:color w:val="auto"/>
          <w:spacing w:val="20"/>
          <w:sz w:val="28"/>
          <w:szCs w:val="28"/>
          <w:highlight w:val="none"/>
        </w:rPr>
        <w:instrText xml:space="preserve"> HYPERLINK \l _Toc13176 </w:instrText>
      </w:r>
      <w:r>
        <w:rPr>
          <w:rFonts w:hint="eastAsia" w:ascii="宋体" w:hAnsi="宋体" w:eastAsia="宋体" w:cs="宋体"/>
          <w:bCs/>
          <w:color w:val="auto"/>
          <w:spacing w:val="20"/>
          <w:sz w:val="28"/>
          <w:szCs w:val="28"/>
          <w:highlight w:val="none"/>
        </w:rPr>
        <w:fldChar w:fldCharType="separate"/>
      </w:r>
      <w:r>
        <w:rPr>
          <w:rFonts w:hint="eastAsia" w:ascii="宋体" w:hAnsi="宋体" w:cs="宋体"/>
          <w:color w:val="auto"/>
          <w:sz w:val="28"/>
          <w:szCs w:val="28"/>
          <w:highlight w:val="none"/>
        </w:rPr>
        <w:t xml:space="preserve">第二章 </w:t>
      </w:r>
      <w:r>
        <w:rPr>
          <w:rFonts w:hint="eastAsia" w:ascii="宋体" w:hAnsi="宋体" w:cs="宋体"/>
          <w:color w:val="auto"/>
          <w:sz w:val="28"/>
          <w:szCs w:val="28"/>
          <w:highlight w:val="none"/>
          <w:lang w:val="en-US" w:eastAsia="zh-CN"/>
        </w:rPr>
        <w:t>评标</w:t>
      </w:r>
      <w:r>
        <w:rPr>
          <w:rFonts w:hint="eastAsia" w:ascii="宋体" w:hAnsi="宋体" w:cs="宋体"/>
          <w:color w:val="auto"/>
          <w:sz w:val="28"/>
          <w:szCs w:val="28"/>
          <w:highlight w:val="none"/>
        </w:rPr>
        <w:t>办法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_Toc13176 \h </w:instrText>
      </w:r>
      <w:r>
        <w:rPr>
          <w:color w:val="auto"/>
          <w:sz w:val="28"/>
          <w:szCs w:val="28"/>
          <w:highlight w:val="none"/>
        </w:rPr>
        <w:fldChar w:fldCharType="separate"/>
      </w:r>
      <w:r>
        <w:rPr>
          <w:color w:val="auto"/>
          <w:sz w:val="28"/>
          <w:szCs w:val="28"/>
          <w:highlight w:val="none"/>
        </w:rPr>
        <w:t>11</w:t>
      </w:r>
      <w:r>
        <w:rPr>
          <w:color w:val="auto"/>
          <w:sz w:val="28"/>
          <w:szCs w:val="28"/>
          <w:highlight w:val="none"/>
        </w:rPr>
        <w:fldChar w:fldCharType="end"/>
      </w:r>
      <w:r>
        <w:rPr>
          <w:rFonts w:hint="eastAsia" w:ascii="宋体" w:hAnsi="宋体" w:eastAsia="宋体" w:cs="宋体"/>
          <w:bCs/>
          <w:color w:val="auto"/>
          <w:spacing w:val="20"/>
          <w:sz w:val="28"/>
          <w:szCs w:val="28"/>
          <w:highlight w:val="none"/>
        </w:rPr>
        <w:fldChar w:fldCharType="end"/>
      </w:r>
    </w:p>
    <w:p>
      <w:pPr>
        <w:pStyle w:val="29"/>
        <w:tabs>
          <w:tab w:val="right" w:leader="dot" w:pos="9184"/>
        </w:tabs>
        <w:rPr>
          <w:color w:val="auto"/>
          <w:sz w:val="28"/>
          <w:szCs w:val="28"/>
          <w:highlight w:val="none"/>
        </w:rPr>
      </w:pPr>
      <w:r>
        <w:rPr>
          <w:rFonts w:hint="eastAsia" w:ascii="宋体" w:hAnsi="宋体" w:eastAsia="宋体" w:cs="宋体"/>
          <w:bCs/>
          <w:color w:val="auto"/>
          <w:spacing w:val="20"/>
          <w:sz w:val="28"/>
          <w:szCs w:val="28"/>
          <w:highlight w:val="none"/>
        </w:rPr>
        <w:fldChar w:fldCharType="begin"/>
      </w:r>
      <w:r>
        <w:rPr>
          <w:rFonts w:hint="eastAsia" w:ascii="宋体" w:hAnsi="宋体" w:eastAsia="宋体" w:cs="宋体"/>
          <w:bCs/>
          <w:color w:val="auto"/>
          <w:spacing w:val="20"/>
          <w:sz w:val="28"/>
          <w:szCs w:val="28"/>
          <w:highlight w:val="none"/>
        </w:rPr>
        <w:instrText xml:space="preserve"> HYPERLINK \l _Toc31267 </w:instrText>
      </w:r>
      <w:r>
        <w:rPr>
          <w:rFonts w:hint="eastAsia" w:ascii="宋体" w:hAnsi="宋体" w:eastAsia="宋体" w:cs="宋体"/>
          <w:bCs/>
          <w:color w:val="auto"/>
          <w:spacing w:val="20"/>
          <w:sz w:val="28"/>
          <w:szCs w:val="28"/>
          <w:highlight w:val="none"/>
        </w:rPr>
        <w:fldChar w:fldCharType="separate"/>
      </w:r>
      <w:r>
        <w:rPr>
          <w:rFonts w:hint="eastAsia" w:ascii="宋体" w:hAnsi="宋体" w:cs="宋体"/>
          <w:color w:val="auto"/>
          <w:sz w:val="28"/>
          <w:szCs w:val="28"/>
          <w:highlight w:val="none"/>
          <w:lang w:val="en-US" w:eastAsia="zh-CN"/>
        </w:rPr>
        <w:t>一、</w:t>
      </w:r>
      <w:r>
        <w:rPr>
          <w:rFonts w:hint="eastAsia" w:ascii="宋体" w:hAnsi="宋体" w:cs="宋体"/>
          <w:color w:val="auto"/>
          <w:sz w:val="28"/>
          <w:szCs w:val="28"/>
          <w:highlight w:val="none"/>
        </w:rPr>
        <w:t>资格审查办法前附表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_Toc31267 \h </w:instrText>
      </w:r>
      <w:r>
        <w:rPr>
          <w:color w:val="auto"/>
          <w:sz w:val="28"/>
          <w:szCs w:val="28"/>
          <w:highlight w:val="none"/>
        </w:rPr>
        <w:fldChar w:fldCharType="separate"/>
      </w:r>
      <w:r>
        <w:rPr>
          <w:color w:val="auto"/>
          <w:sz w:val="28"/>
          <w:szCs w:val="28"/>
          <w:highlight w:val="none"/>
        </w:rPr>
        <w:t>11</w:t>
      </w:r>
      <w:r>
        <w:rPr>
          <w:color w:val="auto"/>
          <w:sz w:val="28"/>
          <w:szCs w:val="28"/>
          <w:highlight w:val="none"/>
        </w:rPr>
        <w:fldChar w:fldCharType="end"/>
      </w:r>
      <w:r>
        <w:rPr>
          <w:rFonts w:hint="eastAsia" w:ascii="宋体" w:hAnsi="宋体" w:eastAsia="宋体" w:cs="宋体"/>
          <w:bCs/>
          <w:color w:val="auto"/>
          <w:spacing w:val="20"/>
          <w:sz w:val="28"/>
          <w:szCs w:val="28"/>
          <w:highlight w:val="none"/>
        </w:rPr>
        <w:fldChar w:fldCharType="end"/>
      </w:r>
    </w:p>
    <w:p>
      <w:pPr>
        <w:pStyle w:val="29"/>
        <w:tabs>
          <w:tab w:val="right" w:leader="dot" w:pos="9184"/>
        </w:tabs>
        <w:rPr>
          <w:color w:val="auto"/>
          <w:sz w:val="28"/>
          <w:szCs w:val="28"/>
          <w:highlight w:val="none"/>
        </w:rPr>
      </w:pPr>
      <w:r>
        <w:rPr>
          <w:rFonts w:hint="eastAsia" w:ascii="宋体" w:hAnsi="宋体" w:eastAsia="宋体" w:cs="宋体"/>
          <w:bCs/>
          <w:color w:val="auto"/>
          <w:spacing w:val="20"/>
          <w:sz w:val="28"/>
          <w:szCs w:val="28"/>
          <w:highlight w:val="none"/>
        </w:rPr>
        <w:fldChar w:fldCharType="begin"/>
      </w:r>
      <w:r>
        <w:rPr>
          <w:rFonts w:hint="eastAsia" w:ascii="宋体" w:hAnsi="宋体" w:eastAsia="宋体" w:cs="宋体"/>
          <w:bCs/>
          <w:color w:val="auto"/>
          <w:spacing w:val="20"/>
          <w:sz w:val="28"/>
          <w:szCs w:val="28"/>
          <w:highlight w:val="none"/>
        </w:rPr>
        <w:instrText xml:space="preserve"> HYPERLINK \l _Toc14848 </w:instrText>
      </w:r>
      <w:r>
        <w:rPr>
          <w:rFonts w:hint="eastAsia" w:ascii="宋体" w:hAnsi="宋体" w:eastAsia="宋体" w:cs="宋体"/>
          <w:bCs/>
          <w:color w:val="auto"/>
          <w:spacing w:val="20"/>
          <w:sz w:val="28"/>
          <w:szCs w:val="28"/>
          <w:highlight w:val="none"/>
        </w:rPr>
        <w:fldChar w:fldCharType="separate"/>
      </w:r>
      <w:r>
        <w:rPr>
          <w:rFonts w:hint="eastAsia" w:ascii="宋体" w:hAnsi="宋体" w:cs="宋体"/>
          <w:color w:val="auto"/>
          <w:sz w:val="28"/>
          <w:szCs w:val="28"/>
          <w:highlight w:val="none"/>
        </w:rPr>
        <w:t>二、投标文件评审</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_Toc14848 \h </w:instrText>
      </w:r>
      <w:r>
        <w:rPr>
          <w:color w:val="auto"/>
          <w:sz w:val="28"/>
          <w:szCs w:val="28"/>
          <w:highlight w:val="none"/>
        </w:rPr>
        <w:fldChar w:fldCharType="separate"/>
      </w:r>
      <w:r>
        <w:rPr>
          <w:color w:val="auto"/>
          <w:sz w:val="28"/>
          <w:szCs w:val="28"/>
          <w:highlight w:val="none"/>
        </w:rPr>
        <w:t>12</w:t>
      </w:r>
      <w:r>
        <w:rPr>
          <w:color w:val="auto"/>
          <w:sz w:val="28"/>
          <w:szCs w:val="28"/>
          <w:highlight w:val="none"/>
        </w:rPr>
        <w:fldChar w:fldCharType="end"/>
      </w:r>
      <w:r>
        <w:rPr>
          <w:rFonts w:hint="eastAsia" w:ascii="宋体" w:hAnsi="宋体" w:eastAsia="宋体" w:cs="宋体"/>
          <w:bCs/>
          <w:color w:val="auto"/>
          <w:spacing w:val="20"/>
          <w:sz w:val="28"/>
          <w:szCs w:val="28"/>
          <w:highlight w:val="none"/>
        </w:rPr>
        <w:fldChar w:fldCharType="end"/>
      </w:r>
    </w:p>
    <w:p>
      <w:pPr>
        <w:pStyle w:val="29"/>
        <w:tabs>
          <w:tab w:val="right" w:leader="dot" w:pos="9184"/>
        </w:tabs>
        <w:rPr>
          <w:color w:val="auto"/>
          <w:sz w:val="28"/>
          <w:szCs w:val="28"/>
          <w:highlight w:val="none"/>
        </w:rPr>
      </w:pPr>
      <w:r>
        <w:rPr>
          <w:rFonts w:hint="eastAsia" w:ascii="宋体" w:hAnsi="宋体" w:eastAsia="宋体" w:cs="宋体"/>
          <w:bCs/>
          <w:color w:val="auto"/>
          <w:spacing w:val="20"/>
          <w:sz w:val="28"/>
          <w:szCs w:val="28"/>
          <w:highlight w:val="none"/>
        </w:rPr>
        <w:fldChar w:fldCharType="begin"/>
      </w:r>
      <w:r>
        <w:rPr>
          <w:rFonts w:hint="eastAsia" w:ascii="宋体" w:hAnsi="宋体" w:eastAsia="宋体" w:cs="宋体"/>
          <w:bCs/>
          <w:color w:val="auto"/>
          <w:spacing w:val="20"/>
          <w:sz w:val="28"/>
          <w:szCs w:val="28"/>
          <w:highlight w:val="none"/>
        </w:rPr>
        <w:instrText xml:space="preserve"> HYPERLINK \l _Toc3327 </w:instrText>
      </w:r>
      <w:r>
        <w:rPr>
          <w:rFonts w:hint="eastAsia" w:ascii="宋体" w:hAnsi="宋体" w:eastAsia="宋体" w:cs="宋体"/>
          <w:bCs/>
          <w:color w:val="auto"/>
          <w:spacing w:val="20"/>
          <w:sz w:val="28"/>
          <w:szCs w:val="28"/>
          <w:highlight w:val="none"/>
        </w:rPr>
        <w:fldChar w:fldCharType="separate"/>
      </w:r>
      <w:r>
        <w:rPr>
          <w:rFonts w:hint="eastAsia" w:ascii="宋体" w:hAnsi="宋体" w:cs="宋体"/>
          <w:color w:val="auto"/>
          <w:sz w:val="28"/>
          <w:szCs w:val="28"/>
          <w:highlight w:val="none"/>
          <w:lang w:val="en-US" w:eastAsia="zh-CN"/>
        </w:rPr>
        <w:t>第二章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_Toc3327 \h </w:instrText>
      </w:r>
      <w:r>
        <w:rPr>
          <w:color w:val="auto"/>
          <w:sz w:val="28"/>
          <w:szCs w:val="28"/>
          <w:highlight w:val="none"/>
        </w:rPr>
        <w:fldChar w:fldCharType="separate"/>
      </w:r>
      <w:r>
        <w:rPr>
          <w:color w:val="auto"/>
          <w:sz w:val="28"/>
          <w:szCs w:val="28"/>
          <w:highlight w:val="none"/>
        </w:rPr>
        <w:t>17</w:t>
      </w:r>
      <w:r>
        <w:rPr>
          <w:color w:val="auto"/>
          <w:sz w:val="28"/>
          <w:szCs w:val="28"/>
          <w:highlight w:val="none"/>
        </w:rPr>
        <w:fldChar w:fldCharType="end"/>
      </w:r>
      <w:r>
        <w:rPr>
          <w:rFonts w:hint="eastAsia" w:ascii="宋体" w:hAnsi="宋体" w:eastAsia="宋体" w:cs="宋体"/>
          <w:bCs/>
          <w:color w:val="auto"/>
          <w:spacing w:val="20"/>
          <w:sz w:val="28"/>
          <w:szCs w:val="28"/>
          <w:highlight w:val="none"/>
        </w:rPr>
        <w:fldChar w:fldCharType="end"/>
      </w:r>
    </w:p>
    <w:p>
      <w:pPr>
        <w:pStyle w:val="29"/>
        <w:tabs>
          <w:tab w:val="right" w:leader="dot" w:pos="9184"/>
        </w:tabs>
        <w:rPr>
          <w:color w:val="auto"/>
          <w:sz w:val="28"/>
          <w:szCs w:val="28"/>
          <w:highlight w:val="none"/>
        </w:rPr>
      </w:pPr>
      <w:r>
        <w:rPr>
          <w:rFonts w:hint="eastAsia" w:ascii="宋体" w:hAnsi="宋体" w:eastAsia="宋体" w:cs="宋体"/>
          <w:bCs/>
          <w:color w:val="auto"/>
          <w:spacing w:val="20"/>
          <w:sz w:val="28"/>
          <w:szCs w:val="28"/>
          <w:highlight w:val="none"/>
        </w:rPr>
        <w:fldChar w:fldCharType="begin"/>
      </w:r>
      <w:r>
        <w:rPr>
          <w:rFonts w:hint="eastAsia" w:ascii="宋体" w:hAnsi="宋体" w:eastAsia="宋体" w:cs="宋体"/>
          <w:bCs/>
          <w:color w:val="auto"/>
          <w:spacing w:val="20"/>
          <w:sz w:val="28"/>
          <w:szCs w:val="28"/>
          <w:highlight w:val="none"/>
        </w:rPr>
        <w:instrText xml:space="preserve"> HYPERLINK \l _Toc12718 </w:instrText>
      </w:r>
      <w:r>
        <w:rPr>
          <w:rFonts w:hint="eastAsia" w:ascii="宋体" w:hAnsi="宋体" w:eastAsia="宋体" w:cs="宋体"/>
          <w:bCs/>
          <w:color w:val="auto"/>
          <w:spacing w:val="20"/>
          <w:sz w:val="28"/>
          <w:szCs w:val="28"/>
          <w:highlight w:val="none"/>
        </w:rPr>
        <w:fldChar w:fldCharType="separate"/>
      </w:r>
      <w:r>
        <w:rPr>
          <w:rFonts w:hint="eastAsia" w:ascii="宋体" w:hAnsi="宋体" w:cs="宋体"/>
          <w:bCs/>
          <w:color w:val="auto"/>
          <w:sz w:val="28"/>
          <w:szCs w:val="28"/>
          <w:highlight w:val="none"/>
        </w:rPr>
        <w:t>第四章 合同条款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_Toc12718 \h </w:instrText>
      </w:r>
      <w:r>
        <w:rPr>
          <w:color w:val="auto"/>
          <w:sz w:val="28"/>
          <w:szCs w:val="28"/>
          <w:highlight w:val="none"/>
        </w:rPr>
        <w:fldChar w:fldCharType="separate"/>
      </w:r>
      <w:r>
        <w:rPr>
          <w:color w:val="auto"/>
          <w:sz w:val="28"/>
          <w:szCs w:val="28"/>
          <w:highlight w:val="none"/>
        </w:rPr>
        <w:t>18</w:t>
      </w:r>
      <w:r>
        <w:rPr>
          <w:color w:val="auto"/>
          <w:sz w:val="28"/>
          <w:szCs w:val="28"/>
          <w:highlight w:val="none"/>
        </w:rPr>
        <w:fldChar w:fldCharType="end"/>
      </w:r>
      <w:r>
        <w:rPr>
          <w:rFonts w:hint="eastAsia" w:ascii="宋体" w:hAnsi="宋体" w:eastAsia="宋体" w:cs="宋体"/>
          <w:bCs/>
          <w:color w:val="auto"/>
          <w:spacing w:val="20"/>
          <w:sz w:val="28"/>
          <w:szCs w:val="28"/>
          <w:highlight w:val="none"/>
        </w:rPr>
        <w:fldChar w:fldCharType="end"/>
      </w:r>
    </w:p>
    <w:p>
      <w:pPr>
        <w:pStyle w:val="29"/>
        <w:tabs>
          <w:tab w:val="right" w:leader="dot" w:pos="9184"/>
        </w:tabs>
        <w:rPr>
          <w:color w:val="auto"/>
          <w:sz w:val="28"/>
          <w:szCs w:val="28"/>
          <w:highlight w:val="none"/>
        </w:rPr>
      </w:pPr>
      <w:r>
        <w:rPr>
          <w:rFonts w:hint="eastAsia" w:ascii="宋体" w:hAnsi="宋体" w:eastAsia="宋体" w:cs="宋体"/>
          <w:bCs/>
          <w:color w:val="auto"/>
          <w:spacing w:val="20"/>
          <w:sz w:val="28"/>
          <w:szCs w:val="28"/>
          <w:highlight w:val="none"/>
        </w:rPr>
        <w:fldChar w:fldCharType="begin"/>
      </w:r>
      <w:r>
        <w:rPr>
          <w:rFonts w:hint="eastAsia" w:ascii="宋体" w:hAnsi="宋体" w:eastAsia="宋体" w:cs="宋体"/>
          <w:bCs/>
          <w:color w:val="auto"/>
          <w:spacing w:val="20"/>
          <w:sz w:val="28"/>
          <w:szCs w:val="28"/>
          <w:highlight w:val="none"/>
        </w:rPr>
        <w:instrText xml:space="preserve"> HYPERLINK \l _Toc10830 </w:instrText>
      </w:r>
      <w:r>
        <w:rPr>
          <w:rFonts w:hint="eastAsia" w:ascii="宋体" w:hAnsi="宋体" w:eastAsia="宋体" w:cs="宋体"/>
          <w:bCs/>
          <w:color w:val="auto"/>
          <w:spacing w:val="20"/>
          <w:sz w:val="28"/>
          <w:szCs w:val="28"/>
          <w:highlight w:val="none"/>
        </w:rPr>
        <w:fldChar w:fldCharType="separate"/>
      </w:r>
      <w:r>
        <w:rPr>
          <w:rFonts w:hint="eastAsia" w:ascii="宋体" w:hAnsi="宋体" w:cs="宋体"/>
          <w:color w:val="auto"/>
          <w:sz w:val="28"/>
          <w:szCs w:val="28"/>
          <w:highlight w:val="none"/>
        </w:rPr>
        <w:t xml:space="preserve">第五章  </w:t>
      </w:r>
      <w:r>
        <w:rPr>
          <w:rFonts w:hint="eastAsia" w:ascii="宋体" w:hAnsi="宋体" w:cs="宋体"/>
          <w:color w:val="auto"/>
          <w:sz w:val="28"/>
          <w:szCs w:val="28"/>
          <w:highlight w:val="none"/>
          <w:lang w:val="en-US" w:eastAsia="zh-CN"/>
        </w:rPr>
        <w:t>投标</w:t>
      </w:r>
      <w:r>
        <w:rPr>
          <w:rFonts w:hint="eastAsia" w:ascii="宋体" w:hAnsi="宋体" w:cs="宋体"/>
          <w:color w:val="auto"/>
          <w:sz w:val="28"/>
          <w:szCs w:val="28"/>
          <w:highlight w:val="none"/>
        </w:rPr>
        <w:t>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_Toc10830 \h </w:instrText>
      </w:r>
      <w:r>
        <w:rPr>
          <w:color w:val="auto"/>
          <w:sz w:val="28"/>
          <w:szCs w:val="28"/>
          <w:highlight w:val="none"/>
        </w:rPr>
        <w:fldChar w:fldCharType="separate"/>
      </w:r>
      <w:r>
        <w:rPr>
          <w:color w:val="auto"/>
          <w:sz w:val="28"/>
          <w:szCs w:val="28"/>
          <w:highlight w:val="none"/>
        </w:rPr>
        <w:t>22</w:t>
      </w:r>
      <w:r>
        <w:rPr>
          <w:color w:val="auto"/>
          <w:sz w:val="28"/>
          <w:szCs w:val="28"/>
          <w:highlight w:val="none"/>
        </w:rPr>
        <w:fldChar w:fldCharType="end"/>
      </w:r>
      <w:r>
        <w:rPr>
          <w:rFonts w:hint="eastAsia" w:ascii="宋体" w:hAnsi="宋体" w:eastAsia="宋体" w:cs="宋体"/>
          <w:bCs/>
          <w:color w:val="auto"/>
          <w:spacing w:val="20"/>
          <w:sz w:val="28"/>
          <w:szCs w:val="28"/>
          <w:highlight w:val="none"/>
        </w:rPr>
        <w:fldChar w:fldCharType="end"/>
      </w:r>
    </w:p>
    <w:p>
      <w:pPr>
        <w:adjustRightInd w:val="0"/>
        <w:snapToGrid w:val="0"/>
        <w:spacing w:line="360" w:lineRule="auto"/>
        <w:jc w:val="center"/>
        <w:rPr>
          <w:rFonts w:hint="eastAsia" w:ascii="宋体" w:hAnsi="宋体" w:cs="宋体"/>
          <w:bCs/>
          <w:color w:val="auto"/>
          <w:spacing w:val="20"/>
          <w:szCs w:val="21"/>
          <w:highlight w:val="none"/>
        </w:rPr>
      </w:pPr>
      <w:r>
        <w:rPr>
          <w:rFonts w:hint="eastAsia" w:ascii="宋体" w:hAnsi="宋体" w:eastAsia="宋体" w:cs="宋体"/>
          <w:bCs/>
          <w:color w:val="auto"/>
          <w:spacing w:val="20"/>
          <w:sz w:val="28"/>
          <w:szCs w:val="28"/>
          <w:highlight w:val="none"/>
        </w:rPr>
        <w:fldChar w:fldCharType="end"/>
      </w:r>
    </w:p>
    <w:p>
      <w:pPr>
        <w:pStyle w:val="43"/>
        <w:ind w:firstLine="500"/>
        <w:rPr>
          <w:rFonts w:hint="eastAsia" w:ascii="宋体" w:hAnsi="宋体" w:cs="宋体"/>
          <w:bCs/>
          <w:color w:val="auto"/>
          <w:spacing w:val="20"/>
          <w:szCs w:val="21"/>
          <w:highlight w:val="none"/>
        </w:rPr>
      </w:pPr>
    </w:p>
    <w:p>
      <w:pPr>
        <w:rPr>
          <w:rFonts w:hint="eastAsia" w:ascii="宋体" w:hAnsi="宋体" w:cs="宋体"/>
          <w:bCs/>
          <w:color w:val="auto"/>
          <w:spacing w:val="20"/>
          <w:szCs w:val="21"/>
          <w:highlight w:val="none"/>
        </w:rPr>
      </w:pPr>
    </w:p>
    <w:p>
      <w:pPr>
        <w:pStyle w:val="43"/>
        <w:ind w:firstLine="500"/>
        <w:rPr>
          <w:rFonts w:hint="eastAsia" w:ascii="宋体" w:hAnsi="宋体" w:cs="宋体"/>
          <w:bCs/>
          <w:color w:val="auto"/>
          <w:spacing w:val="20"/>
          <w:szCs w:val="21"/>
          <w:highlight w:val="none"/>
        </w:rPr>
      </w:pPr>
    </w:p>
    <w:p>
      <w:pPr>
        <w:rPr>
          <w:rFonts w:hint="eastAsia" w:ascii="宋体" w:hAnsi="宋体" w:cs="宋体"/>
          <w:bCs/>
          <w:color w:val="auto"/>
          <w:spacing w:val="20"/>
          <w:szCs w:val="21"/>
          <w:highlight w:val="none"/>
        </w:rPr>
      </w:pPr>
    </w:p>
    <w:p>
      <w:pPr>
        <w:keepNext w:val="0"/>
        <w:keepLines w:val="0"/>
        <w:widowControl w:val="0"/>
        <w:suppressLineNumbers w:val="0"/>
        <w:spacing w:before="51" w:beforeAutospacing="0" w:after="0" w:afterAutospacing="0" w:line="360" w:lineRule="auto"/>
        <w:ind w:left="175" w:right="22"/>
        <w:jc w:val="center"/>
        <w:outlineLvl w:val="0"/>
        <w:rPr>
          <w:rFonts w:hint="eastAsia" w:ascii="宋体" w:hAnsi="宋体" w:eastAsia="宋体" w:cs="宋体"/>
          <w:b/>
          <w:bCs w:val="0"/>
          <w:color w:val="auto"/>
          <w:kern w:val="2"/>
          <w:sz w:val="28"/>
          <w:szCs w:val="28"/>
          <w:highlight w:val="none"/>
          <w:lang w:val="en-US" w:eastAsia="zh-CN" w:bidi="ar"/>
        </w:rPr>
        <w:sectPr>
          <w:footerReference r:id="rId5" w:type="first"/>
          <w:headerReference r:id="rId3" w:type="default"/>
          <w:footerReference r:id="rId4" w:type="default"/>
          <w:pgSz w:w="11906" w:h="16838"/>
          <w:pgMar w:top="1134" w:right="1361" w:bottom="1077" w:left="1361" w:header="680" w:footer="680" w:gutter="0"/>
          <w:cols w:space="720" w:num="1"/>
          <w:docGrid w:type="lines" w:linePitch="312" w:charSpace="0"/>
        </w:sectPr>
      </w:pPr>
    </w:p>
    <w:p>
      <w:pPr>
        <w:keepNext w:val="0"/>
        <w:keepLines w:val="0"/>
        <w:widowControl w:val="0"/>
        <w:suppressLineNumbers w:val="0"/>
        <w:spacing w:before="51" w:beforeAutospacing="0" w:after="0" w:afterAutospacing="0" w:line="360" w:lineRule="auto"/>
        <w:ind w:left="175" w:right="22"/>
        <w:jc w:val="center"/>
        <w:outlineLvl w:val="0"/>
        <w:rPr>
          <w:rFonts w:hint="eastAsia" w:ascii="宋体" w:hAnsi="宋体" w:eastAsia="宋体" w:cs="宋体"/>
          <w:b/>
          <w:bCs w:val="0"/>
          <w:color w:val="auto"/>
          <w:kern w:val="2"/>
          <w:sz w:val="28"/>
          <w:szCs w:val="28"/>
          <w:highlight w:val="none"/>
          <w:lang w:val="en-US" w:eastAsia="zh-CN" w:bidi="ar"/>
        </w:rPr>
      </w:pPr>
      <w:bookmarkStart w:id="4" w:name="_Toc4641"/>
      <w:r>
        <w:rPr>
          <w:rFonts w:hint="eastAsia" w:ascii="宋体" w:hAnsi="宋体" w:eastAsia="宋体" w:cs="宋体"/>
          <w:b/>
          <w:bCs w:val="0"/>
          <w:color w:val="auto"/>
          <w:kern w:val="2"/>
          <w:sz w:val="28"/>
          <w:szCs w:val="28"/>
          <w:highlight w:val="none"/>
          <w:lang w:val="en-US" w:eastAsia="zh-CN" w:bidi="ar"/>
        </w:rPr>
        <w:t>招标公告信息</w:t>
      </w:r>
      <w:bookmarkEnd w:id="4"/>
      <w:r>
        <w:rPr>
          <w:rFonts w:hint="eastAsia" w:ascii="宋体" w:hAnsi="宋体" w:eastAsia="宋体" w:cs="宋体"/>
          <w:b/>
          <w:bCs w:val="0"/>
          <w:color w:val="auto"/>
          <w:kern w:val="2"/>
          <w:sz w:val="28"/>
          <w:szCs w:val="28"/>
          <w:highlight w:val="none"/>
          <w:lang w:val="en-US" w:eastAsia="zh-CN" w:bidi="ar"/>
        </w:rPr>
        <w:t xml:space="preserve"> </w:t>
      </w:r>
    </w:p>
    <w:tbl>
      <w:tblPr>
        <w:tblStyle w:val="44"/>
        <w:tblW w:w="989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26"/>
        <w:gridCol w:w="758"/>
        <w:gridCol w:w="2849"/>
        <w:gridCol w:w="1635"/>
        <w:gridCol w:w="322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2" w:hRule="atLeast"/>
          <w:jc w:val="center"/>
        </w:trPr>
        <w:tc>
          <w:tcPr>
            <w:tcW w:w="218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lang w:val="en-US" w:eastAsia="zh-CN" w:bidi="ar"/>
              </w:rPr>
              <w:t>项目名称</w:t>
            </w:r>
          </w:p>
        </w:tc>
        <w:tc>
          <w:tcPr>
            <w:tcW w:w="7707"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投资某公司尽职调查服务项目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8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招标方式</w:t>
            </w:r>
          </w:p>
        </w:tc>
        <w:tc>
          <w:tcPr>
            <w:tcW w:w="7707"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公开招标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218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投标人资格要求</w:t>
            </w:r>
          </w:p>
        </w:tc>
        <w:tc>
          <w:tcPr>
            <w:tcW w:w="7707" w:type="dxa"/>
            <w:gridSpan w:val="3"/>
            <w:tcBorders>
              <w:top w:val="single" w:color="auto" w:sz="8" w:space="0"/>
              <w:left w:val="single" w:color="auto" w:sz="8" w:space="0"/>
              <w:bottom w:val="single" w:color="auto" w:sz="8" w:space="0"/>
              <w:right w:val="single" w:color="auto" w:sz="8" w:space="0"/>
            </w:tcBorders>
            <w:noWrap w:val="0"/>
            <w:vAlign w:val="top"/>
          </w:tcPr>
          <w:p>
            <w:pPr>
              <w:pStyle w:val="40"/>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w:t>
            </w:r>
            <w:r>
              <w:rPr>
                <w:rFonts w:hint="eastAsia" w:eastAsia="宋体" w:cs="宋体"/>
                <w:color w:val="auto"/>
                <w:kern w:val="2"/>
                <w:sz w:val="21"/>
                <w:szCs w:val="21"/>
                <w:highlight w:val="none"/>
                <w:lang w:val="en-US" w:eastAsia="zh-CN" w:bidi="ar"/>
              </w:rPr>
              <w:t>须满足以下</w:t>
            </w:r>
            <w:r>
              <w:rPr>
                <w:rFonts w:hint="eastAsia" w:ascii="宋体" w:hAnsi="宋体" w:eastAsia="宋体" w:cs="宋体"/>
                <w:color w:val="auto"/>
                <w:kern w:val="2"/>
                <w:sz w:val="21"/>
                <w:szCs w:val="21"/>
                <w:highlight w:val="none"/>
                <w:lang w:val="en-US" w:eastAsia="zh-CN" w:bidi="ar"/>
              </w:rPr>
              <w:t>要求：</w:t>
            </w:r>
          </w:p>
          <w:p>
            <w:pPr>
              <w:pStyle w:val="40"/>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（1）具有有效的营业执照、税务登记证、组织机构代码证（或多证合一的有效证件）</w:t>
            </w:r>
            <w:r>
              <w:rPr>
                <w:rFonts w:hint="eastAsia" w:cs="宋体"/>
                <w:color w:val="auto"/>
                <w:kern w:val="2"/>
                <w:sz w:val="21"/>
                <w:szCs w:val="21"/>
                <w:highlight w:val="none"/>
                <w:lang w:val="en-US" w:eastAsia="zh-CN" w:bidi="ar"/>
              </w:rPr>
              <w:t>且</w:t>
            </w:r>
            <w:r>
              <w:rPr>
                <w:rFonts w:hint="eastAsia" w:ascii="宋体" w:hAnsi="宋体" w:eastAsia="宋体" w:cs="宋体"/>
                <w:color w:val="auto"/>
                <w:kern w:val="2"/>
                <w:sz w:val="21"/>
                <w:szCs w:val="21"/>
                <w:highlight w:val="none"/>
                <w:lang w:val="en-US" w:eastAsia="zh-CN" w:bidi="ar"/>
              </w:rPr>
              <w:t>具有相应的咨询服务能力；</w:t>
            </w:r>
          </w:p>
          <w:p>
            <w:pPr>
              <w:pStyle w:val="40"/>
              <w:keepNext w:val="0"/>
              <w:keepLines w:val="0"/>
              <w:widowControl w:val="0"/>
              <w:suppressLineNumbers w:val="0"/>
              <w:spacing w:before="0" w:beforeAutospacing="0" w:after="0" w:afterAutospacing="0" w:line="440" w:lineRule="exact"/>
              <w:ind w:left="0" w:right="0"/>
              <w:jc w:val="both"/>
              <w:rPr>
                <w:rFonts w:hint="eastAsia"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w:t>
            </w:r>
            <w:r>
              <w:rPr>
                <w:rFonts w:hint="eastAsia"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202</w:t>
            </w:r>
            <w:r>
              <w:rPr>
                <w:rFonts w:hint="eastAsia"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年</w:t>
            </w:r>
            <w:r>
              <w:rPr>
                <w:rFonts w:hint="eastAsia"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月1日</w:t>
            </w:r>
            <w:r>
              <w:rPr>
                <w:rFonts w:hint="eastAsia" w:ascii="宋体" w:hAnsi="宋体" w:eastAsia="宋体" w:cs="宋体"/>
                <w:color w:val="auto"/>
                <w:kern w:val="2"/>
                <w:sz w:val="21"/>
                <w:szCs w:val="21"/>
                <w:highlight w:val="none"/>
                <w:lang w:val="en-US" w:eastAsia="zh-CN" w:bidi="ar"/>
              </w:rPr>
              <w:t>以来至少有</w:t>
            </w:r>
            <w:r>
              <w:rPr>
                <w:rFonts w:hint="eastAsia" w:cs="宋体"/>
                <w:color w:val="auto"/>
                <w:kern w:val="2"/>
                <w:sz w:val="21"/>
                <w:szCs w:val="21"/>
                <w:highlight w:val="none"/>
                <w:lang w:val="en-US" w:eastAsia="zh-CN" w:bidi="ar"/>
              </w:rPr>
              <w:t>一</w:t>
            </w:r>
            <w:r>
              <w:rPr>
                <w:rFonts w:hint="eastAsia" w:ascii="宋体" w:hAnsi="宋体" w:eastAsia="宋体" w:cs="宋体"/>
                <w:color w:val="auto"/>
                <w:kern w:val="2"/>
                <w:sz w:val="21"/>
                <w:szCs w:val="21"/>
                <w:highlight w:val="none"/>
                <w:lang w:val="en-US" w:eastAsia="zh-CN" w:bidi="ar"/>
              </w:rPr>
              <w:t>个尽职调查类</w:t>
            </w:r>
            <w:r>
              <w:rPr>
                <w:rFonts w:hint="eastAsia" w:cs="宋体"/>
                <w:color w:val="auto"/>
                <w:kern w:val="2"/>
                <w:sz w:val="21"/>
                <w:szCs w:val="21"/>
                <w:highlight w:val="none"/>
                <w:lang w:val="en-US" w:eastAsia="zh-CN" w:bidi="ar"/>
              </w:rPr>
              <w:t>类似业绩（需提供合同和相关报告，</w:t>
            </w:r>
            <w:r>
              <w:rPr>
                <w:rFonts w:hint="eastAsia" w:ascii="宋体" w:hAnsi="宋体" w:eastAsia="宋体" w:cs="宋体"/>
                <w:color w:val="auto"/>
                <w:kern w:val="2"/>
                <w:sz w:val="21"/>
                <w:szCs w:val="21"/>
                <w:highlight w:val="none"/>
                <w:lang w:val="en-US" w:eastAsia="zh-CN" w:bidi="ar"/>
              </w:rPr>
              <w:t>时间以</w:t>
            </w:r>
            <w:r>
              <w:rPr>
                <w:rFonts w:hint="eastAsia" w:cs="宋体"/>
                <w:color w:val="auto"/>
                <w:kern w:val="2"/>
                <w:sz w:val="21"/>
                <w:szCs w:val="21"/>
                <w:highlight w:val="none"/>
                <w:lang w:val="en-US" w:eastAsia="zh-CN" w:bidi="ar"/>
              </w:rPr>
              <w:t>报告出具时间</w:t>
            </w:r>
            <w:r>
              <w:rPr>
                <w:rFonts w:hint="eastAsia" w:ascii="宋体" w:hAnsi="宋体" w:eastAsia="宋体" w:cs="宋体"/>
                <w:color w:val="auto"/>
                <w:kern w:val="2"/>
                <w:sz w:val="21"/>
                <w:szCs w:val="21"/>
                <w:highlight w:val="none"/>
                <w:lang w:val="en-US" w:eastAsia="zh-CN" w:bidi="ar"/>
              </w:rPr>
              <w:t>为准）</w:t>
            </w:r>
            <w:r>
              <w:rPr>
                <w:rFonts w:hint="eastAsia" w:cs="宋体"/>
                <w:color w:val="auto"/>
                <w:kern w:val="2"/>
                <w:sz w:val="21"/>
                <w:szCs w:val="21"/>
                <w:highlight w:val="none"/>
                <w:lang w:val="en-US" w:eastAsia="zh-CN" w:bidi="ar"/>
              </w:rPr>
              <w:t>；</w:t>
            </w:r>
          </w:p>
          <w:p>
            <w:pPr>
              <w:pStyle w:val="40"/>
              <w:keepNext w:val="0"/>
              <w:keepLines w:val="0"/>
              <w:widowControl w:val="0"/>
              <w:suppressLineNumbers w:val="0"/>
              <w:spacing w:before="0" w:beforeAutospacing="0" w:after="0" w:afterAutospacing="0" w:line="440" w:lineRule="exact"/>
              <w:ind w:left="0" w:right="0"/>
              <w:jc w:val="both"/>
              <w:rPr>
                <w:rFonts w:hint="default" w:cs="宋体"/>
                <w:color w:val="auto"/>
                <w:kern w:val="2"/>
                <w:sz w:val="21"/>
                <w:szCs w:val="21"/>
                <w:highlight w:val="none"/>
                <w:lang w:val="en-US" w:eastAsia="zh-CN" w:bidi="ar"/>
              </w:rPr>
            </w:pPr>
            <w:r>
              <w:rPr>
                <w:rFonts w:hint="eastAsia" w:cs="宋体"/>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
              </w:rPr>
              <w:t>因</w:t>
            </w:r>
            <w:r>
              <w:rPr>
                <w:rFonts w:hint="eastAsia" w:cs="宋体"/>
                <w:color w:val="auto"/>
                <w:kern w:val="2"/>
                <w:sz w:val="21"/>
                <w:szCs w:val="21"/>
                <w:highlight w:val="none"/>
                <w:lang w:val="en-US" w:eastAsia="zh-CN" w:bidi="ar"/>
              </w:rPr>
              <w:t>投资的“</w:t>
            </w:r>
            <w:r>
              <w:rPr>
                <w:rFonts w:hint="eastAsia" w:ascii="宋体" w:hAnsi="宋体" w:eastAsia="宋体" w:cs="宋体"/>
                <w:color w:val="auto"/>
                <w:kern w:val="2"/>
                <w:sz w:val="21"/>
                <w:szCs w:val="21"/>
                <w:highlight w:val="none"/>
                <w:lang w:val="en-US" w:eastAsia="zh-CN" w:bidi="ar"/>
              </w:rPr>
              <w:t>某公司</w:t>
            </w:r>
            <w:r>
              <w:rPr>
                <w:rFonts w:hint="eastAsia"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为拟挂牌新三板公司，为确保尽调服务独立性，本项目不接受某公司的辅导上市机构投标，投标单位可在投标前与本司联系，了解某公司名称，避免无效投标。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8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是否接受联合体投标</w:t>
            </w:r>
          </w:p>
        </w:tc>
        <w:tc>
          <w:tcPr>
            <w:tcW w:w="7707"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本项目不接受联合体投标。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8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项目规模</w:t>
            </w:r>
          </w:p>
        </w:tc>
        <w:tc>
          <w:tcPr>
            <w:tcW w:w="7707"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本项目服务费用约10万元。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218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项目内容范围</w:t>
            </w:r>
          </w:p>
        </w:tc>
        <w:tc>
          <w:tcPr>
            <w:tcW w:w="7707"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left"/>
              <w:rPr>
                <w:rFonts w:hint="default" w:ascii="宋体" w:hAnsi="宋体" w:eastAsia="宋体" w:cs="宋体"/>
                <w:color w:val="auto"/>
                <w:kern w:val="2"/>
                <w:sz w:val="21"/>
                <w:szCs w:val="21"/>
                <w:highlight w:val="none"/>
                <w:lang w:val="en-US"/>
              </w:rPr>
            </w:pPr>
            <w:r>
              <w:rPr>
                <w:rFonts w:hint="eastAsia" w:ascii="宋体" w:hAnsi="宋体" w:cs="宋体"/>
                <w:color w:val="auto"/>
                <w:kern w:val="2"/>
                <w:sz w:val="21"/>
                <w:szCs w:val="21"/>
                <w:highlight w:val="none"/>
                <w:lang w:val="en-US" w:eastAsia="zh-CN" w:bidi="ar"/>
              </w:rPr>
              <w:t>拟对某公司进行股权投资，</w:t>
            </w:r>
            <w:r>
              <w:rPr>
                <w:rFonts w:hint="eastAsia" w:ascii="宋体" w:hAnsi="宋体" w:eastAsia="宋体" w:cs="宋体"/>
                <w:color w:val="auto"/>
                <w:kern w:val="2"/>
                <w:sz w:val="21"/>
                <w:szCs w:val="21"/>
                <w:highlight w:val="none"/>
                <w:lang w:val="en-US" w:eastAsia="zh-CN" w:bidi="ar"/>
              </w:rPr>
              <w:t>包括但不限于尽职调查报告全过程技术指导</w:t>
            </w:r>
            <w:r>
              <w:rPr>
                <w:rFonts w:hint="eastAsia" w:ascii="宋体" w:hAnsi="宋体" w:cs="宋体"/>
                <w:color w:val="auto"/>
                <w:kern w:val="2"/>
                <w:sz w:val="21"/>
                <w:szCs w:val="21"/>
                <w:highlight w:val="none"/>
                <w:lang w:val="en-US" w:eastAsia="zh-CN" w:bidi="ar"/>
              </w:rPr>
              <w:t>及投资</w:t>
            </w:r>
            <w:r>
              <w:rPr>
                <w:rFonts w:hint="eastAsia" w:ascii="宋体" w:hAnsi="宋体" w:eastAsia="宋体" w:cs="宋体"/>
                <w:color w:val="auto"/>
                <w:kern w:val="2"/>
                <w:sz w:val="21"/>
                <w:szCs w:val="21"/>
                <w:highlight w:val="none"/>
                <w:lang w:val="en-US" w:eastAsia="zh-CN" w:bidi="ar"/>
              </w:rPr>
              <w:t>配合服务：（1）进行实地调研，收集本项目有关基础资料，出具尽职调查报告；（2）为招标人提供所需其</w:t>
            </w:r>
            <w:r>
              <w:rPr>
                <w:rFonts w:hint="eastAsia" w:ascii="宋体" w:hAnsi="宋体" w:eastAsia="宋体" w:cs="宋体"/>
                <w:color w:val="auto"/>
                <w:kern w:val="2"/>
                <w:sz w:val="21"/>
                <w:szCs w:val="21"/>
                <w:highlight w:val="none"/>
                <w:lang w:val="en-US" w:eastAsia="zh-CN" w:bidi="ar"/>
              </w:rPr>
              <w:t>他相关投资咨询服</w:t>
            </w:r>
            <w:r>
              <w:rPr>
                <w:rFonts w:hint="eastAsia" w:ascii="宋体" w:hAnsi="宋体" w:eastAsia="宋体" w:cs="宋体"/>
                <w:color w:val="auto"/>
                <w:kern w:val="2"/>
                <w:sz w:val="21"/>
                <w:szCs w:val="21"/>
                <w:highlight w:val="none"/>
                <w:lang w:val="en-US" w:eastAsia="zh-CN" w:bidi="ar"/>
              </w:rPr>
              <w:t>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8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招标公告发布时间</w:t>
            </w:r>
          </w:p>
        </w:tc>
        <w:tc>
          <w:tcPr>
            <w:tcW w:w="7707"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 xml:space="preserve">2024年 </w:t>
            </w:r>
            <w:r>
              <w:rPr>
                <w:rFonts w:hint="eastAsia" w:ascii="宋体" w:hAnsi="宋体" w:cs="宋体"/>
                <w:bCs/>
                <w:color w:val="auto"/>
                <w:kern w:val="0"/>
                <w:sz w:val="21"/>
                <w:szCs w:val="21"/>
                <w:highlight w:val="none"/>
                <w:lang w:val="en-US" w:eastAsia="zh-CN" w:bidi="ar"/>
              </w:rPr>
              <w:t>9</w:t>
            </w:r>
            <w:r>
              <w:rPr>
                <w:rFonts w:hint="eastAsia" w:ascii="宋体" w:hAnsi="宋体" w:eastAsia="宋体" w:cs="宋体"/>
                <w:bCs/>
                <w:color w:val="auto"/>
                <w:kern w:val="0"/>
                <w:sz w:val="21"/>
                <w:szCs w:val="21"/>
                <w:highlight w:val="none"/>
                <w:lang w:val="en-US" w:eastAsia="zh-CN" w:bidi="ar"/>
              </w:rPr>
              <w:t>月</w:t>
            </w:r>
            <w:r>
              <w:rPr>
                <w:rFonts w:hint="eastAsia" w:ascii="宋体" w:hAnsi="宋体" w:cs="宋体"/>
                <w:bCs/>
                <w:color w:val="auto"/>
                <w:kern w:val="0"/>
                <w:sz w:val="21"/>
                <w:szCs w:val="21"/>
                <w:highlight w:val="none"/>
                <w:lang w:val="en-US" w:eastAsia="zh-CN" w:bidi="ar"/>
              </w:rPr>
              <w:t>24</w:t>
            </w:r>
            <w:r>
              <w:rPr>
                <w:rFonts w:hint="eastAsia" w:ascii="宋体" w:hAnsi="宋体" w:eastAsia="宋体" w:cs="宋体"/>
                <w:bCs/>
                <w:color w:val="auto"/>
                <w:kern w:val="0"/>
                <w:sz w:val="21"/>
                <w:szCs w:val="21"/>
                <w:highlight w:val="none"/>
                <w:lang w:val="en-US" w:eastAsia="zh-CN" w:bidi="ar"/>
              </w:rPr>
              <w:t xml:space="preserve">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218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2"/>
                <w:sz w:val="21"/>
                <w:szCs w:val="21"/>
                <w:highlight w:val="none"/>
                <w:lang w:val="en-US" w:eastAsia="zh-CN" w:bidi="ar"/>
              </w:rPr>
              <w:t>递交投标文件的截止时间</w:t>
            </w:r>
          </w:p>
        </w:tc>
        <w:tc>
          <w:tcPr>
            <w:tcW w:w="7707"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lang w:val="en-US" w:eastAsia="zh-CN" w:bidi="ar"/>
              </w:rPr>
              <w:t>2024年</w:t>
            </w:r>
            <w:r>
              <w:rPr>
                <w:rFonts w:hint="eastAsia" w:ascii="宋体" w:hAnsi="宋体" w:cs="宋体"/>
                <w:bCs/>
                <w:color w:val="auto"/>
                <w:kern w:val="0"/>
                <w:sz w:val="21"/>
                <w:szCs w:val="21"/>
                <w:highlight w:val="none"/>
                <w:lang w:val="en-US" w:eastAsia="zh-CN" w:bidi="ar"/>
              </w:rPr>
              <w:t>9</w:t>
            </w:r>
            <w:r>
              <w:rPr>
                <w:rFonts w:hint="eastAsia" w:ascii="宋体" w:hAnsi="宋体" w:eastAsia="宋体" w:cs="宋体"/>
                <w:bCs/>
                <w:color w:val="auto"/>
                <w:kern w:val="0"/>
                <w:sz w:val="21"/>
                <w:szCs w:val="21"/>
                <w:highlight w:val="none"/>
                <w:lang w:val="en-US" w:eastAsia="zh-CN" w:bidi="ar"/>
              </w:rPr>
              <w:t>月</w:t>
            </w:r>
            <w:r>
              <w:rPr>
                <w:rFonts w:hint="eastAsia" w:ascii="宋体" w:hAnsi="宋体" w:cs="宋体"/>
                <w:bCs/>
                <w:color w:val="auto"/>
                <w:kern w:val="0"/>
                <w:sz w:val="21"/>
                <w:szCs w:val="21"/>
                <w:highlight w:val="none"/>
                <w:lang w:val="en-US" w:eastAsia="zh-CN" w:bidi="ar"/>
              </w:rPr>
              <w:t>29</w:t>
            </w:r>
            <w:r>
              <w:rPr>
                <w:rFonts w:hint="eastAsia" w:ascii="宋体" w:hAnsi="宋体" w:eastAsia="宋体" w:cs="宋体"/>
                <w:bCs/>
                <w:color w:val="auto"/>
                <w:kern w:val="0"/>
                <w:sz w:val="21"/>
                <w:szCs w:val="21"/>
                <w:highlight w:val="none"/>
                <w:lang w:val="en-US" w:eastAsia="zh-CN" w:bidi="ar"/>
              </w:rPr>
              <w:t>日</w:t>
            </w:r>
            <w:r>
              <w:rPr>
                <w:rFonts w:hint="eastAsia" w:ascii="宋体" w:hAnsi="宋体" w:cs="宋体"/>
                <w:bCs/>
                <w:color w:val="auto"/>
                <w:kern w:val="0"/>
                <w:sz w:val="21"/>
                <w:szCs w:val="21"/>
                <w:highlight w:val="none"/>
                <w:lang w:val="en-US" w:eastAsia="zh-CN" w:bidi="ar"/>
              </w:rPr>
              <w:t>9</w:t>
            </w:r>
            <w:r>
              <w:rPr>
                <w:rFonts w:hint="eastAsia" w:ascii="宋体" w:hAnsi="宋体" w:eastAsia="宋体" w:cs="宋体"/>
                <w:bCs/>
                <w:color w:val="auto"/>
                <w:kern w:val="2"/>
                <w:sz w:val="21"/>
                <w:szCs w:val="21"/>
                <w:highlight w:val="none"/>
                <w:lang w:val="en-US" w:eastAsia="zh-CN" w:bidi="ar"/>
              </w:rPr>
              <w:t>时</w:t>
            </w:r>
            <w:r>
              <w:rPr>
                <w:rFonts w:hint="eastAsia" w:ascii="宋体" w:hAnsi="宋体" w:cs="宋体"/>
                <w:bCs/>
                <w:color w:val="auto"/>
                <w:kern w:val="2"/>
                <w:sz w:val="21"/>
                <w:szCs w:val="21"/>
                <w:highlight w:val="none"/>
                <w:lang w:val="en-US" w:eastAsia="zh-CN" w:bidi="ar"/>
              </w:rPr>
              <w:t>00</w:t>
            </w:r>
            <w:r>
              <w:rPr>
                <w:rFonts w:hint="eastAsia" w:ascii="宋体" w:hAnsi="宋体" w:eastAsia="宋体" w:cs="宋体"/>
                <w:bCs/>
                <w:color w:val="auto"/>
                <w:kern w:val="2"/>
                <w:sz w:val="21"/>
                <w:szCs w:val="21"/>
                <w:highlight w:val="none"/>
                <w:lang w:val="en-US" w:eastAsia="zh-CN" w:bidi="ar"/>
              </w:rPr>
              <w:t>分（北京时间）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8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2"/>
                <w:sz w:val="21"/>
                <w:szCs w:val="21"/>
                <w:highlight w:val="none"/>
                <w:lang w:val="en-US" w:eastAsia="zh-CN" w:bidi="ar"/>
              </w:rPr>
              <w:t>开标时间</w:t>
            </w:r>
          </w:p>
        </w:tc>
        <w:tc>
          <w:tcPr>
            <w:tcW w:w="7707"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lang w:val="en-US" w:eastAsia="zh-CN" w:bidi="ar"/>
              </w:rPr>
              <w:t>2024年</w:t>
            </w:r>
            <w:r>
              <w:rPr>
                <w:rFonts w:hint="eastAsia" w:ascii="宋体" w:hAnsi="宋体" w:cs="宋体"/>
                <w:bCs/>
                <w:color w:val="auto"/>
                <w:kern w:val="0"/>
                <w:sz w:val="21"/>
                <w:szCs w:val="21"/>
                <w:highlight w:val="none"/>
                <w:lang w:val="en-US" w:eastAsia="zh-CN" w:bidi="ar"/>
              </w:rPr>
              <w:t>9</w:t>
            </w:r>
            <w:r>
              <w:rPr>
                <w:rFonts w:hint="eastAsia" w:ascii="宋体" w:hAnsi="宋体" w:eastAsia="宋体" w:cs="宋体"/>
                <w:bCs/>
                <w:color w:val="auto"/>
                <w:kern w:val="0"/>
                <w:sz w:val="21"/>
                <w:szCs w:val="21"/>
                <w:highlight w:val="none"/>
                <w:lang w:val="en-US" w:eastAsia="zh-CN" w:bidi="ar"/>
              </w:rPr>
              <w:t>月</w:t>
            </w:r>
            <w:r>
              <w:rPr>
                <w:rFonts w:hint="eastAsia" w:ascii="宋体" w:hAnsi="宋体" w:cs="宋体"/>
                <w:bCs/>
                <w:color w:val="auto"/>
                <w:kern w:val="0"/>
                <w:sz w:val="21"/>
                <w:szCs w:val="21"/>
                <w:highlight w:val="none"/>
                <w:lang w:val="en-US" w:eastAsia="zh-CN" w:bidi="ar"/>
              </w:rPr>
              <w:t>29</w:t>
            </w:r>
            <w:r>
              <w:rPr>
                <w:rFonts w:hint="eastAsia" w:ascii="宋体" w:hAnsi="宋体" w:eastAsia="宋体" w:cs="宋体"/>
                <w:bCs/>
                <w:color w:val="auto"/>
                <w:kern w:val="0"/>
                <w:sz w:val="21"/>
                <w:szCs w:val="21"/>
                <w:highlight w:val="none"/>
                <w:lang w:val="en-US" w:eastAsia="zh-CN" w:bidi="ar"/>
              </w:rPr>
              <w:t>日</w:t>
            </w:r>
            <w:r>
              <w:rPr>
                <w:rFonts w:hint="eastAsia" w:ascii="宋体" w:hAnsi="宋体" w:cs="宋体"/>
                <w:bCs/>
                <w:color w:val="auto"/>
                <w:kern w:val="0"/>
                <w:sz w:val="21"/>
                <w:szCs w:val="21"/>
                <w:highlight w:val="none"/>
                <w:lang w:val="en-US" w:eastAsia="zh-CN" w:bidi="ar"/>
              </w:rPr>
              <w:t>9</w:t>
            </w:r>
            <w:r>
              <w:rPr>
                <w:rFonts w:hint="eastAsia" w:ascii="宋体" w:hAnsi="宋体" w:eastAsia="宋体" w:cs="宋体"/>
                <w:bCs/>
                <w:color w:val="auto"/>
                <w:kern w:val="2"/>
                <w:sz w:val="21"/>
                <w:szCs w:val="21"/>
                <w:highlight w:val="none"/>
                <w:lang w:val="en-US" w:eastAsia="zh-CN" w:bidi="ar"/>
              </w:rPr>
              <w:t>时</w:t>
            </w:r>
            <w:r>
              <w:rPr>
                <w:rFonts w:hint="eastAsia" w:ascii="宋体" w:hAnsi="宋体" w:cs="宋体"/>
                <w:bCs/>
                <w:color w:val="auto"/>
                <w:kern w:val="2"/>
                <w:sz w:val="21"/>
                <w:szCs w:val="21"/>
                <w:highlight w:val="none"/>
                <w:lang w:val="en-US" w:eastAsia="zh-CN" w:bidi="ar"/>
              </w:rPr>
              <w:t>00</w:t>
            </w:r>
            <w:r>
              <w:rPr>
                <w:rFonts w:hint="eastAsia" w:ascii="宋体" w:hAnsi="宋体" w:eastAsia="宋体" w:cs="宋体"/>
                <w:bCs/>
                <w:color w:val="auto"/>
                <w:kern w:val="2"/>
                <w:sz w:val="21"/>
                <w:szCs w:val="21"/>
                <w:highlight w:val="none"/>
                <w:lang w:val="en-US" w:eastAsia="zh-CN" w:bidi="ar"/>
              </w:rPr>
              <w:t>分（北京时间）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218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开标地点</w:t>
            </w:r>
          </w:p>
        </w:tc>
        <w:tc>
          <w:tcPr>
            <w:tcW w:w="7707"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both"/>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滁州市南谯区醉翁路与中都大道交叉口西南侧城投大厦</w:t>
            </w:r>
            <w:r>
              <w:rPr>
                <w:rFonts w:hint="eastAsia" w:ascii="宋体" w:hAnsi="宋体" w:cs="宋体"/>
                <w:bCs/>
                <w:color w:val="auto"/>
                <w:kern w:val="2"/>
                <w:sz w:val="21"/>
                <w:szCs w:val="21"/>
                <w:highlight w:val="none"/>
                <w:lang w:val="en-US" w:eastAsia="zh-CN" w:bidi="ar"/>
              </w:rPr>
              <w:t>8</w:t>
            </w:r>
            <w:r>
              <w:rPr>
                <w:rFonts w:hint="eastAsia" w:ascii="宋体" w:hAnsi="宋体" w:eastAsia="宋体" w:cs="宋体"/>
                <w:bCs/>
                <w:color w:val="auto"/>
                <w:kern w:val="2"/>
                <w:sz w:val="21"/>
                <w:szCs w:val="21"/>
                <w:highlight w:val="none"/>
                <w:lang w:val="en-US" w:eastAsia="zh-CN" w:bidi="ar"/>
              </w:rPr>
              <w:t>楼</w:t>
            </w:r>
            <w:r>
              <w:rPr>
                <w:rFonts w:hint="eastAsia" w:ascii="宋体" w:hAnsi="宋体" w:cs="宋体"/>
                <w:bCs/>
                <w:color w:val="auto"/>
                <w:kern w:val="2"/>
                <w:sz w:val="21"/>
                <w:szCs w:val="21"/>
                <w:highlight w:val="none"/>
                <w:lang w:val="en-US" w:eastAsia="zh-CN" w:bidi="ar"/>
              </w:rPr>
              <w:t>会议室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8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2"/>
                <w:sz w:val="21"/>
                <w:szCs w:val="21"/>
                <w:highlight w:val="none"/>
                <w:lang w:val="en-US" w:eastAsia="zh-CN" w:bidi="ar"/>
              </w:rPr>
              <w:t>招标文件售价</w:t>
            </w:r>
          </w:p>
        </w:tc>
        <w:tc>
          <w:tcPr>
            <w:tcW w:w="7707"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bCs/>
                <w:color w:val="auto"/>
                <w:kern w:val="0"/>
                <w:sz w:val="21"/>
                <w:szCs w:val="21"/>
                <w:highlight w:val="none"/>
                <w:lang w:val="en-US" w:eastAsia="zh-CN" w:bidi="ar"/>
              </w:rPr>
              <w:t>0元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标段划分</w:t>
            </w:r>
          </w:p>
        </w:tc>
        <w:tc>
          <w:tcPr>
            <w:tcW w:w="8465" w:type="dxa"/>
            <w:gridSpan w:val="4"/>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一个标段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评标办法</w:t>
            </w:r>
          </w:p>
        </w:tc>
        <w:tc>
          <w:tcPr>
            <w:tcW w:w="3607"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综合评分</w:t>
            </w:r>
            <w:r>
              <w:rPr>
                <w:rFonts w:hint="eastAsia" w:ascii="宋体" w:hAnsi="宋体" w:eastAsia="宋体" w:cs="宋体"/>
                <w:color w:val="auto"/>
                <w:kern w:val="2"/>
                <w:sz w:val="21"/>
                <w:szCs w:val="21"/>
                <w:highlight w:val="none"/>
              </w:rPr>
              <w:t>法</w:t>
            </w:r>
          </w:p>
        </w:tc>
        <w:tc>
          <w:tcPr>
            <w:tcW w:w="163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费用支付方式</w:t>
            </w:r>
          </w:p>
        </w:tc>
        <w:tc>
          <w:tcPr>
            <w:tcW w:w="322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投资概算</w:t>
            </w:r>
          </w:p>
        </w:tc>
        <w:tc>
          <w:tcPr>
            <w:tcW w:w="3607"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服务费用约10万元</w:t>
            </w:r>
          </w:p>
        </w:tc>
        <w:tc>
          <w:tcPr>
            <w:tcW w:w="163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计划工期</w:t>
            </w:r>
          </w:p>
        </w:tc>
        <w:tc>
          <w:tcPr>
            <w:tcW w:w="322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资金来源</w:t>
            </w:r>
          </w:p>
        </w:tc>
        <w:tc>
          <w:tcPr>
            <w:tcW w:w="3607"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自筹资金</w:t>
            </w:r>
          </w:p>
        </w:tc>
        <w:tc>
          <w:tcPr>
            <w:tcW w:w="163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招标文件等获取方式</w:t>
            </w:r>
          </w:p>
        </w:tc>
        <w:tc>
          <w:tcPr>
            <w:tcW w:w="322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网上下载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9891" w:type="dxa"/>
            <w:gridSpan w:val="5"/>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是否要求提交投标保证金：不要求。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7" w:hRule="exact"/>
          <w:jc w:val="center"/>
        </w:trPr>
        <w:tc>
          <w:tcPr>
            <w:tcW w:w="9891" w:type="dxa"/>
            <w:gridSpan w:val="5"/>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招标文件获取方式：从滁州市兴滁矿业投资集团有限公司（http://www.xckytz.com/）下载。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39" w:hRule="exact"/>
          <w:jc w:val="center"/>
        </w:trPr>
        <w:tc>
          <w:tcPr>
            <w:tcW w:w="9891" w:type="dxa"/>
            <w:gridSpan w:val="5"/>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招标人名称：滁州市兴滁科技发展有限公司</w:t>
            </w:r>
          </w:p>
          <w:p>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地址：安徽省滁州市南谯区南谯街道中都大道1598号城投大厦8楼</w:t>
            </w:r>
          </w:p>
          <w:p>
            <w:pPr>
              <w:keepNext w:val="0"/>
              <w:keepLines w:val="0"/>
              <w:widowControl/>
              <w:suppressLineNumbers w:val="0"/>
              <w:spacing w:before="0" w:beforeAutospacing="0" w:after="0" w:afterAutospacing="0" w:line="440" w:lineRule="exact"/>
              <w:ind w:left="0" w:right="0"/>
              <w:jc w:val="both"/>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联系人：</w:t>
            </w:r>
            <w:r>
              <w:rPr>
                <w:rFonts w:hint="eastAsia" w:ascii="宋体" w:hAnsi="宋体" w:cs="宋体"/>
                <w:color w:val="auto"/>
                <w:kern w:val="2"/>
                <w:sz w:val="21"/>
                <w:szCs w:val="21"/>
                <w:highlight w:val="none"/>
                <w:lang w:val="en-US" w:eastAsia="zh-CN" w:bidi="ar"/>
              </w:rPr>
              <w:t>项阳、陈倩倩</w:t>
            </w:r>
          </w:p>
          <w:p>
            <w:pPr>
              <w:keepNext w:val="0"/>
              <w:keepLines w:val="0"/>
              <w:widowControl/>
              <w:suppressLineNumbers w:val="0"/>
              <w:spacing w:before="0" w:beforeAutospacing="0" w:after="0" w:afterAutospacing="0" w:line="440" w:lineRule="exact"/>
              <w:ind w:left="0" w:right="0"/>
              <w:jc w:val="both"/>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联系方式：</w:t>
            </w:r>
            <w:r>
              <w:rPr>
                <w:rFonts w:hint="eastAsia" w:ascii="宋体" w:hAnsi="宋体" w:cs="宋体"/>
                <w:color w:val="auto"/>
                <w:kern w:val="2"/>
                <w:sz w:val="21"/>
                <w:szCs w:val="21"/>
                <w:highlight w:val="none"/>
                <w:lang w:val="en-US" w:eastAsia="zh-CN" w:bidi="ar"/>
              </w:rPr>
              <w:t>19955001837、18726618862</w:t>
            </w:r>
          </w:p>
        </w:tc>
      </w:tr>
    </w:tbl>
    <w:p>
      <w:pPr>
        <w:pStyle w:val="25"/>
        <w:rPr>
          <w:rFonts w:hint="eastAsia" w:ascii="宋体" w:hAnsi="宋体" w:eastAsia="宋体" w:cs="宋体"/>
          <w:b/>
          <w:bCs w:val="0"/>
          <w:color w:val="auto"/>
          <w:kern w:val="2"/>
          <w:sz w:val="28"/>
          <w:szCs w:val="28"/>
          <w:highlight w:val="none"/>
          <w:lang w:val="en-US" w:eastAsia="zh-CN" w:bidi="ar"/>
        </w:rPr>
      </w:pPr>
    </w:p>
    <w:p>
      <w:pPr>
        <w:pStyle w:val="25"/>
        <w:rPr>
          <w:rFonts w:hint="eastAsia" w:ascii="宋体" w:hAnsi="宋体" w:eastAsia="宋体" w:cs="宋体"/>
          <w:b/>
          <w:bCs w:val="0"/>
          <w:color w:val="auto"/>
          <w:kern w:val="2"/>
          <w:sz w:val="28"/>
          <w:szCs w:val="28"/>
          <w:highlight w:val="none"/>
          <w:lang w:val="en-US" w:eastAsia="zh-CN" w:bidi="ar"/>
        </w:rPr>
      </w:pPr>
    </w:p>
    <w:p>
      <w:pPr>
        <w:keepNext w:val="0"/>
        <w:keepLines w:val="0"/>
        <w:widowControl w:val="0"/>
        <w:suppressLineNumbers w:val="0"/>
        <w:spacing w:before="0" w:beforeAutospacing="0" w:after="0" w:afterAutospacing="0" w:line="300" w:lineRule="exact"/>
        <w:ind w:left="0" w:right="0"/>
        <w:jc w:val="both"/>
        <w:rPr>
          <w:rFonts w:hint="default" w:ascii="Times New Roman" w:hAnsi="Times New Roman" w:cs="Times New Roman"/>
          <w:color w:val="auto"/>
          <w:kern w:val="2"/>
          <w:sz w:val="21"/>
          <w:szCs w:val="21"/>
          <w:highlight w:val="none"/>
        </w:rPr>
      </w:pPr>
    </w:p>
    <w:p>
      <w:pPr>
        <w:rPr>
          <w:rFonts w:hint="eastAsia" w:ascii="宋体" w:hAnsi="宋体" w:cs="宋体"/>
          <w:bCs/>
          <w:color w:val="auto"/>
          <w:szCs w:val="21"/>
          <w:highlight w:val="none"/>
        </w:rPr>
      </w:pPr>
    </w:p>
    <w:p>
      <w:pPr>
        <w:rPr>
          <w:rFonts w:hint="eastAsia" w:ascii="宋体" w:hAnsi="宋体" w:cs="宋体"/>
          <w:bCs/>
          <w:color w:val="auto"/>
          <w:sz w:val="32"/>
          <w:highlight w:val="none"/>
        </w:rPr>
      </w:pPr>
    </w:p>
    <w:p>
      <w:pPr>
        <w:pStyle w:val="2"/>
        <w:numPr>
          <w:ilvl w:val="0"/>
          <w:numId w:val="1"/>
        </w:numPr>
        <w:rPr>
          <w:rFonts w:hint="eastAsia" w:ascii="宋体" w:hAnsi="宋体" w:cs="宋体"/>
          <w:color w:val="auto"/>
          <w:sz w:val="36"/>
          <w:szCs w:val="36"/>
          <w:highlight w:val="none"/>
        </w:rPr>
      </w:pPr>
      <w:r>
        <w:rPr>
          <w:rFonts w:hint="eastAsia" w:ascii="宋体" w:hAnsi="宋体" w:cs="宋体"/>
          <w:color w:val="auto"/>
          <w:sz w:val="32"/>
          <w:highlight w:val="none"/>
        </w:rPr>
        <w:br w:type="page"/>
      </w:r>
      <w:r>
        <w:rPr>
          <w:rFonts w:hint="eastAsia" w:ascii="宋体" w:hAnsi="宋体" w:cs="宋体"/>
          <w:color w:val="auto"/>
          <w:sz w:val="36"/>
          <w:szCs w:val="36"/>
          <w:highlight w:val="none"/>
        </w:rPr>
        <w:t xml:space="preserve"> </w:t>
      </w:r>
      <w:bookmarkStart w:id="5" w:name="_Toc15051"/>
      <w:bookmarkStart w:id="6" w:name="_Toc6514"/>
      <w:r>
        <w:rPr>
          <w:rFonts w:hint="eastAsia" w:ascii="宋体" w:hAnsi="宋体" w:cs="宋体"/>
          <w:color w:val="auto"/>
          <w:sz w:val="36"/>
          <w:szCs w:val="36"/>
          <w:highlight w:val="none"/>
        </w:rPr>
        <w:t>投标须知</w:t>
      </w:r>
      <w:bookmarkEnd w:id="5"/>
      <w:bookmarkEnd w:id="6"/>
    </w:p>
    <w:p>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投标人须知前附表</w:t>
      </w:r>
    </w:p>
    <w:bookmarkEnd w:id="0"/>
    <w:bookmarkEnd w:id="1"/>
    <w:bookmarkEnd w:id="2"/>
    <w:bookmarkEnd w:id="3"/>
    <w:tbl>
      <w:tblPr>
        <w:tblStyle w:val="44"/>
        <w:tblW w:w="9547" w:type="dxa"/>
        <w:tblInd w:w="-176" w:type="dxa"/>
        <w:tblLayout w:type="fixed"/>
        <w:tblCellMar>
          <w:top w:w="0" w:type="dxa"/>
          <w:left w:w="108" w:type="dxa"/>
          <w:bottom w:w="0" w:type="dxa"/>
          <w:right w:w="108" w:type="dxa"/>
        </w:tblCellMar>
      </w:tblPr>
      <w:tblGrid>
        <w:gridCol w:w="870"/>
        <w:gridCol w:w="832"/>
        <w:gridCol w:w="1028"/>
        <w:gridCol w:w="6817"/>
      </w:tblGrid>
      <w:tr>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b/>
                <w:color w:val="auto"/>
                <w:szCs w:val="21"/>
                <w:highlight w:val="none"/>
              </w:rPr>
            </w:pPr>
            <w:bookmarkStart w:id="7" w:name="_Toc19866"/>
            <w:bookmarkStart w:id="8" w:name="_Toc16377"/>
            <w:bookmarkStart w:id="9" w:name="_Toc179632547"/>
            <w:bookmarkStart w:id="10" w:name="_Toc144974498"/>
            <w:bookmarkStart w:id="11" w:name="_Toc247085690"/>
            <w:bookmarkStart w:id="12" w:name="_Toc296602421"/>
            <w:bookmarkStart w:id="13" w:name="_Toc531771949"/>
            <w:bookmarkStart w:id="14" w:name="_Toc246996919"/>
            <w:bookmarkStart w:id="15" w:name="_Toc35425054"/>
            <w:bookmarkStart w:id="16" w:name="_Toc35947171"/>
            <w:bookmarkStart w:id="17" w:name="_Toc506107270"/>
            <w:bookmarkStart w:id="18" w:name="_Toc324404816"/>
            <w:bookmarkStart w:id="19" w:name="_Toc35424888"/>
            <w:bookmarkStart w:id="20" w:name="_Toc152045530"/>
            <w:bookmarkStart w:id="21" w:name="_Toc246996176"/>
            <w:bookmarkStart w:id="22" w:name="_Toc152042306"/>
            <w:bookmarkStart w:id="23" w:name="_Toc15058847"/>
            <w:bookmarkStart w:id="24" w:name="_Toc8218_WPSOffice_Level1"/>
            <w:r>
              <w:rPr>
                <w:rFonts w:hint="eastAsia" w:ascii="宋体" w:hAnsi="宋体" w:cs="宋体"/>
                <w:b/>
                <w:color w:val="auto"/>
                <w:szCs w:val="21"/>
                <w:highlight w:val="none"/>
              </w:rPr>
              <w:t>序号</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条  款  名  称</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编  列  内  容</w:t>
            </w:r>
          </w:p>
        </w:tc>
      </w:tr>
      <w:tr>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718" w:leftChars="-342" w:right="0" w:firstLine="718" w:firstLineChars="342"/>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招标单位</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 xml:space="preserve">招标单位： </w:t>
            </w:r>
            <w:r>
              <w:rPr>
                <w:rFonts w:hint="eastAsia" w:ascii="宋体" w:hAnsi="宋体" w:eastAsia="宋体" w:cs="宋体"/>
                <w:color w:val="auto"/>
                <w:kern w:val="2"/>
                <w:sz w:val="21"/>
                <w:szCs w:val="21"/>
                <w:highlight w:val="none"/>
                <w:lang w:val="en-US" w:eastAsia="zh-CN" w:bidi="ar"/>
              </w:rPr>
              <w:t>滁州市兴滁科技发展有限公司</w:t>
            </w:r>
          </w:p>
          <w:p>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rPr>
              <w:t>地址：</w:t>
            </w:r>
            <w:r>
              <w:rPr>
                <w:rFonts w:hint="eastAsia" w:ascii="宋体" w:hAnsi="宋体" w:eastAsia="宋体" w:cs="宋体"/>
                <w:color w:val="auto"/>
                <w:kern w:val="2"/>
                <w:sz w:val="21"/>
                <w:szCs w:val="21"/>
                <w:highlight w:val="none"/>
                <w:lang w:val="en-US" w:eastAsia="zh-CN" w:bidi="ar"/>
              </w:rPr>
              <w:t>安徽省滁州市南谯区南谯街道中都大道1598号城投大厦8楼</w:t>
            </w:r>
          </w:p>
          <w:p>
            <w:pPr>
              <w:keepNext w:val="0"/>
              <w:keepLines w:val="0"/>
              <w:widowControl/>
              <w:suppressLineNumbers w:val="0"/>
              <w:spacing w:before="0" w:beforeAutospacing="0" w:after="0" w:afterAutospacing="0" w:line="440" w:lineRule="exact"/>
              <w:ind w:left="0" w:right="0"/>
              <w:jc w:val="both"/>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联系人：</w:t>
            </w:r>
            <w:r>
              <w:rPr>
                <w:rFonts w:hint="eastAsia" w:ascii="宋体" w:hAnsi="宋体" w:cs="宋体"/>
                <w:color w:val="auto"/>
                <w:kern w:val="2"/>
                <w:sz w:val="21"/>
                <w:szCs w:val="21"/>
                <w:highlight w:val="none"/>
                <w:lang w:val="en-US" w:eastAsia="zh-CN" w:bidi="ar"/>
              </w:rPr>
              <w:t>陈倩倩、项阳</w:t>
            </w:r>
          </w:p>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default" w:ascii="宋体" w:hAnsi="宋体" w:eastAsia="宋体" w:cs="宋体"/>
                <w:color w:val="auto"/>
                <w:highlight w:val="none"/>
                <w:lang w:val="en-US" w:eastAsia="zh-CN"/>
              </w:rPr>
            </w:pPr>
            <w:r>
              <w:rPr>
                <w:rFonts w:hint="eastAsia" w:ascii="宋体" w:hAnsi="宋体" w:cs="宋体"/>
                <w:color w:val="auto"/>
                <w:kern w:val="0"/>
                <w:szCs w:val="21"/>
                <w:highlight w:val="none"/>
              </w:rPr>
              <w:t>联系方式：</w:t>
            </w:r>
            <w:r>
              <w:rPr>
                <w:rFonts w:hint="eastAsia" w:ascii="宋体" w:hAnsi="宋体" w:cs="宋体"/>
                <w:color w:val="auto"/>
                <w:kern w:val="2"/>
                <w:sz w:val="21"/>
                <w:szCs w:val="21"/>
                <w:highlight w:val="none"/>
                <w:lang w:val="en-US" w:eastAsia="zh-CN" w:bidi="ar"/>
              </w:rPr>
              <w:t>18726618862、19955001837</w:t>
            </w:r>
            <w:r>
              <w:rPr>
                <w:rFonts w:hint="eastAsia" w:ascii="宋体" w:hAnsi="宋体" w:cs="宋体"/>
                <w:color w:val="auto"/>
                <w:kern w:val="0"/>
                <w:szCs w:val="21"/>
                <w:highlight w:val="none"/>
                <w:lang w:val="en-US" w:eastAsia="zh-CN"/>
              </w:rPr>
              <w:t xml:space="preserve"> </w:t>
            </w:r>
          </w:p>
        </w:tc>
      </w:tr>
      <w:tr>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en-US" w:eastAsia="zh-CN" w:bidi="ar"/>
              </w:rPr>
              <w:t>投资某公司的尽职调查服务项目</w:t>
            </w:r>
          </w:p>
        </w:tc>
      </w:tr>
      <w:tr>
        <w:tblPrEx>
          <w:tblCellMar>
            <w:top w:w="0" w:type="dxa"/>
            <w:left w:w="108" w:type="dxa"/>
            <w:bottom w:w="0" w:type="dxa"/>
            <w:right w:w="108" w:type="dxa"/>
          </w:tblCellMar>
        </w:tblPrEx>
        <w:trPr>
          <w:trHeight w:val="510" w:hRule="exac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项目地点</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default" w:ascii="宋体" w:hAnsi="宋体" w:eastAsia="宋体" w:cs="宋体"/>
                <w:color w:val="auto"/>
                <w:highlight w:val="none"/>
                <w:lang w:val="en-US" w:eastAsia="zh-CN"/>
              </w:rPr>
            </w:pPr>
            <w:r>
              <w:rPr>
                <w:rFonts w:hint="eastAsia" w:ascii="宋体" w:hAnsi="宋体" w:cs="宋体"/>
                <w:color w:val="auto"/>
                <w:szCs w:val="21"/>
                <w:highlight w:val="none"/>
                <w:lang w:val="en-US" w:eastAsia="zh-CN"/>
              </w:rPr>
              <w:t>滁州市</w:t>
            </w:r>
          </w:p>
        </w:tc>
      </w:tr>
      <w:tr>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kern w:val="0"/>
                <w:szCs w:val="21"/>
                <w:highlight w:val="none"/>
              </w:rPr>
              <w:t>项目规模</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auto"/>
                <w:highlight w:val="none"/>
              </w:rPr>
            </w:pPr>
            <w:r>
              <w:rPr>
                <w:rFonts w:hint="eastAsia" w:ascii="宋体" w:hAnsi="宋体" w:cs="宋体"/>
                <w:color w:val="auto"/>
                <w:szCs w:val="21"/>
                <w:highlight w:val="none"/>
              </w:rPr>
              <w:t>投资概算</w:t>
            </w:r>
            <w:r>
              <w:rPr>
                <w:rFonts w:hint="eastAsia" w:ascii="宋体" w:hAnsi="宋体" w:cs="宋体"/>
                <w:color w:val="auto"/>
                <w:szCs w:val="21"/>
                <w:highlight w:val="none"/>
                <w:lang w:val="en-US" w:eastAsia="zh-CN"/>
              </w:rPr>
              <w:t>约10</w:t>
            </w:r>
            <w:r>
              <w:rPr>
                <w:rFonts w:hint="eastAsia" w:ascii="宋体" w:hAnsi="宋体" w:cs="宋体"/>
                <w:color w:val="auto"/>
                <w:szCs w:val="21"/>
                <w:highlight w:val="none"/>
              </w:rPr>
              <w:t>万元。</w:t>
            </w:r>
          </w:p>
        </w:tc>
      </w:tr>
      <w:tr>
        <w:tblPrEx>
          <w:tblCellMar>
            <w:top w:w="0" w:type="dxa"/>
            <w:left w:w="108" w:type="dxa"/>
            <w:bottom w:w="0" w:type="dxa"/>
            <w:right w:w="108" w:type="dxa"/>
          </w:tblCellMar>
        </w:tblPrEx>
        <w:trPr>
          <w:trHeight w:val="510" w:hRule="exac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资金来源及比例</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资金来源：</w:t>
            </w:r>
            <w:r>
              <w:rPr>
                <w:rFonts w:hint="eastAsia" w:ascii="宋体" w:hAnsi="宋体" w:cs="宋体"/>
                <w:color w:val="auto"/>
                <w:szCs w:val="21"/>
                <w:highlight w:val="none"/>
                <w:lang w:val="en-US" w:eastAsia="zh-CN"/>
              </w:rPr>
              <w:t>自筹</w:t>
            </w:r>
            <w:r>
              <w:rPr>
                <w:rFonts w:hint="eastAsia" w:ascii="宋体" w:hAnsi="宋体" w:cs="宋体"/>
                <w:color w:val="auto"/>
                <w:szCs w:val="21"/>
                <w:highlight w:val="none"/>
              </w:rPr>
              <w:t>资金，比例：100%</w:t>
            </w:r>
          </w:p>
        </w:tc>
      </w:tr>
      <w:tr>
        <w:tblPrEx>
          <w:tblCellMar>
            <w:top w:w="0" w:type="dxa"/>
            <w:left w:w="108" w:type="dxa"/>
            <w:bottom w:w="0" w:type="dxa"/>
            <w:right w:w="108" w:type="dxa"/>
          </w:tblCellMar>
        </w:tblPrEx>
        <w:trPr>
          <w:trHeight w:val="510" w:hRule="exac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招标方式</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公开</w:t>
            </w:r>
            <w:r>
              <w:rPr>
                <w:rFonts w:hint="eastAsia" w:ascii="宋体" w:hAnsi="宋体" w:cs="宋体"/>
                <w:color w:val="auto"/>
                <w:szCs w:val="21"/>
                <w:highlight w:val="none"/>
              </w:rPr>
              <w:t>招标</w:t>
            </w:r>
          </w:p>
        </w:tc>
      </w:tr>
      <w:tr>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招标范围及内容</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拟对某公司进行股权投资，包括但不限于尽职调查报告全过程技术指导及投资配合服务：（1）进行实地调研，收集本项目有关基础资料，出具尽职调查报告；（2）为招标人提供所需其他相关投资咨询服务。</w:t>
            </w:r>
          </w:p>
        </w:tc>
      </w:tr>
      <w:tr>
        <w:tblPrEx>
          <w:tblCellMar>
            <w:top w:w="0" w:type="dxa"/>
            <w:left w:w="108" w:type="dxa"/>
            <w:bottom w:w="0" w:type="dxa"/>
            <w:right w:w="108" w:type="dxa"/>
          </w:tblCellMar>
        </w:tblPrEx>
        <w:trPr>
          <w:trHeight w:val="90" w:hRule="atLeas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标段划分</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一个标段</w:t>
            </w:r>
          </w:p>
        </w:tc>
      </w:tr>
      <w:tr>
        <w:tblPrEx>
          <w:tblCellMar>
            <w:top w:w="0" w:type="dxa"/>
            <w:left w:w="108" w:type="dxa"/>
            <w:bottom w:w="0" w:type="dxa"/>
            <w:right w:w="108" w:type="dxa"/>
          </w:tblCellMar>
        </w:tblPrEx>
        <w:trPr>
          <w:trHeight w:val="510" w:hRule="exac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评标办法</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b/>
                <w:color w:val="auto"/>
                <w:szCs w:val="21"/>
                <w:highlight w:val="none"/>
              </w:rPr>
            </w:pPr>
            <w:r>
              <w:rPr>
                <w:rFonts w:hint="eastAsia" w:ascii="宋体" w:hAnsi="宋体" w:cs="宋体"/>
                <w:bCs/>
                <w:color w:val="auto"/>
                <w:szCs w:val="21"/>
                <w:highlight w:val="none"/>
                <w:lang w:val="en-US" w:eastAsia="zh-CN"/>
              </w:rPr>
              <w:t>综合评分</w:t>
            </w:r>
            <w:r>
              <w:rPr>
                <w:rFonts w:hint="eastAsia" w:ascii="宋体" w:hAnsi="宋体" w:cs="宋体"/>
                <w:bCs/>
                <w:color w:val="auto"/>
                <w:szCs w:val="21"/>
                <w:highlight w:val="none"/>
              </w:rPr>
              <w:t>法</w:t>
            </w:r>
          </w:p>
        </w:tc>
      </w:tr>
      <w:tr>
        <w:tblPrEx>
          <w:tblCellMar>
            <w:top w:w="0" w:type="dxa"/>
            <w:left w:w="108" w:type="dxa"/>
            <w:bottom w:w="0" w:type="dxa"/>
            <w:right w:w="108" w:type="dxa"/>
          </w:tblCellMar>
        </w:tblPrEx>
        <w:trPr>
          <w:trHeight w:val="503" w:hRule="atLeas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服务期</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合同签订后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w:t>
            </w:r>
            <w:r>
              <w:rPr>
                <w:rFonts w:hint="eastAsia" w:ascii="宋体" w:hAnsi="宋体" w:cs="宋体"/>
                <w:color w:val="auto"/>
                <w:szCs w:val="21"/>
                <w:highlight w:val="none"/>
                <w:lang w:val="en-US" w:eastAsia="zh-CN"/>
              </w:rPr>
              <w:t>工作日</w:t>
            </w:r>
            <w:r>
              <w:rPr>
                <w:rFonts w:hint="eastAsia" w:ascii="宋体" w:hAnsi="宋体" w:cs="宋体"/>
                <w:color w:val="auto"/>
                <w:szCs w:val="21"/>
                <w:highlight w:val="none"/>
              </w:rPr>
              <w:t>内</w:t>
            </w:r>
            <w:r>
              <w:rPr>
                <w:rFonts w:hint="eastAsia" w:ascii="宋体" w:hAnsi="宋体" w:cs="宋体"/>
                <w:color w:val="auto"/>
                <w:szCs w:val="21"/>
                <w:highlight w:val="none"/>
                <w:lang w:val="en-US" w:eastAsia="zh-CN"/>
              </w:rPr>
              <w:t>先后</w:t>
            </w:r>
            <w:r>
              <w:rPr>
                <w:rFonts w:hint="eastAsia" w:ascii="宋体" w:hAnsi="宋体" w:cs="宋体"/>
                <w:color w:val="auto"/>
                <w:szCs w:val="21"/>
                <w:highlight w:val="none"/>
              </w:rPr>
              <w:t>完成</w:t>
            </w:r>
            <w:r>
              <w:rPr>
                <w:rFonts w:hint="eastAsia" w:ascii="宋体" w:hAnsi="宋体" w:cs="宋体"/>
                <w:color w:val="auto"/>
                <w:szCs w:val="21"/>
                <w:highlight w:val="none"/>
                <w:lang w:val="en-US" w:eastAsia="zh-CN"/>
              </w:rPr>
              <w:t>尽职调查报告</w:t>
            </w:r>
            <w:r>
              <w:rPr>
                <w:rFonts w:hint="eastAsia" w:ascii="宋体" w:hAnsi="宋体" w:cs="宋体"/>
                <w:color w:val="auto"/>
                <w:szCs w:val="21"/>
                <w:highlight w:val="none"/>
              </w:rPr>
              <w:t>编制。</w:t>
            </w:r>
          </w:p>
        </w:tc>
      </w:tr>
      <w:tr>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质量要求</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尽职调查报告应包括但不限于</w:t>
            </w:r>
            <w:r>
              <w:rPr>
                <w:rFonts w:hint="eastAsia" w:ascii="宋体" w:hAnsi="宋体" w:cs="宋体"/>
                <w:color w:val="auto"/>
                <w:szCs w:val="21"/>
                <w:highlight w:val="none"/>
                <w:lang w:val="en-US" w:eastAsia="zh-CN"/>
              </w:rPr>
              <w:t>业务</w:t>
            </w:r>
            <w:r>
              <w:rPr>
                <w:rFonts w:hint="eastAsia" w:ascii="宋体" w:hAnsi="宋体" w:cs="宋体"/>
                <w:color w:val="auto"/>
                <w:szCs w:val="21"/>
                <w:highlight w:val="none"/>
              </w:rPr>
              <w:t>、财务、法务尽职调查相关分析。</w:t>
            </w:r>
            <w:r>
              <w:rPr>
                <w:rFonts w:hint="eastAsia" w:ascii="宋体" w:hAnsi="宋体" w:cs="宋体"/>
                <w:color w:val="auto"/>
                <w:szCs w:val="21"/>
                <w:highlight w:val="none"/>
                <w:lang w:val="en-US" w:eastAsia="zh-CN"/>
              </w:rPr>
              <w:t>其中业务尽职调查服务内容包括但不限于：①行业及竞争概况：行业类别、行业宏观政策、行业概况及竞争、行业经营模式、行业产业链等；②采购情况：市场供求、采购模式、主要供应商、采购与生产的衔接、存货相关制度、关联采购等；③产品及生产情况：主要产品市场分析、产品市场竞争格局、产品生命周期分析、生产装备固定资产投资、生产流程、生产能力、主要无形资产、成本结构分析、生产质量管理、生产安全管理、环保情况等；④销售情况：销售模式及品牌情况、产品的市场地位、主要客户、关联销售等；⑤技术及研发情况：新产品、新技术研发路线、研发模式和机制、技术水平、研发潜力等；⑥标的公司的背景、团队、知识产权、经营能力等。⑦估值测算等。</w:t>
            </w:r>
          </w:p>
        </w:tc>
      </w:tr>
      <w:tr>
        <w:tblPrEx>
          <w:tblCellMar>
            <w:top w:w="0" w:type="dxa"/>
            <w:left w:w="108" w:type="dxa"/>
            <w:bottom w:w="0" w:type="dxa"/>
            <w:right w:w="108" w:type="dxa"/>
          </w:tblCellMar>
        </w:tblPrEx>
        <w:tc>
          <w:tcPr>
            <w:tcW w:w="87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投标人资质条件、能力</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jc w:val="left"/>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详见公告。</w:t>
            </w:r>
          </w:p>
        </w:tc>
      </w:tr>
      <w:tr>
        <w:tblPrEx>
          <w:tblCellMar>
            <w:top w:w="0" w:type="dxa"/>
            <w:left w:w="108" w:type="dxa"/>
            <w:bottom w:w="0" w:type="dxa"/>
            <w:right w:w="108" w:type="dxa"/>
          </w:tblCellMar>
        </w:tblPrEx>
        <w:tc>
          <w:tcPr>
            <w:tcW w:w="87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highlight w:val="none"/>
              </w:rPr>
              <w:t>领取文件方式及时间：</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招标文件获取方式：投标人从</w:t>
            </w:r>
            <w:r>
              <w:rPr>
                <w:rFonts w:hint="eastAsia" w:ascii="宋体" w:hAnsi="宋体" w:eastAsia="宋体" w:cs="宋体"/>
                <w:color w:val="auto"/>
                <w:kern w:val="2"/>
                <w:sz w:val="21"/>
                <w:szCs w:val="21"/>
                <w:highlight w:val="none"/>
                <w:lang w:val="en-US" w:eastAsia="zh-CN" w:bidi="ar"/>
              </w:rPr>
              <w:t>滁州市兴滁矿业投资集团有限公司（http://www.xckytz.com/）</w:t>
            </w:r>
            <w:r>
              <w:rPr>
                <w:rFonts w:hint="eastAsia" w:ascii="宋体" w:hAnsi="宋体" w:cs="宋体"/>
                <w:color w:val="auto"/>
                <w:kern w:val="0"/>
                <w:szCs w:val="21"/>
                <w:highlight w:val="none"/>
              </w:rPr>
              <w:t>网站下载。</w:t>
            </w:r>
          </w:p>
        </w:tc>
      </w:tr>
      <w:tr>
        <w:tblPrEx>
          <w:tblCellMar>
            <w:top w:w="0" w:type="dxa"/>
            <w:left w:w="108" w:type="dxa"/>
            <w:bottom w:w="0" w:type="dxa"/>
            <w:right w:w="108" w:type="dxa"/>
          </w:tblCellMar>
        </w:tblPrEx>
        <w:trPr>
          <w:trHeight w:val="567" w:hRule="atLeas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wordWrap/>
              <w:overflowPunct/>
              <w:topLinePunct/>
              <w:autoSpaceDE/>
              <w:autoSpaceDN/>
              <w:bidi w:val="0"/>
              <w:adjustRightInd/>
              <w:spacing w:before="0" w:beforeAutospacing="0" w:after="0" w:afterAutospacing="0" w:line="440" w:lineRule="exact"/>
              <w:ind w:left="0" w:right="0"/>
              <w:textAlignment w:val="auto"/>
              <w:rPr>
                <w:rFonts w:hint="eastAsia" w:hAnsi="宋体" w:cs="宋体"/>
                <w:color w:val="auto"/>
                <w:spacing w:val="-4"/>
                <w:kern w:val="0"/>
                <w:sz w:val="21"/>
                <w:szCs w:val="21"/>
                <w:highlight w:val="none"/>
              </w:rPr>
            </w:pPr>
            <w:r>
              <w:rPr>
                <w:rFonts w:hint="eastAsia" w:hAnsi="宋体" w:cs="宋体"/>
                <w:color w:val="auto"/>
                <w:spacing w:val="-4"/>
                <w:kern w:val="0"/>
                <w:sz w:val="21"/>
                <w:szCs w:val="21"/>
                <w:highlight w:val="none"/>
              </w:rPr>
              <w:t>不组织，投标人自行组织踏勘现场。</w:t>
            </w:r>
          </w:p>
        </w:tc>
      </w:tr>
      <w:tr>
        <w:tblPrEx>
          <w:tblCellMar>
            <w:top w:w="0" w:type="dxa"/>
            <w:left w:w="108" w:type="dxa"/>
            <w:bottom w:w="0" w:type="dxa"/>
            <w:right w:w="108" w:type="dxa"/>
          </w:tblCellMar>
        </w:tblPrEx>
        <w:trPr>
          <w:trHeight w:val="567" w:hRule="atLeas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wordWrap/>
              <w:overflowPunct/>
              <w:topLinePunct/>
              <w:autoSpaceDE/>
              <w:autoSpaceDN/>
              <w:bidi w:val="0"/>
              <w:adjustRightInd/>
              <w:spacing w:before="0" w:beforeAutospacing="0" w:after="0" w:afterAutospacing="0" w:line="440" w:lineRule="exact"/>
              <w:ind w:left="0" w:right="0"/>
              <w:textAlignment w:val="auto"/>
              <w:rPr>
                <w:rFonts w:hint="eastAsia" w:hAnsi="宋体" w:cs="宋体"/>
                <w:color w:val="auto"/>
                <w:spacing w:val="-4"/>
                <w:kern w:val="0"/>
                <w:sz w:val="21"/>
                <w:szCs w:val="21"/>
                <w:highlight w:val="none"/>
              </w:rPr>
            </w:pPr>
            <w:r>
              <w:rPr>
                <w:rFonts w:hint="eastAsia" w:hAnsi="宋体" w:cs="宋体"/>
                <w:color w:val="auto"/>
                <w:spacing w:val="-4"/>
                <w:kern w:val="0"/>
                <w:sz w:val="21"/>
                <w:szCs w:val="21"/>
                <w:highlight w:val="none"/>
              </w:rPr>
              <w:t>不召开</w:t>
            </w:r>
          </w:p>
        </w:tc>
      </w:tr>
      <w:tr>
        <w:tblPrEx>
          <w:tblCellMar>
            <w:top w:w="0" w:type="dxa"/>
            <w:left w:w="108" w:type="dxa"/>
            <w:bottom w:w="0" w:type="dxa"/>
            <w:right w:w="108" w:type="dxa"/>
          </w:tblCellMar>
        </w:tblPrEx>
        <w:tc>
          <w:tcPr>
            <w:tcW w:w="87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pStyle w:val="22"/>
              <w:keepNext w:val="0"/>
              <w:keepLines w:val="0"/>
              <w:suppressLineNumbers w:val="0"/>
              <w:spacing w:before="0" w:beforeAutospacing="0" w:after="0" w:afterAutospacing="0" w:line="400" w:lineRule="exact"/>
              <w:ind w:left="0" w:right="0"/>
              <w:jc w:val="left"/>
              <w:rPr>
                <w:rFonts w:hint="eastAsia" w:cs="Times New Roman"/>
                <w:color w:val="auto"/>
                <w:szCs w:val="21"/>
                <w:highlight w:val="none"/>
              </w:rPr>
            </w:pPr>
            <w:r>
              <w:rPr>
                <w:rFonts w:hint="eastAsia" w:cs="Times New Roman"/>
                <w:color w:val="auto"/>
                <w:szCs w:val="21"/>
                <w:highlight w:val="none"/>
              </w:rPr>
              <w:t>投标人提出疑问的截止时间及方式</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jc w:val="left"/>
              <w:textAlignment w:val="auto"/>
              <w:rPr>
                <w:rFonts w:hint="default" w:ascii="Times New Roman" w:hAnsi="Times New Roman" w:eastAsia="宋体" w:cs="Times New Roman"/>
                <w:color w:val="auto"/>
                <w:szCs w:val="21"/>
                <w:highlight w:val="none"/>
                <w:lang w:val="en-US" w:eastAsia="zh-CN"/>
              </w:rPr>
            </w:pPr>
            <w:r>
              <w:rPr>
                <w:rFonts w:hint="eastAsia" w:ascii="宋体" w:hAnsi="宋体" w:cs="宋体"/>
                <w:color w:val="auto"/>
                <w:kern w:val="0"/>
                <w:szCs w:val="21"/>
                <w:highlight w:val="none"/>
              </w:rPr>
              <w:t>如投标单位对招标文件有疑问，请于</w:t>
            </w:r>
            <w:r>
              <w:rPr>
                <w:rFonts w:hint="eastAsia" w:ascii="宋体" w:hAnsi="宋体" w:cs="宋体"/>
                <w:b/>
                <w:bCs/>
                <w:color w:val="auto"/>
                <w:kern w:val="0"/>
                <w:szCs w:val="21"/>
                <w:highlight w:val="none"/>
                <w:u w:val="single"/>
              </w:rPr>
              <w:t xml:space="preserve"> 202</w:t>
            </w:r>
            <w:r>
              <w:rPr>
                <w:rFonts w:hint="eastAsia" w:ascii="宋体" w:hAnsi="宋体" w:cs="宋体"/>
                <w:b/>
                <w:bCs/>
                <w:color w:val="auto"/>
                <w:kern w:val="0"/>
                <w:szCs w:val="21"/>
                <w:highlight w:val="none"/>
                <w:u w:val="single"/>
                <w:lang w:val="en-US" w:eastAsia="zh-CN"/>
              </w:rPr>
              <w:t>4</w:t>
            </w:r>
            <w:r>
              <w:rPr>
                <w:rFonts w:hint="eastAsia" w:ascii="宋体" w:hAnsi="宋体" w:cs="宋体"/>
                <w:b/>
                <w:bCs/>
                <w:color w:val="auto"/>
                <w:kern w:val="0"/>
                <w:szCs w:val="21"/>
                <w:highlight w:val="none"/>
                <w:u w:val="single"/>
              </w:rPr>
              <w:t xml:space="preserve"> </w:t>
            </w:r>
            <w:r>
              <w:rPr>
                <w:rFonts w:hint="eastAsia" w:ascii="宋体" w:hAnsi="宋体" w:cs="宋体"/>
                <w:b/>
                <w:bCs/>
                <w:color w:val="auto"/>
                <w:kern w:val="0"/>
                <w:szCs w:val="21"/>
                <w:highlight w:val="none"/>
              </w:rPr>
              <w:t>年</w:t>
            </w:r>
            <w:r>
              <w:rPr>
                <w:rFonts w:hint="eastAsia" w:ascii="宋体" w:hAnsi="宋体" w:cs="宋体"/>
                <w:b/>
                <w:bCs/>
                <w:color w:val="auto"/>
                <w:kern w:val="0"/>
                <w:szCs w:val="21"/>
                <w:highlight w:val="none"/>
                <w:lang w:val="en-US" w:eastAsia="zh-CN"/>
              </w:rPr>
              <w:t>9</w:t>
            </w:r>
            <w:r>
              <w:rPr>
                <w:rFonts w:hint="eastAsia" w:ascii="宋体" w:hAnsi="宋体" w:cs="宋体"/>
                <w:b/>
                <w:bCs/>
                <w:color w:val="auto"/>
                <w:kern w:val="0"/>
                <w:szCs w:val="21"/>
                <w:highlight w:val="none"/>
              </w:rPr>
              <w:t>月</w:t>
            </w:r>
            <w:r>
              <w:rPr>
                <w:rFonts w:hint="eastAsia" w:ascii="宋体" w:hAnsi="宋体" w:cs="宋体"/>
                <w:b/>
                <w:bCs/>
                <w:color w:val="auto"/>
                <w:kern w:val="0"/>
                <w:szCs w:val="21"/>
                <w:highlight w:val="none"/>
                <w:u w:val="single"/>
                <w:lang w:val="en-US" w:eastAsia="zh-CN"/>
              </w:rPr>
              <w:t>26</w:t>
            </w:r>
            <w:r>
              <w:rPr>
                <w:rFonts w:hint="eastAsia" w:ascii="宋体" w:hAnsi="宋体" w:cs="宋体"/>
                <w:b/>
                <w:bCs/>
                <w:color w:val="auto"/>
                <w:kern w:val="0"/>
                <w:szCs w:val="21"/>
                <w:highlight w:val="none"/>
              </w:rPr>
              <w:t>日</w:t>
            </w:r>
            <w:r>
              <w:rPr>
                <w:rFonts w:hint="eastAsia" w:ascii="宋体" w:hAnsi="宋体" w:cs="宋体"/>
                <w:b/>
                <w:bCs/>
                <w:color w:val="auto"/>
                <w:kern w:val="0"/>
                <w:szCs w:val="21"/>
                <w:highlight w:val="none"/>
                <w:u w:val="single"/>
                <w:lang w:val="en-US" w:eastAsia="zh-CN"/>
              </w:rPr>
              <w:t>17</w:t>
            </w:r>
            <w:r>
              <w:rPr>
                <w:rFonts w:hint="eastAsia" w:ascii="宋体" w:hAnsi="宋体" w:cs="宋体"/>
                <w:b/>
                <w:bCs/>
                <w:color w:val="auto"/>
                <w:kern w:val="0"/>
                <w:szCs w:val="21"/>
                <w:highlight w:val="none"/>
              </w:rPr>
              <w:t>时</w:t>
            </w:r>
            <w:r>
              <w:rPr>
                <w:rFonts w:hint="eastAsia" w:ascii="宋体" w:hAnsi="宋体" w:cs="Times New Roman"/>
                <w:color w:val="auto"/>
                <w:szCs w:val="21"/>
                <w:highlight w:val="none"/>
              </w:rPr>
              <w:t>前将疑问内容以电子邮件形式发送至xingchukuangye@126.com。</w:t>
            </w:r>
          </w:p>
        </w:tc>
      </w:tr>
      <w:tr>
        <w:tblPrEx>
          <w:tblCellMar>
            <w:top w:w="0" w:type="dxa"/>
            <w:left w:w="108" w:type="dxa"/>
            <w:bottom w:w="0" w:type="dxa"/>
            <w:right w:w="108" w:type="dxa"/>
          </w:tblCellMar>
        </w:tblPrEx>
        <w:tc>
          <w:tcPr>
            <w:tcW w:w="87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
                <w:bCs/>
                <w:color w:val="auto"/>
                <w:kern w:val="0"/>
                <w:szCs w:val="21"/>
                <w:highlight w:val="none"/>
                <w:u w:val="single"/>
              </w:rPr>
              <w:t>202</w:t>
            </w:r>
            <w:r>
              <w:rPr>
                <w:rFonts w:hint="eastAsia" w:ascii="宋体" w:hAnsi="宋体" w:cs="宋体"/>
                <w:b/>
                <w:bCs/>
                <w:color w:val="auto"/>
                <w:kern w:val="0"/>
                <w:szCs w:val="21"/>
                <w:highlight w:val="none"/>
                <w:u w:val="single"/>
                <w:lang w:val="en-US" w:eastAsia="zh-CN"/>
              </w:rPr>
              <w:t>4</w:t>
            </w:r>
            <w:r>
              <w:rPr>
                <w:rFonts w:hint="eastAsia" w:ascii="宋体" w:hAnsi="宋体" w:cs="宋体"/>
                <w:b/>
                <w:bCs/>
                <w:color w:val="auto"/>
                <w:kern w:val="0"/>
                <w:szCs w:val="21"/>
                <w:highlight w:val="none"/>
                <w:u w:val="single"/>
              </w:rPr>
              <w:t xml:space="preserve"> </w:t>
            </w:r>
            <w:r>
              <w:rPr>
                <w:rFonts w:hint="eastAsia" w:ascii="宋体" w:hAnsi="宋体" w:cs="宋体"/>
                <w:b/>
                <w:bCs/>
                <w:color w:val="auto"/>
                <w:kern w:val="0"/>
                <w:szCs w:val="21"/>
                <w:highlight w:val="none"/>
              </w:rPr>
              <w:t>年</w:t>
            </w:r>
            <w:r>
              <w:rPr>
                <w:rFonts w:hint="eastAsia" w:ascii="宋体" w:hAnsi="宋体" w:cs="宋体"/>
                <w:b/>
                <w:bCs/>
                <w:color w:val="auto"/>
                <w:kern w:val="0"/>
                <w:szCs w:val="21"/>
                <w:highlight w:val="none"/>
                <w:lang w:val="en-US" w:eastAsia="zh-CN"/>
              </w:rPr>
              <w:t>9</w:t>
            </w:r>
            <w:r>
              <w:rPr>
                <w:rFonts w:hint="eastAsia" w:ascii="宋体" w:hAnsi="宋体" w:cs="宋体"/>
                <w:b/>
                <w:bCs/>
                <w:color w:val="auto"/>
                <w:kern w:val="0"/>
                <w:szCs w:val="21"/>
                <w:highlight w:val="none"/>
              </w:rPr>
              <w:t>月</w:t>
            </w:r>
            <w:r>
              <w:rPr>
                <w:rFonts w:hint="eastAsia" w:ascii="宋体" w:hAnsi="宋体" w:cs="宋体"/>
                <w:b/>
                <w:bCs/>
                <w:color w:val="auto"/>
                <w:kern w:val="0"/>
                <w:szCs w:val="21"/>
                <w:highlight w:val="none"/>
                <w:u w:val="single"/>
              </w:rPr>
              <w:t xml:space="preserve"> </w:t>
            </w:r>
            <w:r>
              <w:rPr>
                <w:rFonts w:hint="eastAsia" w:ascii="宋体" w:hAnsi="宋体" w:cs="宋体"/>
                <w:b/>
                <w:bCs/>
                <w:color w:val="auto"/>
                <w:kern w:val="0"/>
                <w:szCs w:val="21"/>
                <w:highlight w:val="none"/>
                <w:u w:val="single"/>
                <w:lang w:val="en-US" w:eastAsia="zh-CN"/>
              </w:rPr>
              <w:t>27</w:t>
            </w:r>
            <w:r>
              <w:rPr>
                <w:rFonts w:hint="eastAsia" w:ascii="宋体" w:hAnsi="宋体" w:cs="宋体"/>
                <w:b/>
                <w:bCs/>
                <w:color w:val="auto"/>
                <w:kern w:val="0"/>
                <w:szCs w:val="21"/>
                <w:highlight w:val="none"/>
              </w:rPr>
              <w:t>日</w:t>
            </w:r>
            <w:r>
              <w:rPr>
                <w:rFonts w:hint="eastAsia" w:ascii="宋体" w:hAnsi="宋体" w:cs="宋体"/>
                <w:b/>
                <w:bCs/>
                <w:color w:val="auto"/>
                <w:kern w:val="0"/>
                <w:szCs w:val="21"/>
                <w:highlight w:val="none"/>
                <w:u w:val="single"/>
                <w:lang w:val="en-US" w:eastAsia="zh-CN"/>
              </w:rPr>
              <w:t>17</w:t>
            </w:r>
            <w:r>
              <w:rPr>
                <w:rFonts w:hint="eastAsia" w:ascii="宋体" w:hAnsi="宋体" w:cs="宋体"/>
                <w:b/>
                <w:bCs/>
                <w:color w:val="auto"/>
                <w:kern w:val="0"/>
                <w:szCs w:val="21"/>
                <w:highlight w:val="none"/>
              </w:rPr>
              <w:t>时</w:t>
            </w:r>
            <w:r>
              <w:rPr>
                <w:rFonts w:hint="eastAsia" w:ascii="宋体" w:hAnsi="宋体" w:cs="宋体"/>
                <w:b/>
                <w:bCs/>
                <w:color w:val="auto"/>
                <w:kern w:val="0"/>
                <w:szCs w:val="21"/>
                <w:highlight w:val="none"/>
                <w:lang w:val="en-US" w:eastAsia="zh-CN"/>
              </w:rPr>
              <w:t>后</w:t>
            </w:r>
            <w:r>
              <w:rPr>
                <w:rFonts w:hint="eastAsia" w:ascii="宋体" w:hAnsi="宋体" w:cs="宋体"/>
                <w:color w:val="auto"/>
                <w:szCs w:val="21"/>
                <w:highlight w:val="none"/>
              </w:rPr>
              <w:t>，</w:t>
            </w:r>
            <w:r>
              <w:rPr>
                <w:rFonts w:hint="eastAsia" w:ascii="宋体" w:hAnsi="宋体" w:cs="宋体"/>
                <w:color w:val="auto"/>
                <w:kern w:val="0"/>
                <w:szCs w:val="21"/>
                <w:highlight w:val="none"/>
              </w:rPr>
              <w:t>在</w:t>
            </w:r>
            <w:r>
              <w:rPr>
                <w:rFonts w:hint="eastAsia" w:ascii="宋体" w:hAnsi="宋体" w:eastAsia="宋体" w:cs="宋体"/>
                <w:color w:val="auto"/>
                <w:kern w:val="2"/>
                <w:sz w:val="21"/>
                <w:szCs w:val="21"/>
                <w:highlight w:val="none"/>
                <w:lang w:val="en-US" w:eastAsia="zh-CN" w:bidi="ar"/>
              </w:rPr>
              <w:t>滁州市兴滁矿业投资集团有限公司（http://www.xckytz.com/）</w:t>
            </w:r>
            <w:r>
              <w:rPr>
                <w:rFonts w:hint="eastAsia" w:ascii="宋体" w:hAnsi="宋体" w:cs="宋体"/>
                <w:color w:val="auto"/>
                <w:kern w:val="0"/>
                <w:szCs w:val="21"/>
                <w:highlight w:val="none"/>
              </w:rPr>
              <w:t>网站予以公告。</w:t>
            </w:r>
          </w:p>
        </w:tc>
      </w:tr>
      <w:tr>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rPr>
                <w:rFonts w:hint="eastAsia" w:ascii="宋体" w:hAnsi="宋体" w:cs="宋体"/>
                <w:color w:val="auto"/>
                <w:highlight w:val="none"/>
              </w:rPr>
            </w:pPr>
            <w:r>
              <w:rPr>
                <w:rFonts w:hint="eastAsia" w:ascii="宋体" w:hAnsi="宋体" w:cs="宋体"/>
                <w:color w:val="auto"/>
                <w:highlight w:val="none"/>
              </w:rPr>
              <w:t>最高投标限价</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auto"/>
                <w:highlight w:val="none"/>
              </w:rPr>
            </w:pPr>
            <w:r>
              <w:rPr>
                <w:rFonts w:hint="eastAsia" w:ascii="宋体" w:hAnsi="宋体" w:cs="宋体"/>
                <w:b/>
                <w:bCs/>
                <w:color w:val="auto"/>
                <w:highlight w:val="none"/>
              </w:rPr>
              <w:t>投标总最高限价：</w:t>
            </w:r>
            <w:r>
              <w:rPr>
                <w:rFonts w:hint="eastAsia" w:ascii="宋体" w:hAnsi="宋体" w:cs="宋体"/>
                <w:b/>
                <w:bCs/>
                <w:color w:val="auto"/>
                <w:highlight w:val="none"/>
                <w:lang w:val="en-US" w:eastAsia="zh-CN"/>
              </w:rPr>
              <w:t>壹拾万</w:t>
            </w:r>
            <w:r>
              <w:rPr>
                <w:rFonts w:hint="eastAsia" w:ascii="宋体" w:hAnsi="宋体" w:cs="宋体"/>
                <w:b/>
                <w:bCs/>
                <w:color w:val="auto"/>
                <w:highlight w:val="none"/>
              </w:rPr>
              <w:t>元整（¥：</w:t>
            </w:r>
            <w:r>
              <w:rPr>
                <w:rFonts w:hint="eastAsia" w:ascii="宋体" w:hAnsi="宋体" w:cs="宋体"/>
                <w:b/>
                <w:bCs/>
                <w:color w:val="auto"/>
                <w:highlight w:val="none"/>
                <w:lang w:val="en-US" w:eastAsia="zh-CN"/>
              </w:rPr>
              <w:t>100</w:t>
            </w:r>
            <w:r>
              <w:rPr>
                <w:rFonts w:hint="eastAsia" w:ascii="宋体" w:hAnsi="宋体" w:cs="宋体"/>
                <w:b/>
                <w:bCs/>
                <w:color w:val="auto"/>
                <w:highlight w:val="none"/>
              </w:rPr>
              <w:t>000</w:t>
            </w:r>
            <w:r>
              <w:rPr>
                <w:rFonts w:hint="eastAsia" w:ascii="宋体" w:hAnsi="宋体" w:cs="宋体"/>
                <w:b/>
                <w:bCs/>
                <w:color w:val="auto"/>
                <w:highlight w:val="none"/>
                <w:lang w:val="en-US" w:eastAsia="zh-CN"/>
              </w:rPr>
              <w:t>.00</w:t>
            </w:r>
            <w:r>
              <w:rPr>
                <w:rFonts w:hint="eastAsia" w:ascii="宋体" w:hAnsi="宋体" w:cs="宋体"/>
                <w:b/>
                <w:bCs/>
                <w:color w:val="auto"/>
                <w:highlight w:val="none"/>
              </w:rPr>
              <w:t>元），投标报价不得高于最高限价，否则，其投标文件按无效标处理。</w:t>
            </w:r>
          </w:p>
        </w:tc>
      </w:tr>
      <w:tr>
        <w:tblPrEx>
          <w:tblCellMar>
            <w:top w:w="0" w:type="dxa"/>
            <w:left w:w="108" w:type="dxa"/>
            <w:bottom w:w="0" w:type="dxa"/>
            <w:right w:w="108" w:type="dxa"/>
          </w:tblCellMar>
        </w:tblPrEx>
        <w:trPr>
          <w:trHeight w:val="510" w:hRule="atLeas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autoSpaceDE/>
              <w:autoSpaceDN/>
              <w:bidi w:val="0"/>
              <w:adjustRightInd/>
              <w:snapToGrid w:val="0"/>
              <w:spacing w:before="0" w:beforeAutospacing="0" w:after="0" w:afterAutospacing="0" w:line="440" w:lineRule="exact"/>
              <w:ind w:left="0" w:right="0"/>
              <w:jc w:val="both"/>
              <w:textAlignment w:val="auto"/>
              <w:rPr>
                <w:rFonts w:hint="eastAsia"/>
                <w:color w:val="auto"/>
                <w:highlight w:val="none"/>
              </w:rPr>
            </w:pPr>
            <w:r>
              <w:rPr>
                <w:rFonts w:hint="eastAsia"/>
                <w:color w:val="auto"/>
                <w:sz w:val="21"/>
                <w:szCs w:val="21"/>
                <w:highlight w:val="none"/>
              </w:rPr>
              <w:t>不要求</w:t>
            </w:r>
          </w:p>
        </w:tc>
      </w:tr>
      <w:tr>
        <w:tblPrEx>
          <w:tblCellMar>
            <w:top w:w="0" w:type="dxa"/>
            <w:left w:w="108" w:type="dxa"/>
            <w:bottom w:w="0" w:type="dxa"/>
            <w:right w:w="108" w:type="dxa"/>
          </w:tblCellMar>
        </w:tblPrEx>
        <w:trPr>
          <w:trHeight w:val="510" w:hRule="atLeas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签字或盖章要求</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电子投标文件须按格式文件要求签字或盖章，招标文件格式中要求“签章”部位，指电子签章或盖章后扫描上传均可。否则经评委会一致认定后并经综合监管部门同意后，按照无效投标处理。</w:t>
            </w:r>
          </w:p>
        </w:tc>
      </w:tr>
      <w:tr>
        <w:tblPrEx>
          <w:tblCellMar>
            <w:top w:w="0" w:type="dxa"/>
            <w:left w:w="108" w:type="dxa"/>
            <w:bottom w:w="0" w:type="dxa"/>
            <w:right w:w="108" w:type="dxa"/>
          </w:tblCellMar>
        </w:tblPrEx>
        <w:trPr>
          <w:trHeight w:val="510" w:hRule="atLeas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投标文件份数</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cs="宋体"/>
                <w:b/>
                <w:bCs/>
                <w:color w:val="auto"/>
                <w:szCs w:val="21"/>
                <w:highlight w:val="none"/>
              </w:rPr>
              <w:t>电子版标书一份pdf格式发送至</w:t>
            </w:r>
            <w:r>
              <w:rPr>
                <w:rFonts w:hint="eastAsia" w:ascii="宋体" w:hAnsi="宋体" w:cs="宋体"/>
                <w:b/>
                <w:bCs/>
                <w:color w:val="auto"/>
                <w:szCs w:val="21"/>
                <w:highlight w:val="none"/>
                <w:lang w:val="en-US" w:eastAsia="zh-CN"/>
              </w:rPr>
              <w:t>指定</w:t>
            </w:r>
            <w:r>
              <w:rPr>
                <w:rFonts w:hint="eastAsia" w:ascii="宋体" w:hAnsi="宋体" w:cs="宋体"/>
                <w:b/>
                <w:bCs/>
                <w:color w:val="auto"/>
                <w:szCs w:val="21"/>
                <w:highlight w:val="none"/>
              </w:rPr>
              <w:t>邮箱。投标人中标后须递交与网上电子投标文件完全一致的纸质版投标文件，并按要求加盖公章；份数：正本 1 份，副本</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份；中标单位领取中标通知书时，一并递交。</w:t>
            </w:r>
          </w:p>
        </w:tc>
      </w:tr>
      <w:tr>
        <w:tblPrEx>
          <w:tblCellMar>
            <w:top w:w="0" w:type="dxa"/>
            <w:left w:w="108" w:type="dxa"/>
            <w:bottom w:w="0" w:type="dxa"/>
            <w:right w:w="108" w:type="dxa"/>
          </w:tblCellMar>
        </w:tblPrEx>
        <w:trPr>
          <w:trHeight w:val="569" w:hRule="atLeast"/>
        </w:trPr>
        <w:tc>
          <w:tcPr>
            <w:tcW w:w="870" w:type="dxa"/>
            <w:vMerge w:val="restar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投标截止时间</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firstLine="18" w:firstLineChars="9"/>
              <w:textAlignment w:val="auto"/>
              <w:rPr>
                <w:rFonts w:hint="eastAsia" w:ascii="宋体" w:hAnsi="宋体" w:cs="宋体"/>
                <w:color w:val="auto"/>
                <w:szCs w:val="21"/>
                <w:highlight w:val="none"/>
              </w:rPr>
            </w:pPr>
            <w:r>
              <w:rPr>
                <w:rFonts w:hint="eastAsia" w:ascii="宋体" w:hAnsi="宋体" w:cs="宋体"/>
                <w:color w:val="auto"/>
                <w:szCs w:val="21"/>
                <w:highlight w:val="none"/>
              </w:rPr>
              <w:t>在</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 xml:space="preserve">9 </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 xml:space="preserve"> 29</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 xml:space="preserve">09 </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分</w:t>
            </w:r>
            <w:r>
              <w:rPr>
                <w:rFonts w:hint="eastAsia" w:ascii="宋体" w:hAnsi="宋体" w:cs="宋体"/>
                <w:bCs/>
                <w:color w:val="auto"/>
                <w:spacing w:val="-4"/>
                <w:kern w:val="0"/>
                <w:szCs w:val="21"/>
                <w:highlight w:val="none"/>
              </w:rPr>
              <w:t>（北京时间）</w:t>
            </w:r>
          </w:p>
        </w:tc>
      </w:tr>
      <w:tr>
        <w:tblPrEx>
          <w:tblCellMar>
            <w:top w:w="0" w:type="dxa"/>
            <w:left w:w="108" w:type="dxa"/>
            <w:bottom w:w="0" w:type="dxa"/>
            <w:right w:w="108" w:type="dxa"/>
          </w:tblCellMar>
        </w:tblPrEx>
        <w:trPr>
          <w:trHeight w:val="465" w:hRule="atLeast"/>
        </w:trPr>
        <w:tc>
          <w:tcPr>
            <w:tcW w:w="870"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开标时间及地点</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开标时间：同投标截止时间</w:t>
            </w:r>
          </w:p>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szCs w:val="21"/>
                <w:highlight w:val="none"/>
              </w:rPr>
              <w:t>开标地点：</w:t>
            </w:r>
            <w:r>
              <w:rPr>
                <w:rFonts w:hint="eastAsia" w:ascii="宋体" w:hAnsi="宋体" w:eastAsia="宋体" w:cs="宋体"/>
                <w:color w:val="auto"/>
                <w:kern w:val="2"/>
                <w:sz w:val="21"/>
                <w:szCs w:val="21"/>
                <w:highlight w:val="none"/>
                <w:lang w:val="en-US" w:eastAsia="zh-CN" w:bidi="ar"/>
              </w:rPr>
              <w:t>安徽省滁州市南谯区南谯街道中都大道1598号城投大厦8楼会议室</w:t>
            </w:r>
          </w:p>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1、本项目的投标人无需到达开标现场，投标文件采用加密</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未加密导致投标文件信息泄露后果自负</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电子文件（压缩包）在投标截止时间前通过邮箱发送至</w:t>
            </w:r>
            <w:r>
              <w:rPr>
                <w:rFonts w:hint="eastAsia" w:ascii="宋体" w:hAnsi="宋体" w:cs="Times New Roman"/>
                <w:color w:val="auto"/>
                <w:szCs w:val="21"/>
                <w:highlight w:val="none"/>
              </w:rPr>
              <w:t>xingchukuangye@126.com</w:t>
            </w:r>
            <w:r>
              <w:rPr>
                <w:rFonts w:hint="eastAsia" w:ascii="宋体" w:hAnsi="宋体" w:cs="宋体"/>
                <w:b/>
                <w:bCs/>
                <w:color w:val="auto"/>
                <w:szCs w:val="21"/>
                <w:highlight w:val="none"/>
              </w:rPr>
              <w:t>，命名为“公司名称+项目名称+联系人+联系电话”，否则，</w:t>
            </w:r>
            <w:r>
              <w:rPr>
                <w:rFonts w:hint="eastAsia" w:ascii="宋体" w:hAnsi="宋体" w:cs="宋体"/>
                <w:b/>
                <w:bCs/>
                <w:color w:val="auto"/>
                <w:szCs w:val="21"/>
                <w:highlight w:val="none"/>
                <w:lang w:val="en-US" w:eastAsia="zh-CN"/>
              </w:rPr>
              <w:t>后果自负</w:t>
            </w:r>
            <w:r>
              <w:rPr>
                <w:rFonts w:hint="eastAsia" w:ascii="宋体" w:hAnsi="宋体" w:cs="宋体"/>
                <w:b/>
                <w:bCs/>
                <w:color w:val="auto"/>
                <w:szCs w:val="21"/>
                <w:highlight w:val="none"/>
              </w:rPr>
              <w:t>。未在规定时间内发送PDF格式投标文件的，投标文件将被拒绝，投标文件送达时间以邮箱显示的邮件送达时间为准，若投标单位重复发送电子投标文件的，将以投标截止时间前最后收到的投标文件为准,投标文件无法打开的，由投标人自行承担后果。</w:t>
            </w:r>
          </w:p>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、各投标人须在投标截止时间后10分钟内，将投标文件解压密码通过邮箱</w:t>
            </w:r>
            <w:r>
              <w:rPr>
                <w:rFonts w:hint="eastAsia" w:ascii="宋体" w:hAnsi="宋体" w:cs="宋体"/>
                <w:b/>
                <w:bCs/>
                <w:color w:val="auto"/>
                <w:szCs w:val="21"/>
                <w:highlight w:val="none"/>
                <w:lang w:val="en-US" w:eastAsia="zh-CN"/>
              </w:rPr>
              <w:t>发送</w:t>
            </w:r>
            <w:r>
              <w:rPr>
                <w:rFonts w:hint="eastAsia" w:ascii="宋体" w:hAnsi="宋体" w:cs="宋体"/>
                <w:b/>
                <w:bCs/>
                <w:color w:val="auto"/>
                <w:szCs w:val="21"/>
                <w:highlight w:val="none"/>
              </w:rPr>
              <w:t>。逾期发送或未发送或发送材料无法识别的，均视为放弃投标。</w:t>
            </w:r>
          </w:p>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cs="宋体"/>
                <w:b/>
                <w:bCs/>
                <w:color w:val="auto"/>
                <w:szCs w:val="21"/>
                <w:highlight w:val="none"/>
              </w:rPr>
              <w:t>注：发送解压密码的邮箱应与加密电子投标文件一致。</w:t>
            </w:r>
          </w:p>
        </w:tc>
      </w:tr>
      <w:tr>
        <w:tblPrEx>
          <w:tblCellMar>
            <w:top w:w="0" w:type="dxa"/>
            <w:left w:w="108" w:type="dxa"/>
            <w:bottom w:w="0" w:type="dxa"/>
            <w:right w:w="108" w:type="dxa"/>
          </w:tblCellMar>
        </w:tblPrEx>
        <w:tc>
          <w:tcPr>
            <w:tcW w:w="870"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开标顺序</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开标顺序：投标文件解密完成后，由评标委员会进行评审。</w:t>
            </w:r>
          </w:p>
        </w:tc>
      </w:tr>
      <w:tr>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是否退还投标文件</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wordWrap/>
              <w:overflowPunct/>
              <w:topLinePunct/>
              <w:autoSpaceDE/>
              <w:autoSpaceDN/>
              <w:bidi w:val="0"/>
              <w:adjustRightInd/>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fldChar w:fldCharType="begin"/>
            </w:r>
            <w:r>
              <w:rPr>
                <w:rFonts w:hint="eastAsia" w:hAnsi="宋体" w:cs="宋体"/>
                <w:color w:val="auto"/>
                <w:sz w:val="21"/>
                <w:szCs w:val="21"/>
                <w:highlight w:val="none"/>
              </w:rPr>
              <w:instrText xml:space="preserve"> eq \o\ac(□,√)</w:instrText>
            </w:r>
            <w:r>
              <w:rPr>
                <w:rFonts w:hint="eastAsia" w:hAnsi="宋体" w:cs="宋体"/>
                <w:color w:val="auto"/>
                <w:sz w:val="21"/>
                <w:szCs w:val="21"/>
                <w:highlight w:val="none"/>
              </w:rPr>
              <w:fldChar w:fldCharType="end"/>
            </w:r>
            <w:r>
              <w:rPr>
                <w:rFonts w:hint="eastAsia" w:hAnsi="宋体" w:cs="宋体"/>
                <w:color w:val="auto"/>
                <w:sz w:val="21"/>
                <w:highlight w:val="none"/>
              </w:rPr>
              <w:t>否；</w:t>
            </w:r>
            <w:r>
              <w:rPr>
                <w:rFonts w:hint="eastAsia" w:hAnsi="宋体" w:cs="宋体"/>
                <w:color w:val="auto"/>
                <w:szCs w:val="32"/>
                <w:highlight w:val="none"/>
              </w:rPr>
              <w:t>□</w:t>
            </w:r>
            <w:r>
              <w:rPr>
                <w:rFonts w:hint="eastAsia" w:hAnsi="宋体" w:cs="宋体"/>
                <w:color w:val="auto"/>
                <w:highlight w:val="none"/>
              </w:rPr>
              <w:t>是</w:t>
            </w:r>
          </w:p>
        </w:tc>
      </w:tr>
      <w:tr>
        <w:tblPrEx>
          <w:tblCellMar>
            <w:top w:w="0" w:type="dxa"/>
            <w:left w:w="108" w:type="dxa"/>
            <w:bottom w:w="0" w:type="dxa"/>
            <w:right w:w="108" w:type="dxa"/>
          </w:tblCellMar>
        </w:tblPrEx>
        <w:trPr>
          <w:trHeight w:val="488" w:hRule="atLeas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4</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评标委员会的组建</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评标委员会构成：</w:t>
            </w:r>
            <w:r>
              <w:rPr>
                <w:rFonts w:hint="eastAsia" w:ascii="宋体" w:hAnsi="宋体" w:cs="宋体"/>
                <w:color w:val="auto"/>
                <w:szCs w:val="21"/>
                <w:highlight w:val="none"/>
                <w:u w:val="single"/>
              </w:rPr>
              <w:t>由招标人</w:t>
            </w:r>
            <w:r>
              <w:rPr>
                <w:rFonts w:hint="eastAsia" w:ascii="宋体" w:hAnsi="宋体" w:cs="宋体"/>
                <w:color w:val="auto"/>
                <w:szCs w:val="21"/>
                <w:highlight w:val="none"/>
                <w:u w:val="single"/>
                <w:lang w:val="en-US" w:eastAsia="zh-CN"/>
              </w:rPr>
              <w:t>依法</w:t>
            </w:r>
            <w:r>
              <w:rPr>
                <w:rFonts w:hint="eastAsia" w:ascii="宋体" w:hAnsi="宋体" w:cs="宋体"/>
                <w:color w:val="auto"/>
                <w:szCs w:val="21"/>
                <w:highlight w:val="none"/>
                <w:u w:val="single"/>
              </w:rPr>
              <w:t>组建；</w:t>
            </w:r>
          </w:p>
        </w:tc>
      </w:tr>
      <w:tr>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5</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是否授权评标委员会推荐中标候选人</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是，推荐的中标候选人数</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名，并标明排序。</w:t>
            </w:r>
          </w:p>
        </w:tc>
      </w:tr>
      <w:tr>
        <w:tblPrEx>
          <w:tblCellMar>
            <w:top w:w="0" w:type="dxa"/>
            <w:left w:w="108" w:type="dxa"/>
            <w:bottom w:w="0" w:type="dxa"/>
            <w:right w:w="108" w:type="dxa"/>
          </w:tblCellMar>
        </w:tblPrEx>
        <w:trPr>
          <w:trHeight w:val="653" w:hRule="atLeast"/>
        </w:trPr>
        <w:tc>
          <w:tcPr>
            <w:tcW w:w="870"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6</w:t>
            </w:r>
          </w:p>
        </w:tc>
        <w:tc>
          <w:tcPr>
            <w:tcW w:w="1860"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中标公示媒介</w:t>
            </w:r>
          </w:p>
        </w:tc>
        <w:tc>
          <w:tcPr>
            <w:tcW w:w="6817"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auto"/>
                <w:sz w:val="32"/>
                <w:szCs w:val="32"/>
                <w:highlight w:val="none"/>
              </w:rPr>
            </w:pPr>
            <w:r>
              <w:rPr>
                <w:rFonts w:hint="eastAsia" w:ascii="宋体" w:hAnsi="宋体" w:cs="宋体"/>
                <w:color w:val="auto"/>
                <w:szCs w:val="21"/>
                <w:highlight w:val="none"/>
              </w:rPr>
              <w:t>在</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kern w:val="2"/>
                <w:sz w:val="21"/>
                <w:szCs w:val="21"/>
                <w:highlight w:val="none"/>
                <w:lang w:val="en-US" w:eastAsia="zh-CN" w:bidi="ar"/>
              </w:rPr>
              <w:t>滁州市兴滁矿业投资集团有限公司（http://www.xckytz.com/）</w:t>
            </w:r>
            <w:r>
              <w:rPr>
                <w:rFonts w:hint="eastAsia" w:ascii="宋体" w:hAnsi="宋体" w:cs="宋体"/>
                <w:color w:val="auto"/>
                <w:szCs w:val="21"/>
                <w:highlight w:val="none"/>
              </w:rPr>
              <w:t>网站公告</w:t>
            </w:r>
          </w:p>
        </w:tc>
      </w:tr>
      <w:tr>
        <w:tblPrEx>
          <w:tblCellMar>
            <w:top w:w="0" w:type="dxa"/>
            <w:left w:w="108" w:type="dxa"/>
            <w:bottom w:w="0" w:type="dxa"/>
            <w:right w:w="108" w:type="dxa"/>
          </w:tblCellMar>
        </w:tblPrEx>
        <w:trPr>
          <w:trHeight w:val="90" w:hRule="atLeas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18"/>
                <w:szCs w:val="18"/>
                <w:highlight w:val="none"/>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7</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近年财务状况的年份要求</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无</w:t>
            </w:r>
          </w:p>
        </w:tc>
      </w:tr>
      <w:tr>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28</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近年完成的类似项目的年份要求</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无</w:t>
            </w:r>
          </w:p>
        </w:tc>
      </w:tr>
      <w:tr>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29</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专家评委费</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eastAsia" w:ascii="宋体" w:hAnsi="宋体" w:cs="宋体"/>
                <w:color w:val="auto"/>
                <w:kern w:val="0"/>
                <w:szCs w:val="21"/>
                <w:highlight w:val="none"/>
              </w:rPr>
            </w:pPr>
            <w:r>
              <w:rPr>
                <w:rFonts w:hint="eastAsia" w:ascii="宋体" w:hAnsi="宋体" w:cs="宋体"/>
                <w:color w:val="auto"/>
                <w:szCs w:val="21"/>
                <w:highlight w:val="none"/>
              </w:rPr>
              <w:t>专家评审费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约1240元整，具体以实际为准</w:t>
            </w:r>
            <w:r>
              <w:rPr>
                <w:rFonts w:hint="eastAsia" w:ascii="宋体" w:hAnsi="宋体" w:cs="宋体"/>
                <w:color w:val="auto"/>
                <w:kern w:val="0"/>
                <w:szCs w:val="21"/>
                <w:highlight w:val="none"/>
              </w:rPr>
              <w:t>。</w:t>
            </w:r>
          </w:p>
          <w:p>
            <w:pPr>
              <w:keepNext w:val="0"/>
              <w:keepLines w:val="0"/>
              <w:suppressLineNumbers w:val="0"/>
              <w:spacing w:before="0" w:beforeAutospacing="0" w:after="0" w:afterAutospacing="0" w:line="500" w:lineRule="exact"/>
              <w:ind w:left="0" w:right="0"/>
              <w:rPr>
                <w:rFonts w:hint="eastAsia" w:ascii="宋体" w:hAnsi="宋体" w:cs="宋体"/>
                <w:color w:val="auto"/>
                <w:kern w:val="2"/>
                <w:sz w:val="21"/>
                <w:szCs w:val="21"/>
                <w:highlight w:val="none"/>
                <w:lang w:val="en-US" w:eastAsia="zh-CN" w:bidi="ar-SA"/>
              </w:rPr>
            </w:pPr>
            <w:r>
              <w:rPr>
                <w:rFonts w:hint="eastAsia" w:ascii="宋体" w:hAnsi="宋体" w:cs="宋体"/>
                <w:color w:val="auto"/>
                <w:kern w:val="0"/>
                <w:szCs w:val="21"/>
                <w:highlight w:val="none"/>
              </w:rPr>
              <w:t>支付主体</w:t>
            </w:r>
            <w:r>
              <w:rPr>
                <w:rFonts w:hint="eastAsia" w:ascii="宋体" w:hAnsi="宋体" w:cs="宋体"/>
                <w:color w:val="auto"/>
                <w:szCs w:val="21"/>
                <w:highlight w:val="none"/>
              </w:rPr>
              <w:t>：中标单位在领取中标通知书前一次性支付。</w:t>
            </w:r>
          </w:p>
        </w:tc>
      </w:tr>
      <w:tr>
        <w:tblPrEx>
          <w:tblCellMar>
            <w:top w:w="0" w:type="dxa"/>
            <w:left w:w="108" w:type="dxa"/>
            <w:bottom w:w="0" w:type="dxa"/>
            <w:right w:w="108" w:type="dxa"/>
          </w:tblCellMar>
        </w:tblPrEx>
        <w:trPr>
          <w:trHeight w:val="567" w:hRule="atLeast"/>
        </w:trPr>
        <w:tc>
          <w:tcPr>
            <w:tcW w:w="954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需要补充的其他内容</w:t>
            </w:r>
          </w:p>
        </w:tc>
      </w:tr>
      <w:tr>
        <w:tblPrEx>
          <w:tblCellMar>
            <w:top w:w="0" w:type="dxa"/>
            <w:left w:w="108" w:type="dxa"/>
            <w:bottom w:w="0" w:type="dxa"/>
            <w:right w:w="108" w:type="dxa"/>
          </w:tblCellMar>
        </w:tblPrEx>
        <w:tc>
          <w:tcPr>
            <w:tcW w:w="17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78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服务方</w:t>
            </w:r>
            <w:r>
              <w:rPr>
                <w:rFonts w:hint="eastAsia" w:ascii="宋体" w:hAnsi="宋体" w:cs="宋体"/>
                <w:color w:val="auto"/>
                <w:szCs w:val="21"/>
                <w:highlight w:val="none"/>
              </w:rPr>
              <w:t>提交项目尽职调查报告并通过</w:t>
            </w:r>
            <w:r>
              <w:rPr>
                <w:rFonts w:hint="eastAsia" w:ascii="宋体" w:hAnsi="宋体" w:cs="宋体"/>
                <w:color w:val="auto"/>
                <w:szCs w:val="21"/>
                <w:highlight w:val="none"/>
                <w:lang w:val="en-US" w:eastAsia="zh-CN"/>
              </w:rPr>
              <w:t>采购方</w:t>
            </w:r>
            <w:r>
              <w:rPr>
                <w:rFonts w:hint="eastAsia" w:ascii="宋体" w:hAnsi="宋体" w:cs="宋体"/>
                <w:color w:val="auto"/>
                <w:szCs w:val="21"/>
                <w:highlight w:val="none"/>
              </w:rPr>
              <w:t>验收后10个工作日内支付至合同总额的100%，</w:t>
            </w:r>
            <w:r>
              <w:rPr>
                <w:rFonts w:hint="eastAsia" w:ascii="宋体" w:hAnsi="宋体" w:cs="宋体"/>
                <w:color w:val="auto"/>
                <w:szCs w:val="21"/>
                <w:highlight w:val="none"/>
                <w:lang w:val="en-US" w:eastAsia="zh-CN"/>
              </w:rPr>
              <w:t>服务方</w:t>
            </w:r>
            <w:r>
              <w:rPr>
                <w:rFonts w:hint="eastAsia" w:ascii="宋体" w:hAnsi="宋体" w:cs="宋体"/>
                <w:color w:val="auto"/>
                <w:szCs w:val="21"/>
                <w:highlight w:val="none"/>
              </w:rPr>
              <w:t>应在</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方付款前向</w:t>
            </w:r>
            <w:r>
              <w:rPr>
                <w:rFonts w:hint="eastAsia" w:ascii="宋体" w:hAnsi="宋体" w:cs="宋体"/>
                <w:color w:val="auto"/>
                <w:szCs w:val="21"/>
                <w:highlight w:val="none"/>
                <w:lang w:val="en-US" w:eastAsia="zh-CN"/>
              </w:rPr>
              <w:t>采购方</w:t>
            </w:r>
            <w:r>
              <w:rPr>
                <w:rFonts w:hint="eastAsia" w:ascii="宋体" w:hAnsi="宋体" w:cs="宋体"/>
                <w:color w:val="auto"/>
                <w:szCs w:val="21"/>
                <w:highlight w:val="none"/>
              </w:rPr>
              <w:t>开具真实合法有效的增值税发票。</w:t>
            </w:r>
          </w:p>
        </w:tc>
      </w:tr>
      <w:tr>
        <w:tblPrEx>
          <w:tblCellMar>
            <w:top w:w="0" w:type="dxa"/>
            <w:left w:w="108" w:type="dxa"/>
            <w:bottom w:w="0" w:type="dxa"/>
            <w:right w:w="108" w:type="dxa"/>
          </w:tblCellMar>
        </w:tblPrEx>
        <w:tc>
          <w:tcPr>
            <w:tcW w:w="17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特别说明</w:t>
            </w:r>
          </w:p>
        </w:tc>
        <w:tc>
          <w:tcPr>
            <w:tcW w:w="78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因投资的“某公司”为拟挂牌新三板公司</w:t>
            </w:r>
            <w:r>
              <w:rPr>
                <w:rFonts w:hint="eastAsia" w:ascii="宋体" w:hAnsi="宋体" w:cs="宋体"/>
                <w:color w:val="auto"/>
                <w:szCs w:val="21"/>
                <w:highlight w:val="none"/>
                <w:lang w:eastAsia="zh-CN"/>
              </w:rPr>
              <w:t>，为确保尽调服务独立性，本项目</w:t>
            </w:r>
            <w:r>
              <w:rPr>
                <w:rFonts w:hint="eastAsia" w:ascii="宋体" w:hAnsi="宋体" w:cs="宋体"/>
                <w:color w:val="auto"/>
                <w:szCs w:val="21"/>
                <w:highlight w:val="none"/>
                <w:lang w:val="en-US" w:eastAsia="zh-CN"/>
              </w:rPr>
              <w:t>不接受某</w:t>
            </w:r>
            <w:r>
              <w:rPr>
                <w:rFonts w:hint="eastAsia" w:ascii="宋体" w:hAnsi="宋体" w:cs="宋体"/>
                <w:color w:val="auto"/>
                <w:szCs w:val="21"/>
                <w:highlight w:val="none"/>
                <w:lang w:eastAsia="zh-CN"/>
              </w:rPr>
              <w:t>公司</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lang w:eastAsia="zh-CN"/>
              </w:rPr>
              <w:t>辅导上市机构</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lang w:eastAsia="zh-CN"/>
              </w:rPr>
              <w:t>，投标单位可在投标前与本司联系，了解某公司名称，避免无效投标。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）构成本招标文件的各个组成文件应互为解释，互为说明；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）同一组成文件中就同一事项的规定或约定不一致的，以编排顺序在后者为准；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）如有不明确或不一致，构成合同文件组成内容的，以合同文件约定内容为准，且以专用合同条款约定的合同文件优先顺序解释；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）按本款前述规定仍不能形成结论的，由招标人负责解释。</w:t>
            </w:r>
          </w:p>
        </w:tc>
      </w:tr>
    </w:tbl>
    <w:p>
      <w:pPr>
        <w:rPr>
          <w:rFonts w:hint="eastAsia"/>
          <w:color w:val="auto"/>
          <w:highlight w:val="none"/>
        </w:rPr>
      </w:pPr>
    </w:p>
    <w:p>
      <w:pPr>
        <w:pStyle w:val="25"/>
        <w:rPr>
          <w:rFonts w:hint="eastAsia"/>
          <w:color w:val="auto"/>
          <w:highlight w:val="none"/>
        </w:rPr>
      </w:pPr>
    </w:p>
    <w:p>
      <w:pPr>
        <w:pStyle w:val="3"/>
        <w:spacing w:before="156" w:beforeLines="50" w:after="156" w:afterLines="50" w:line="440" w:lineRule="exact"/>
        <w:ind w:left="14" w:right="-94" w:rightChars="-45" w:hanging="14" w:hangingChars="5"/>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color w:val="auto"/>
          <w:sz w:val="28"/>
          <w:szCs w:val="28"/>
          <w:highlight w:val="none"/>
        </w:rPr>
        <w:t>一、总  则</w:t>
      </w:r>
      <w:bookmarkEnd w:id="7"/>
      <w:bookmarkEnd w:id="8"/>
    </w:p>
    <w:p>
      <w:pPr>
        <w:spacing w:line="440" w:lineRule="exact"/>
        <w:ind w:left="10" w:right="-94" w:rightChars="-45"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1.项目概况</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1.1本次招标项目名称：</w:t>
      </w:r>
      <w:r>
        <w:rPr>
          <w:rFonts w:hint="eastAsia" w:ascii="宋体" w:hAnsi="宋体" w:cs="宋体"/>
          <w:color w:val="auto"/>
          <w:szCs w:val="21"/>
          <w:highlight w:val="none"/>
          <w:lang w:eastAsia="zh-CN"/>
        </w:rPr>
        <w:t>投资某公司的尽职调查服务项目</w:t>
      </w:r>
      <w:r>
        <w:rPr>
          <w:rFonts w:hint="eastAsia" w:ascii="宋体" w:hAnsi="宋体" w:cs="宋体"/>
          <w:color w:val="auto"/>
          <w:szCs w:val="21"/>
          <w:highlight w:val="none"/>
        </w:rPr>
        <w:t>。</w:t>
      </w:r>
    </w:p>
    <w:p>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1.2招标单位：</w:t>
      </w:r>
      <w:r>
        <w:rPr>
          <w:rFonts w:hint="eastAsia" w:ascii="宋体" w:hAnsi="宋体" w:cs="宋体"/>
          <w:color w:val="auto"/>
          <w:szCs w:val="21"/>
          <w:highlight w:val="none"/>
          <w:lang w:eastAsia="zh-CN"/>
        </w:rPr>
        <w:t>滁州市兴滁科技发展有限公司</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1.3项目规模：</w:t>
      </w:r>
      <w:r>
        <w:rPr>
          <w:rFonts w:hint="eastAsia" w:ascii="宋体" w:hAnsi="宋体" w:cs="宋体"/>
          <w:color w:val="auto"/>
          <w:szCs w:val="21"/>
          <w:highlight w:val="none"/>
          <w:lang w:val="en-US" w:eastAsia="zh-CN"/>
        </w:rPr>
        <w:t>详见投标须知前附表</w:t>
      </w:r>
      <w:r>
        <w:rPr>
          <w:rFonts w:hint="eastAsia" w:ascii="宋体" w:hAnsi="宋体" w:cs="宋体"/>
          <w:color w:val="auto"/>
          <w:szCs w:val="21"/>
          <w:highlight w:val="none"/>
        </w:rPr>
        <w:t xml:space="preserve">。   </w:t>
      </w:r>
    </w:p>
    <w:p>
      <w:pPr>
        <w:spacing w:line="440" w:lineRule="exact"/>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2.招标范围及内容</w:t>
      </w:r>
      <w:r>
        <w:rPr>
          <w:rFonts w:hint="eastAsia" w:ascii="宋体" w:hAnsi="宋体" w:cs="宋体"/>
          <w:b/>
          <w:bCs/>
          <w:color w:val="auto"/>
          <w:szCs w:val="21"/>
          <w:highlight w:val="none"/>
          <w:lang w:eastAsia="zh-CN"/>
        </w:rPr>
        <w:t>：</w:t>
      </w:r>
      <w:r>
        <w:rPr>
          <w:rFonts w:hint="eastAsia" w:ascii="宋体" w:hAnsi="宋体" w:cs="宋体"/>
          <w:color w:val="auto"/>
          <w:szCs w:val="21"/>
          <w:highlight w:val="none"/>
          <w:lang w:val="en-US" w:eastAsia="zh-CN"/>
        </w:rPr>
        <w:t>详见采购需求</w:t>
      </w:r>
      <w:r>
        <w:rPr>
          <w:rFonts w:hint="eastAsia" w:ascii="宋体" w:hAnsi="宋体" w:cs="宋体"/>
          <w:color w:val="auto"/>
          <w:szCs w:val="21"/>
          <w:highlight w:val="none"/>
        </w:rPr>
        <w:t>。</w:t>
      </w:r>
    </w:p>
    <w:p>
      <w:pPr>
        <w:spacing w:line="440" w:lineRule="exact"/>
        <w:ind w:left="10" w:right="-94" w:rightChars="-45"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3.服务规范</w:t>
      </w:r>
      <w:r>
        <w:rPr>
          <w:rFonts w:hint="eastAsia" w:ascii="宋体" w:hAnsi="宋体" w:cs="宋体"/>
          <w:color w:val="auto"/>
          <w:szCs w:val="21"/>
          <w:highlight w:val="none"/>
        </w:rPr>
        <w:t xml:space="preserve"> </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3.1应符合国家、省、市现行规范的有关规定。</w:t>
      </w:r>
    </w:p>
    <w:p>
      <w:pPr>
        <w:spacing w:line="44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4.服务周期要求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详见投标人须知前附表。</w:t>
      </w:r>
    </w:p>
    <w:p>
      <w:pPr>
        <w:spacing w:line="440" w:lineRule="exact"/>
        <w:ind w:left="10" w:right="-94" w:rightChars="-45"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5. 质量要求</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5.1质量必须达到国家规定的</w:t>
      </w:r>
      <w:r>
        <w:rPr>
          <w:rFonts w:hint="eastAsia" w:ascii="宋体" w:hAnsi="宋体" w:cs="宋体"/>
          <w:color w:val="auto"/>
          <w:szCs w:val="21"/>
          <w:highlight w:val="none"/>
          <w:u w:val="single"/>
        </w:rPr>
        <w:t xml:space="preserve">  合格  </w:t>
      </w:r>
      <w:r>
        <w:rPr>
          <w:rFonts w:hint="eastAsia" w:ascii="宋体" w:hAnsi="宋体" w:cs="宋体"/>
          <w:color w:val="auto"/>
          <w:szCs w:val="21"/>
          <w:highlight w:val="none"/>
        </w:rPr>
        <w:t>标准。</w:t>
      </w:r>
    </w:p>
    <w:p>
      <w:pPr>
        <w:spacing w:line="440" w:lineRule="exact"/>
        <w:ind w:left="10" w:right="-94" w:rightChars="-45" w:firstLine="422" w:firstLineChars="200"/>
        <w:jc w:val="left"/>
        <w:rPr>
          <w:rFonts w:hint="eastAsia" w:ascii="宋体" w:hAnsi="宋体" w:cs="宋体"/>
          <w:color w:val="auto"/>
          <w:highlight w:val="none"/>
        </w:rPr>
      </w:pPr>
      <w:r>
        <w:rPr>
          <w:rFonts w:hint="eastAsia" w:ascii="宋体" w:hAnsi="宋体" w:cs="宋体"/>
          <w:b/>
          <w:bCs/>
          <w:color w:val="auto"/>
          <w:szCs w:val="21"/>
          <w:highlight w:val="none"/>
        </w:rPr>
        <w:t>6.投标人资质等级要求</w:t>
      </w:r>
      <w:r>
        <w:rPr>
          <w:rFonts w:hint="eastAsia" w:ascii="宋体" w:hAnsi="宋体" w:cs="宋体"/>
          <w:b/>
          <w:bCs/>
          <w:color w:val="auto"/>
          <w:szCs w:val="21"/>
          <w:highlight w:val="none"/>
          <w:lang w:eastAsia="zh-CN"/>
        </w:rPr>
        <w:t>：</w:t>
      </w:r>
      <w:r>
        <w:rPr>
          <w:rFonts w:hint="eastAsia" w:ascii="宋体" w:hAnsi="宋体" w:cs="宋体"/>
          <w:color w:val="auto"/>
          <w:highlight w:val="none"/>
          <w:lang w:val="en-US" w:eastAsia="zh-CN"/>
        </w:rPr>
        <w:t>详见投标人须知前附表</w:t>
      </w:r>
      <w:r>
        <w:rPr>
          <w:rFonts w:hint="eastAsia" w:ascii="宋体" w:hAnsi="宋体" w:cs="宋体"/>
          <w:color w:val="auto"/>
          <w:highlight w:val="none"/>
        </w:rPr>
        <w:t xml:space="preserve">。 </w:t>
      </w:r>
    </w:p>
    <w:p>
      <w:pPr>
        <w:spacing w:line="440" w:lineRule="exact"/>
        <w:ind w:left="10" w:right="-94" w:rightChars="-45"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7.资金来源</w:t>
      </w:r>
    </w:p>
    <w:p>
      <w:pPr>
        <w:spacing w:line="440" w:lineRule="exact"/>
        <w:ind w:left="10" w:right="-94" w:rightChars="-45"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7.1资金来源：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自筹</w:t>
      </w:r>
      <w:r>
        <w:rPr>
          <w:rFonts w:hint="eastAsia" w:ascii="宋体" w:hAnsi="宋体" w:cs="宋体"/>
          <w:color w:val="auto"/>
          <w:szCs w:val="21"/>
          <w:highlight w:val="none"/>
          <w:u w:val="single"/>
        </w:rPr>
        <w:t xml:space="preserve">资金 </w:t>
      </w:r>
      <w:r>
        <w:rPr>
          <w:rFonts w:hint="eastAsia" w:ascii="宋体" w:hAnsi="宋体" w:cs="宋体"/>
          <w:color w:val="auto"/>
          <w:szCs w:val="21"/>
          <w:highlight w:val="none"/>
        </w:rPr>
        <w:t>；资金已落实。</w:t>
      </w:r>
    </w:p>
    <w:p>
      <w:pPr>
        <w:spacing w:line="440" w:lineRule="exact"/>
        <w:ind w:left="10" w:right="-94" w:rightChars="-45"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8.标段划分</w:t>
      </w:r>
    </w:p>
    <w:p>
      <w:pPr>
        <w:spacing w:line="440" w:lineRule="exact"/>
        <w:ind w:left="10" w:right="-94" w:rightChars="-45"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8.1本项目划分：</w:t>
      </w:r>
      <w:r>
        <w:rPr>
          <w:rFonts w:hint="eastAsia" w:ascii="宋体" w:hAnsi="宋体" w:cs="宋体"/>
          <w:color w:val="auto"/>
          <w:szCs w:val="21"/>
          <w:highlight w:val="none"/>
          <w:u w:val="single"/>
        </w:rPr>
        <w:t>一个标段 。</w:t>
      </w:r>
    </w:p>
    <w:p>
      <w:pPr>
        <w:spacing w:line="440" w:lineRule="exact"/>
        <w:ind w:left="10" w:right="-94" w:rightChars="-45"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9.招标方式</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9.1本项目招标方式：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公开</w:t>
      </w:r>
      <w:r>
        <w:rPr>
          <w:rFonts w:hint="eastAsia" w:ascii="宋体" w:hAnsi="宋体" w:cs="宋体"/>
          <w:color w:val="auto"/>
          <w:szCs w:val="21"/>
          <w:highlight w:val="none"/>
          <w:u w:val="single"/>
        </w:rPr>
        <w:t xml:space="preserve">招标  </w:t>
      </w:r>
      <w:r>
        <w:rPr>
          <w:rFonts w:hint="eastAsia" w:ascii="宋体" w:hAnsi="宋体" w:cs="宋体"/>
          <w:color w:val="auto"/>
          <w:szCs w:val="21"/>
          <w:highlight w:val="none"/>
        </w:rPr>
        <w:t>。</w:t>
      </w:r>
    </w:p>
    <w:p>
      <w:pPr>
        <w:spacing w:line="440" w:lineRule="exact"/>
        <w:ind w:left="10" w:right="-94" w:rightChars="-45"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10.计价方式</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10.1本项目合同计价方式：</w:t>
      </w:r>
      <w:r>
        <w:rPr>
          <w:rFonts w:hint="eastAsia" w:ascii="宋体" w:hAnsi="宋体" w:cs="宋体"/>
          <w:color w:val="auto"/>
          <w:szCs w:val="21"/>
          <w:highlight w:val="none"/>
          <w:u w:val="single"/>
        </w:rPr>
        <w:t xml:space="preserve"> 固定</w:t>
      </w:r>
      <w:r>
        <w:rPr>
          <w:rFonts w:hint="eastAsia" w:ascii="宋体" w:hAnsi="宋体" w:cs="宋体"/>
          <w:color w:val="auto"/>
          <w:szCs w:val="21"/>
          <w:highlight w:val="none"/>
          <w:u w:val="single"/>
          <w:lang w:val="en-US" w:eastAsia="zh-CN"/>
        </w:rPr>
        <w:t>单</w:t>
      </w:r>
      <w:r>
        <w:rPr>
          <w:rFonts w:hint="eastAsia" w:ascii="宋体" w:hAnsi="宋体" w:cs="宋体"/>
          <w:color w:val="auto"/>
          <w:szCs w:val="21"/>
          <w:highlight w:val="none"/>
          <w:u w:val="single"/>
        </w:rPr>
        <w:t xml:space="preserve">价 </w:t>
      </w:r>
      <w:r>
        <w:rPr>
          <w:rFonts w:hint="eastAsia" w:ascii="宋体" w:hAnsi="宋体" w:cs="宋体"/>
          <w:color w:val="auto"/>
          <w:szCs w:val="21"/>
          <w:highlight w:val="none"/>
        </w:rPr>
        <w:t>。</w:t>
      </w:r>
    </w:p>
    <w:p>
      <w:pPr>
        <w:spacing w:line="440" w:lineRule="exact"/>
        <w:ind w:left="10" w:right="-94" w:rightChars="-45"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11.评标办法</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11.1本项目评标办法：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综合评分法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pStyle w:val="3"/>
        <w:spacing w:before="156" w:beforeLines="50" w:after="156" w:afterLines="50" w:line="440" w:lineRule="exact"/>
        <w:ind w:left="14" w:right="-94" w:rightChars="-45" w:hanging="14" w:hangingChars="5"/>
        <w:jc w:val="center"/>
        <w:rPr>
          <w:rFonts w:hint="eastAsia" w:ascii="宋体" w:hAnsi="宋体" w:cs="宋体"/>
          <w:color w:val="auto"/>
          <w:sz w:val="28"/>
          <w:szCs w:val="28"/>
          <w:highlight w:val="none"/>
        </w:rPr>
      </w:pPr>
      <w:bookmarkStart w:id="25" w:name="_Toc6221"/>
      <w:bookmarkStart w:id="26" w:name="_Toc32121"/>
      <w:r>
        <w:rPr>
          <w:rFonts w:hint="eastAsia" w:ascii="宋体" w:hAnsi="宋体" w:cs="宋体"/>
          <w:color w:val="auto"/>
          <w:sz w:val="28"/>
          <w:szCs w:val="28"/>
          <w:highlight w:val="none"/>
        </w:rPr>
        <w:t>二、招标文件</w:t>
      </w:r>
      <w:bookmarkEnd w:id="25"/>
      <w:bookmarkEnd w:id="26"/>
    </w:p>
    <w:p>
      <w:pPr>
        <w:spacing w:line="440" w:lineRule="exact"/>
        <w:ind w:left="10" w:right="-94" w:rightChars="-45"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12.招标文件的编制依据</w:t>
      </w:r>
    </w:p>
    <w:p>
      <w:pPr>
        <w:spacing w:line="440" w:lineRule="exact"/>
        <w:ind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12.1根据《中华人民共和国招标投标法》、《工程建设项目施工招标投标办法》（七部委联合部令第30号）等相关法律法规和规章及部、省、市级规范性文件的规定，编制本项目招标文件。</w:t>
      </w:r>
    </w:p>
    <w:p>
      <w:pPr>
        <w:spacing w:line="440" w:lineRule="exact"/>
        <w:ind w:left="10" w:right="-94" w:rightChars="-45"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13.招标文件的组成</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13.1招标文件包括内容：</w:t>
      </w:r>
    </w:p>
    <w:p>
      <w:pPr>
        <w:numPr>
          <w:ilvl w:val="0"/>
          <w:numId w:val="2"/>
        </w:numPr>
        <w:spacing w:line="440" w:lineRule="exact"/>
        <w:ind w:left="208" w:leftChars="99"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 投标须知</w:t>
      </w:r>
    </w:p>
    <w:p>
      <w:pPr>
        <w:spacing w:line="440" w:lineRule="exact"/>
        <w:ind w:left="208" w:leftChars="99"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第二章  评标办法</w:t>
      </w:r>
    </w:p>
    <w:p>
      <w:pPr>
        <w:spacing w:line="440" w:lineRule="exact"/>
        <w:ind w:left="208" w:leftChars="99"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第三章  合同条款</w:t>
      </w:r>
    </w:p>
    <w:p>
      <w:pPr>
        <w:spacing w:line="440" w:lineRule="exact"/>
        <w:ind w:left="208" w:leftChars="99"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第四章  采购需求</w:t>
      </w:r>
    </w:p>
    <w:p>
      <w:pPr>
        <w:spacing w:line="440" w:lineRule="exact"/>
        <w:ind w:left="208" w:leftChars="99"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第五章  投标文件格式</w:t>
      </w:r>
    </w:p>
    <w:p>
      <w:pPr>
        <w:spacing w:line="440" w:lineRule="exact"/>
        <w:ind w:left="208" w:leftChars="99"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第六章  招标单位、招标代理机构对本招标文件的确认</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13.2除13.1内容外，招标答疑亦为招标文件的组成部分，对招标人和投标人起约束作用。</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13.3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spacing w:line="440" w:lineRule="exact"/>
        <w:ind w:left="10" w:right="-94" w:rightChars="-45"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14.招标文件的澄清、修改、补充、解释</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14.1招标文件发出后，招标人可对招标文件进行必要的澄清、修改和补充，具有约束作用。</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14.2本招标文件由招标人（或其委托的代理机构）负责解释。</w:t>
      </w:r>
    </w:p>
    <w:p>
      <w:pPr>
        <w:spacing w:line="440" w:lineRule="exact"/>
        <w:ind w:left="10" w:right="-94" w:rightChars="-45"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15.踏勘现场及投标预备会</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15.1踏勘现场</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15.1.1投标人自行对项目现场及周围环境进行踏勘，以便投标人获取有关编制投标文件和签署合同所涉及现场的资料。投标人承担踏勘现场所发生的自身费用。</w:t>
      </w:r>
    </w:p>
    <w:p>
      <w:pPr>
        <w:spacing w:line="440" w:lineRule="exact"/>
        <w:ind w:left="10" w:right="-94" w:rightChars="-45"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15.2投标预备会</w:t>
      </w:r>
    </w:p>
    <w:p>
      <w:pPr>
        <w:spacing w:line="440" w:lineRule="exact"/>
        <w:ind w:left="10" w:right="-94" w:rightChars="-45"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15.2.1不再集中召开招标答疑会，投标人自行组织勘察现场，对现场不清楚或有异议可咨询招标人。</w:t>
      </w:r>
    </w:p>
    <w:p>
      <w:pPr>
        <w:pStyle w:val="3"/>
        <w:spacing w:before="156" w:beforeLines="50" w:after="156" w:afterLines="50" w:line="440" w:lineRule="exact"/>
        <w:ind w:left="14" w:right="-94" w:rightChars="-45" w:hanging="14" w:hangingChars="5"/>
        <w:jc w:val="center"/>
        <w:rPr>
          <w:rFonts w:hint="eastAsia" w:ascii="宋体" w:hAnsi="宋体" w:cs="宋体"/>
          <w:color w:val="auto"/>
          <w:sz w:val="28"/>
          <w:szCs w:val="28"/>
          <w:highlight w:val="none"/>
        </w:rPr>
      </w:pPr>
      <w:bookmarkStart w:id="27" w:name="_Toc11620"/>
      <w:bookmarkStart w:id="28" w:name="_Toc14222"/>
      <w:r>
        <w:rPr>
          <w:rFonts w:hint="eastAsia" w:ascii="宋体" w:hAnsi="宋体" w:cs="宋体"/>
          <w:color w:val="auto"/>
          <w:sz w:val="28"/>
          <w:szCs w:val="28"/>
          <w:highlight w:val="none"/>
        </w:rPr>
        <w:t>三、投标文件的编制</w:t>
      </w:r>
      <w:bookmarkEnd w:id="27"/>
      <w:bookmarkEnd w:id="28"/>
    </w:p>
    <w:p>
      <w:pPr>
        <w:spacing w:line="440" w:lineRule="exact"/>
        <w:ind w:left="10" w:right="-94" w:rightChars="-45"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16.投标文件的组成</w:t>
      </w:r>
    </w:p>
    <w:p>
      <w:pPr>
        <w:spacing w:line="440" w:lineRule="exact"/>
        <w:ind w:left="10" w:right="-94" w:rightChars="-45"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16.1投标文件由资信证明文件和商务标组成。具体内容详见第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章投标文件格式内容。</w:t>
      </w:r>
    </w:p>
    <w:p>
      <w:pPr>
        <w:spacing w:line="440" w:lineRule="exact"/>
        <w:ind w:left="10" w:right="-94" w:rightChars="-45"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w:t>
      </w:r>
      <w:r>
        <w:rPr>
          <w:rFonts w:hint="eastAsia" w:ascii="宋体" w:hAnsi="宋体" w:cs="宋体"/>
          <w:b/>
          <w:color w:val="auto"/>
          <w:szCs w:val="21"/>
          <w:highlight w:val="none"/>
        </w:rPr>
        <w:t>投标报价</w:t>
      </w:r>
    </w:p>
    <w:p>
      <w:pPr>
        <w:spacing w:line="440" w:lineRule="exact"/>
        <w:ind w:left="10" w:right="-94" w:rightChars="-45"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17.1本次报价只允许有一个方案，一个报价，多方案、多报价的将不被接受</w:t>
      </w:r>
      <w:r>
        <w:rPr>
          <w:rFonts w:hint="eastAsia" w:ascii="宋体" w:hAnsi="宋体" w:cs="宋体"/>
          <w:color w:val="auto"/>
          <w:szCs w:val="21"/>
          <w:highlight w:val="none"/>
          <w:lang w:eastAsia="zh-CN"/>
        </w:rPr>
        <w:t>；</w:t>
      </w:r>
    </w:p>
    <w:p>
      <w:pPr>
        <w:spacing w:line="440" w:lineRule="exact"/>
        <w:ind w:left="10" w:right="-94" w:rightChars="-45"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17.2本次投标报价报价人必须填报综合单价和总价。如总报价计算错误，将以综合单价为准，但单价金额小数点有明显错误的除外，修正总报价，作为评标依据。</w:t>
      </w:r>
      <w:r>
        <w:rPr>
          <w:rFonts w:hint="eastAsia" w:ascii="宋体" w:hAnsi="宋体" w:cs="宋体"/>
          <w:b/>
          <w:bCs/>
          <w:color w:val="auto"/>
          <w:szCs w:val="21"/>
          <w:highlight w:val="none"/>
          <w:lang w:val="en-US" w:eastAsia="zh-CN"/>
        </w:rPr>
        <w:t>综合单价包括但不限于：</w:t>
      </w:r>
      <w:r>
        <w:rPr>
          <w:rFonts w:hint="eastAsia" w:ascii="宋体" w:hAnsi="宋体" w:cs="宋体"/>
          <w:b/>
          <w:color w:val="auto"/>
          <w:szCs w:val="21"/>
          <w:highlight w:val="none"/>
        </w:rPr>
        <w:t>完成本次招标范围内的</w:t>
      </w:r>
      <w:r>
        <w:rPr>
          <w:rFonts w:hint="eastAsia" w:ascii="宋体" w:hAnsi="宋体" w:cs="宋体"/>
          <w:b/>
          <w:color w:val="auto"/>
          <w:szCs w:val="21"/>
          <w:highlight w:val="none"/>
          <w:lang w:val="en-US" w:eastAsia="zh-CN"/>
        </w:rPr>
        <w:t>尽职调查报告编制</w:t>
      </w:r>
      <w:r>
        <w:rPr>
          <w:rFonts w:hint="eastAsia" w:ascii="宋体" w:hAnsi="宋体" w:cs="宋体"/>
          <w:b/>
          <w:color w:val="auto"/>
          <w:szCs w:val="21"/>
          <w:highlight w:val="none"/>
        </w:rPr>
        <w:t>等（所需的全部人员费用（如人员工资、保险、加班、差旅等一切费用）</w:t>
      </w:r>
      <w:r>
        <w:rPr>
          <w:rFonts w:hint="eastAsia" w:ascii="宋体" w:hAnsi="宋体" w:cs="宋体"/>
          <w:b/>
          <w:color w:val="auto"/>
          <w:szCs w:val="21"/>
          <w:highlight w:val="none"/>
        </w:rPr>
        <w:t>、材料费用、</w:t>
      </w:r>
      <w:r>
        <w:rPr>
          <w:rFonts w:hint="eastAsia" w:ascii="宋体" w:hAnsi="宋体" w:cs="宋体"/>
          <w:b/>
          <w:color w:val="auto"/>
          <w:szCs w:val="21"/>
          <w:highlight w:val="none"/>
        </w:rPr>
        <w:t>报告编制费、管理费、国家对征收的各种税费及完成本项目服务所需的所有的费用，招标人不在另行支付</w:t>
      </w:r>
      <w:r>
        <w:rPr>
          <w:rFonts w:hint="eastAsia" w:ascii="宋体" w:hAnsi="宋体" w:cs="宋体"/>
          <w:b/>
          <w:color w:val="auto"/>
          <w:szCs w:val="21"/>
          <w:highlight w:val="none"/>
          <w:lang w:val="en-US" w:eastAsia="zh-CN"/>
        </w:rPr>
        <w:t>任何费用</w:t>
      </w:r>
      <w:r>
        <w:rPr>
          <w:rFonts w:hint="eastAsia" w:ascii="宋体" w:hAnsi="宋体" w:cs="宋体"/>
          <w:b/>
          <w:color w:val="auto"/>
          <w:szCs w:val="21"/>
          <w:highlight w:val="none"/>
        </w:rPr>
        <w:t>。</w:t>
      </w:r>
    </w:p>
    <w:p>
      <w:pPr>
        <w:widowControl/>
        <w:spacing w:line="440" w:lineRule="exact"/>
        <w:ind w:firstLine="420" w:firstLineChars="200"/>
        <w:jc w:val="left"/>
        <w:rPr>
          <w:rFonts w:hint="eastAsia" w:ascii="宋体" w:hAnsi="宋体" w:cs="宋体"/>
          <w:b/>
          <w:bCs/>
          <w:color w:val="auto"/>
          <w:kern w:val="0"/>
          <w:szCs w:val="21"/>
          <w:highlight w:val="none"/>
        </w:rPr>
      </w:pPr>
      <w:r>
        <w:rPr>
          <w:rFonts w:hint="eastAsia" w:ascii="宋体" w:hAnsi="宋体" w:cs="宋体"/>
          <w:color w:val="auto"/>
          <w:szCs w:val="21"/>
          <w:highlight w:val="none"/>
        </w:rPr>
        <w:t>17.</w:t>
      </w:r>
      <w:r>
        <w:rPr>
          <w:rFonts w:hint="eastAsia" w:ascii="宋体" w:hAnsi="宋体" w:cs="宋体"/>
          <w:color w:val="auto"/>
          <w:szCs w:val="21"/>
          <w:highlight w:val="none"/>
          <w:lang w:val="en-US" w:eastAsia="zh-CN"/>
        </w:rPr>
        <w:t>3</w:t>
      </w:r>
      <w:r>
        <w:rPr>
          <w:rFonts w:hint="eastAsia" w:ascii="宋体" w:hAnsi="宋体" w:cs="宋体"/>
          <w:b/>
          <w:bCs/>
          <w:color w:val="auto"/>
          <w:kern w:val="0"/>
          <w:szCs w:val="21"/>
          <w:highlight w:val="none"/>
        </w:rPr>
        <w:t>本项目设置最高限价，</w:t>
      </w:r>
      <w:r>
        <w:rPr>
          <w:rFonts w:hint="eastAsia" w:ascii="宋体" w:hAnsi="宋体" w:cs="宋体"/>
          <w:color w:val="auto"/>
          <w:szCs w:val="21"/>
          <w:highlight w:val="none"/>
        </w:rPr>
        <w:t>见投标人须知前附表。</w:t>
      </w:r>
    </w:p>
    <w:p>
      <w:pPr>
        <w:spacing w:line="440" w:lineRule="exact"/>
        <w:ind w:left="10" w:right="-94" w:rightChars="-45"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17.</w:t>
      </w:r>
      <w:r>
        <w:rPr>
          <w:rFonts w:hint="eastAsia" w:ascii="宋体" w:hAnsi="宋体" w:cs="宋体"/>
          <w:color w:val="auto"/>
          <w:spacing w:val="-6"/>
          <w:szCs w:val="21"/>
          <w:highlight w:val="none"/>
          <w:lang w:val="en-US" w:eastAsia="zh-CN"/>
        </w:rPr>
        <w:t>4</w:t>
      </w:r>
      <w:r>
        <w:rPr>
          <w:rFonts w:hint="eastAsia" w:ascii="宋体" w:hAnsi="宋体" w:cs="宋体"/>
          <w:color w:val="auto"/>
          <w:spacing w:val="-6"/>
          <w:szCs w:val="21"/>
          <w:highlight w:val="none"/>
        </w:rPr>
        <w:t xml:space="preserve"> 投标报价书格式中所有要求签字、盖章的地方，必须由规定的单位和人员签字、盖章。</w:t>
      </w:r>
    </w:p>
    <w:p>
      <w:pPr>
        <w:pStyle w:val="3"/>
        <w:spacing w:before="156" w:beforeLines="50" w:after="156" w:afterLines="50" w:line="440" w:lineRule="exact"/>
        <w:ind w:left="14" w:right="-94" w:rightChars="-45" w:hanging="14" w:hangingChars="5"/>
        <w:jc w:val="center"/>
        <w:rPr>
          <w:rFonts w:hint="eastAsia" w:ascii="宋体" w:hAnsi="宋体" w:cs="宋体"/>
          <w:color w:val="auto"/>
          <w:sz w:val="28"/>
          <w:szCs w:val="28"/>
          <w:highlight w:val="none"/>
        </w:rPr>
      </w:pPr>
      <w:bookmarkStart w:id="29" w:name="_Toc20096"/>
      <w:bookmarkStart w:id="30" w:name="_Toc30528"/>
      <w:r>
        <w:rPr>
          <w:rFonts w:hint="eastAsia" w:ascii="宋体" w:hAnsi="宋体" w:cs="宋体"/>
          <w:color w:val="auto"/>
          <w:sz w:val="28"/>
          <w:szCs w:val="28"/>
          <w:highlight w:val="none"/>
        </w:rPr>
        <w:t>四、投标文件的密封和递交</w:t>
      </w:r>
      <w:bookmarkEnd w:id="29"/>
      <w:bookmarkEnd w:id="30"/>
    </w:p>
    <w:p>
      <w:pPr>
        <w:spacing w:line="440" w:lineRule="exact"/>
        <w:ind w:left="10" w:right="-94" w:rightChars="-45"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18.投标文件的份数和编制</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18.1投标文件应按第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章“投标文件格式”进行编写，如有必要，可以增加附页，作为投标文件的组成部分。</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.2 投标文件应当对招标文件有关</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周期、投标有效期、质量要求、技术标准和要求、招标范围等实质性内容作出响应。</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.3本次投标不需要提供纸质投标文件，投标人应按照电子招标投标的要求。</w:t>
      </w:r>
    </w:p>
    <w:p>
      <w:pPr>
        <w:spacing w:line="440" w:lineRule="exact"/>
        <w:ind w:left="10" w:right="-94" w:rightChars="-45" w:firstLine="420" w:firstLineChars="200"/>
        <w:jc w:val="left"/>
        <w:rPr>
          <w:rFonts w:hint="eastAsia" w:ascii="宋体" w:hAnsi="宋体" w:cs="宋体"/>
          <w:color w:val="auto"/>
          <w:spacing w:val="-4"/>
          <w:szCs w:val="21"/>
          <w:highlight w:val="none"/>
        </w:rPr>
      </w:pP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4 投标人中标后须递交与网上电子投标文件完全一致的纸质版投标文件，在领取中标通知书时，一并递交给招标代理机构。</w:t>
      </w:r>
    </w:p>
    <w:p>
      <w:pPr>
        <w:spacing w:line="440" w:lineRule="exact"/>
        <w:ind w:left="10" w:right="-94" w:rightChars="-45" w:firstLine="422" w:firstLineChars="200"/>
        <w:jc w:val="left"/>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19.投标文件的装订、密封和标记</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本项目不采用</w:t>
      </w:r>
      <w:r>
        <w:rPr>
          <w:rFonts w:hint="eastAsia" w:ascii="宋体" w:hAnsi="宋体" w:cs="宋体"/>
          <w:b/>
          <w:bCs/>
          <w:color w:val="auto"/>
          <w:szCs w:val="21"/>
          <w:highlight w:val="none"/>
          <w:lang w:eastAsia="zh-CN"/>
        </w:rPr>
        <w:t>）</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19.1投标文件的装订要求</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19.1.1投标文件应当密封装订，按招标文件规定的顺序装订在一起。</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19.2投标文件的密封</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19.2.1投标人应当将投标文件的正本、副本密封在一个投标文件袋内。</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19.3 投标文件密封袋的标记</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19.3.1在投标文件密封袋上应写明投标人名称和地址、邮政编码。注明下列识别标志：招标项目名称。</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19.3.2所有投标文件的密封袋应加盖投标人印章；否则，该投标文件将被拒绝。</w:t>
      </w:r>
    </w:p>
    <w:p>
      <w:pPr>
        <w:spacing w:line="440" w:lineRule="exact"/>
        <w:ind w:left="10" w:right="-94" w:rightChars="-45"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20.投标文件的提交</w:t>
      </w:r>
    </w:p>
    <w:p>
      <w:pPr>
        <w:spacing w:line="440" w:lineRule="exact"/>
        <w:ind w:left="10" w:right="-94" w:rightChars="-45"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20.1投标人应在投标截止时间前将投标文件上传至指定邮箱。</w:t>
      </w:r>
    </w:p>
    <w:p>
      <w:pPr>
        <w:spacing w:line="440" w:lineRule="exact"/>
        <w:ind w:left="10" w:right="-94" w:rightChars="-45"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20.2 投标人递交投标文件的地点：见投标人须知前附表。</w:t>
      </w:r>
    </w:p>
    <w:p>
      <w:pPr>
        <w:spacing w:line="440" w:lineRule="exact"/>
        <w:ind w:left="10" w:right="-94" w:rightChars="-45"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20.3 除投标人须知前附表另有规定外，投标人所递交的投标文件不予退还。</w:t>
      </w:r>
    </w:p>
    <w:p>
      <w:pPr>
        <w:spacing w:line="440" w:lineRule="exact"/>
        <w:ind w:left="10" w:right="-94" w:rightChars="-45"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20.4 投标人应当在投标截止时间前完成投标文件的网上递交</w:t>
      </w:r>
      <w:r>
        <w:rPr>
          <w:rFonts w:hint="eastAsia" w:ascii="宋体" w:hAnsi="宋体" w:cs="宋体"/>
          <w:color w:val="auto"/>
          <w:szCs w:val="21"/>
          <w:highlight w:val="none"/>
          <w:lang w:eastAsia="zh-CN"/>
        </w:rPr>
        <w:t>。</w:t>
      </w:r>
    </w:p>
    <w:p>
      <w:pPr>
        <w:pStyle w:val="3"/>
        <w:spacing w:before="156" w:beforeLines="50" w:after="156" w:afterLines="50" w:line="440" w:lineRule="exact"/>
        <w:ind w:left="14" w:right="-94" w:rightChars="-45" w:hanging="14" w:hangingChars="5"/>
        <w:jc w:val="center"/>
        <w:rPr>
          <w:rFonts w:hint="eastAsia" w:ascii="宋体" w:hAnsi="宋体" w:cs="宋体"/>
          <w:color w:val="auto"/>
          <w:sz w:val="28"/>
          <w:szCs w:val="28"/>
          <w:highlight w:val="none"/>
        </w:rPr>
      </w:pPr>
      <w:bookmarkStart w:id="31" w:name="_Toc23885"/>
      <w:bookmarkStart w:id="32" w:name="_Toc18996"/>
      <w:r>
        <w:rPr>
          <w:rFonts w:hint="eastAsia" w:ascii="宋体" w:hAnsi="宋体" w:cs="宋体"/>
          <w:color w:val="auto"/>
          <w:sz w:val="28"/>
          <w:szCs w:val="28"/>
          <w:highlight w:val="none"/>
        </w:rPr>
        <w:t>五、开标、评标和定标</w:t>
      </w:r>
      <w:bookmarkEnd w:id="31"/>
      <w:bookmarkEnd w:id="32"/>
    </w:p>
    <w:p>
      <w:pPr>
        <w:spacing w:line="440" w:lineRule="exact"/>
        <w:ind w:left="210" w:leftChars="100" w:right="-94" w:rightChars="-45" w:firstLine="198" w:firstLineChars="94"/>
        <w:jc w:val="left"/>
        <w:rPr>
          <w:rFonts w:hint="eastAsia" w:ascii="宋体" w:hAnsi="宋体" w:cs="宋体"/>
          <w:b/>
          <w:bCs/>
          <w:color w:val="auto"/>
          <w:szCs w:val="21"/>
          <w:highlight w:val="none"/>
        </w:rPr>
      </w:pPr>
      <w:r>
        <w:rPr>
          <w:rFonts w:hint="eastAsia" w:ascii="宋体" w:hAnsi="宋体" w:cs="宋体"/>
          <w:b/>
          <w:bCs/>
          <w:color w:val="auto"/>
          <w:szCs w:val="21"/>
          <w:highlight w:val="none"/>
        </w:rPr>
        <w:t>21. 开标</w:t>
      </w:r>
    </w:p>
    <w:p>
      <w:pPr>
        <w:spacing w:line="440" w:lineRule="exact"/>
        <w:ind w:left="208" w:leftChars="99" w:right="-94" w:rightChars="-45" w:firstLine="197" w:firstLineChars="94"/>
        <w:jc w:val="left"/>
        <w:rPr>
          <w:rFonts w:hint="eastAsia" w:ascii="宋体" w:hAnsi="宋体" w:cs="宋体"/>
          <w:color w:val="auto"/>
          <w:szCs w:val="21"/>
          <w:highlight w:val="none"/>
        </w:rPr>
      </w:pPr>
      <w:r>
        <w:rPr>
          <w:rFonts w:hint="eastAsia" w:ascii="宋体" w:hAnsi="宋体" w:cs="宋体"/>
          <w:color w:val="auto"/>
          <w:szCs w:val="21"/>
          <w:highlight w:val="none"/>
        </w:rPr>
        <w:t>21.1开标的时间和地点</w:t>
      </w:r>
    </w:p>
    <w:p>
      <w:pPr>
        <w:spacing w:line="440" w:lineRule="exact"/>
        <w:ind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21.1.1招标人按本须知第20.1条提交投标文件的截止时间和地点开标。</w:t>
      </w:r>
    </w:p>
    <w:p>
      <w:pPr>
        <w:spacing w:line="440" w:lineRule="exact"/>
        <w:ind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21.2参与开标的监督部门</w:t>
      </w:r>
    </w:p>
    <w:p>
      <w:pPr>
        <w:spacing w:line="440" w:lineRule="exact"/>
        <w:ind w:left="208" w:leftChars="99" w:right="-94" w:rightChars="-45" w:firstLine="197" w:firstLineChars="94"/>
        <w:jc w:val="left"/>
        <w:rPr>
          <w:rFonts w:hint="eastAsia" w:ascii="宋体" w:hAnsi="宋体" w:cs="宋体"/>
          <w:color w:val="auto"/>
          <w:spacing w:val="-8"/>
          <w:szCs w:val="21"/>
          <w:highlight w:val="none"/>
        </w:rPr>
      </w:pPr>
      <w:r>
        <w:rPr>
          <w:rFonts w:hint="eastAsia" w:ascii="宋体" w:hAnsi="宋体" w:cs="宋体"/>
          <w:color w:val="auto"/>
          <w:szCs w:val="21"/>
          <w:highlight w:val="none"/>
        </w:rPr>
        <w:t>21.2.1参与开标的监督部门包括：招标单位的相关</w:t>
      </w:r>
      <w:r>
        <w:rPr>
          <w:rFonts w:hint="eastAsia" w:ascii="宋体" w:hAnsi="宋体" w:cs="宋体"/>
          <w:color w:val="auto"/>
          <w:szCs w:val="21"/>
          <w:highlight w:val="none"/>
          <w:lang w:val="en-US" w:eastAsia="zh-CN"/>
        </w:rPr>
        <w:t>监督</w:t>
      </w:r>
      <w:r>
        <w:rPr>
          <w:rFonts w:hint="eastAsia" w:ascii="宋体" w:hAnsi="宋体" w:cs="宋体"/>
          <w:color w:val="auto"/>
          <w:szCs w:val="21"/>
          <w:highlight w:val="none"/>
        </w:rPr>
        <w:t>部门。</w:t>
      </w:r>
    </w:p>
    <w:p>
      <w:pPr>
        <w:spacing w:line="440" w:lineRule="exact"/>
        <w:ind w:left="208" w:leftChars="99" w:right="-94" w:rightChars="-45" w:firstLine="197" w:firstLineChars="94"/>
        <w:jc w:val="left"/>
        <w:rPr>
          <w:rFonts w:hint="eastAsia" w:ascii="宋体" w:hAnsi="宋体" w:cs="宋体"/>
          <w:color w:val="auto"/>
          <w:szCs w:val="21"/>
          <w:highlight w:val="none"/>
        </w:rPr>
      </w:pPr>
      <w:r>
        <w:rPr>
          <w:rFonts w:hint="eastAsia" w:ascii="宋体" w:hAnsi="宋体" w:cs="宋体"/>
          <w:color w:val="auto"/>
          <w:szCs w:val="21"/>
          <w:highlight w:val="none"/>
        </w:rPr>
        <w:t>21.3 开标程序</w:t>
      </w:r>
    </w:p>
    <w:p>
      <w:pPr>
        <w:spacing w:line="440" w:lineRule="exact"/>
        <w:ind w:left="208" w:leftChars="99" w:right="-94" w:rightChars="-45" w:firstLine="197" w:firstLineChars="94"/>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宣布开标纪律；</w:t>
      </w:r>
    </w:p>
    <w:p>
      <w:pPr>
        <w:spacing w:line="440" w:lineRule="exact"/>
        <w:ind w:left="208" w:leftChars="99" w:right="-94" w:rightChars="-45" w:firstLine="197" w:firstLineChars="94"/>
        <w:jc w:val="left"/>
        <w:rPr>
          <w:rFonts w:hint="eastAsia" w:ascii="宋体" w:hAnsi="宋体" w:cs="宋体"/>
          <w:color w:val="auto"/>
          <w:szCs w:val="21"/>
          <w:highlight w:val="none"/>
        </w:rPr>
      </w:pPr>
      <w:r>
        <w:rPr>
          <w:rFonts w:hint="eastAsia" w:ascii="宋体" w:hAnsi="宋体" w:cs="宋体"/>
          <w:color w:val="auto"/>
          <w:szCs w:val="21"/>
          <w:highlight w:val="none"/>
        </w:rPr>
        <w:t>（2）宣布招标（采购）人、代理机构主持人等有关人员姓名；</w:t>
      </w:r>
    </w:p>
    <w:p>
      <w:pPr>
        <w:spacing w:line="440" w:lineRule="exact"/>
        <w:ind w:left="208" w:leftChars="99" w:right="-94" w:rightChars="-45" w:firstLine="197" w:firstLineChars="94"/>
        <w:jc w:val="left"/>
        <w:rPr>
          <w:rFonts w:hint="eastAsia" w:ascii="宋体" w:hAnsi="宋体" w:cs="宋体"/>
          <w:color w:val="auto"/>
          <w:szCs w:val="21"/>
          <w:highlight w:val="none"/>
        </w:rPr>
      </w:pPr>
      <w:r>
        <w:rPr>
          <w:rFonts w:hint="eastAsia" w:ascii="宋体" w:hAnsi="宋体" w:cs="宋体"/>
          <w:color w:val="auto"/>
          <w:szCs w:val="21"/>
          <w:highlight w:val="none"/>
        </w:rPr>
        <w:t xml:space="preserve">（3）公布投标截止时间前，宣布投标人名称及投标保证金缴纳情况等； </w:t>
      </w:r>
    </w:p>
    <w:p>
      <w:pPr>
        <w:spacing w:line="440" w:lineRule="exact"/>
        <w:ind w:left="208" w:leftChars="99" w:right="-94" w:rightChars="-45" w:firstLine="197" w:firstLineChars="94"/>
        <w:jc w:val="left"/>
        <w:rPr>
          <w:rFonts w:hint="eastAsia" w:ascii="宋体" w:hAnsi="宋体" w:cs="宋体"/>
          <w:color w:val="auto"/>
          <w:szCs w:val="21"/>
          <w:highlight w:val="none"/>
        </w:rPr>
      </w:pPr>
      <w:r>
        <w:rPr>
          <w:rFonts w:hint="eastAsia" w:ascii="宋体" w:hAnsi="宋体" w:cs="宋体"/>
          <w:color w:val="auto"/>
          <w:szCs w:val="21"/>
          <w:highlight w:val="none"/>
        </w:rPr>
        <w:t>（4）投标人在投标截止时间后，规定时间内完成发送投标文件解压密码；</w:t>
      </w:r>
    </w:p>
    <w:p>
      <w:pPr>
        <w:spacing w:line="440" w:lineRule="exact"/>
        <w:ind w:left="208" w:leftChars="99" w:right="-94" w:rightChars="-45" w:firstLine="197" w:firstLineChars="94"/>
        <w:jc w:val="left"/>
        <w:rPr>
          <w:rFonts w:hint="eastAsia" w:ascii="宋体" w:hAnsi="宋体" w:cs="宋体"/>
          <w:color w:val="auto"/>
          <w:szCs w:val="21"/>
          <w:highlight w:val="none"/>
        </w:rPr>
      </w:pPr>
      <w:r>
        <w:rPr>
          <w:rFonts w:hint="eastAsia" w:ascii="宋体" w:hAnsi="宋体" w:cs="宋体"/>
          <w:color w:val="auto"/>
          <w:szCs w:val="21"/>
          <w:highlight w:val="none"/>
        </w:rPr>
        <w:t>（5）公布投标人投标报价、质量目标、</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周期及其他内容，并记录在案；</w:t>
      </w:r>
    </w:p>
    <w:p>
      <w:pPr>
        <w:spacing w:line="440" w:lineRule="exact"/>
        <w:ind w:left="208" w:leftChars="99" w:right="-94" w:rightChars="-45" w:firstLine="197" w:firstLineChars="94"/>
        <w:jc w:val="left"/>
        <w:rPr>
          <w:rFonts w:hint="eastAsia" w:ascii="宋体" w:hAnsi="宋体" w:cs="宋体"/>
          <w:color w:val="auto"/>
          <w:szCs w:val="21"/>
          <w:highlight w:val="none"/>
        </w:rPr>
      </w:pPr>
      <w:r>
        <w:rPr>
          <w:rFonts w:hint="eastAsia" w:ascii="宋体" w:hAnsi="宋体" w:cs="宋体"/>
          <w:color w:val="auto"/>
          <w:szCs w:val="21"/>
          <w:highlight w:val="none"/>
        </w:rPr>
        <w:t>（6）开标结束。</w:t>
      </w:r>
    </w:p>
    <w:p>
      <w:pPr>
        <w:spacing w:line="440" w:lineRule="exact"/>
        <w:ind w:left="210" w:leftChars="100" w:right="-94" w:rightChars="-45" w:firstLine="198" w:firstLineChars="94"/>
        <w:jc w:val="left"/>
        <w:rPr>
          <w:rFonts w:hint="eastAsia" w:ascii="宋体" w:hAnsi="宋体" w:cs="宋体"/>
          <w:b/>
          <w:bCs/>
          <w:color w:val="auto"/>
          <w:szCs w:val="21"/>
          <w:highlight w:val="none"/>
        </w:rPr>
      </w:pPr>
      <w:r>
        <w:rPr>
          <w:rFonts w:hint="eastAsia" w:ascii="宋体" w:hAnsi="宋体" w:cs="宋体"/>
          <w:b/>
          <w:bCs/>
          <w:color w:val="auto"/>
          <w:szCs w:val="21"/>
          <w:highlight w:val="none"/>
        </w:rPr>
        <w:t>22.无效投标文件</w:t>
      </w:r>
    </w:p>
    <w:p>
      <w:pPr>
        <w:spacing w:line="440" w:lineRule="exact"/>
        <w:ind w:left="208" w:leftChars="99" w:right="-94" w:rightChars="-45" w:firstLine="197" w:firstLineChars="94"/>
        <w:jc w:val="left"/>
        <w:rPr>
          <w:rFonts w:hint="eastAsia" w:ascii="宋体" w:hAnsi="宋体" w:cs="宋体"/>
          <w:b/>
          <w:color w:val="auto"/>
          <w:szCs w:val="21"/>
          <w:highlight w:val="none"/>
        </w:rPr>
      </w:pPr>
      <w:r>
        <w:rPr>
          <w:rFonts w:hint="eastAsia" w:ascii="宋体" w:hAnsi="宋体" w:cs="宋体"/>
          <w:color w:val="auto"/>
          <w:szCs w:val="21"/>
          <w:highlight w:val="none"/>
        </w:rPr>
        <w:t>22.1投标文件出现下列情形之一的，投标文件无效，招标人不予受理。</w:t>
      </w:r>
    </w:p>
    <w:p>
      <w:pPr>
        <w:spacing w:line="440" w:lineRule="exact"/>
        <w:ind w:left="208" w:leftChars="99" w:right="-94" w:rightChars="-45" w:firstLine="197" w:firstLineChars="94"/>
        <w:jc w:val="left"/>
        <w:rPr>
          <w:rFonts w:hint="eastAsia" w:ascii="宋体" w:hAnsi="宋体" w:cs="宋体"/>
          <w:color w:val="auto"/>
          <w:szCs w:val="21"/>
          <w:highlight w:val="none"/>
        </w:rPr>
      </w:pPr>
      <w:r>
        <w:rPr>
          <w:rFonts w:hint="eastAsia" w:ascii="宋体" w:hAnsi="宋体" w:cs="宋体"/>
          <w:color w:val="auto"/>
          <w:szCs w:val="21"/>
          <w:highlight w:val="none"/>
        </w:rPr>
        <w:t>①逾期送达的或未送达指定地点的；</w:t>
      </w:r>
    </w:p>
    <w:p>
      <w:pPr>
        <w:spacing w:line="440" w:lineRule="exact"/>
        <w:ind w:left="208" w:leftChars="99" w:right="-94" w:rightChars="-45" w:firstLine="197" w:firstLineChars="94"/>
        <w:jc w:val="left"/>
        <w:rPr>
          <w:rFonts w:hint="eastAsia" w:ascii="宋体" w:hAnsi="宋体" w:cs="宋体"/>
          <w:color w:val="auto"/>
          <w:szCs w:val="21"/>
          <w:highlight w:val="none"/>
        </w:rPr>
      </w:pPr>
      <w:r>
        <w:rPr>
          <w:rFonts w:hint="eastAsia" w:ascii="宋体" w:hAnsi="宋体" w:cs="宋体"/>
          <w:color w:val="auto"/>
          <w:szCs w:val="21"/>
          <w:highlight w:val="none"/>
        </w:rPr>
        <w:t>②未按招标文件要求密封的；</w:t>
      </w:r>
    </w:p>
    <w:p>
      <w:pPr>
        <w:spacing w:line="440" w:lineRule="exact"/>
        <w:ind w:left="210" w:leftChars="100" w:right="-94" w:rightChars="-45" w:firstLine="198" w:firstLineChars="94"/>
        <w:jc w:val="left"/>
        <w:rPr>
          <w:rFonts w:hint="eastAsia" w:ascii="宋体" w:hAnsi="宋体" w:cs="宋体"/>
          <w:b/>
          <w:bCs/>
          <w:color w:val="auto"/>
          <w:szCs w:val="21"/>
          <w:highlight w:val="none"/>
        </w:rPr>
      </w:pPr>
      <w:r>
        <w:rPr>
          <w:rFonts w:hint="eastAsia" w:ascii="宋体" w:hAnsi="宋体" w:cs="宋体"/>
          <w:b/>
          <w:bCs/>
          <w:color w:val="auto"/>
          <w:szCs w:val="21"/>
          <w:highlight w:val="none"/>
        </w:rPr>
        <w:t>23.评标</w:t>
      </w:r>
    </w:p>
    <w:p>
      <w:pPr>
        <w:spacing w:line="440" w:lineRule="exact"/>
        <w:ind w:left="208" w:leftChars="99" w:right="-94" w:rightChars="-45" w:firstLine="197" w:firstLineChars="94"/>
        <w:rPr>
          <w:rFonts w:hint="eastAsia" w:ascii="宋体" w:hAnsi="宋体" w:cs="宋体"/>
          <w:color w:val="auto"/>
          <w:szCs w:val="21"/>
          <w:highlight w:val="none"/>
        </w:rPr>
      </w:pPr>
      <w:r>
        <w:rPr>
          <w:rFonts w:hint="eastAsia" w:ascii="宋体" w:hAnsi="宋体" w:cs="宋体"/>
          <w:color w:val="auto"/>
          <w:szCs w:val="21"/>
          <w:highlight w:val="none"/>
        </w:rPr>
        <w:t>23.1评标办法</w:t>
      </w:r>
    </w:p>
    <w:p>
      <w:pPr>
        <w:spacing w:line="440" w:lineRule="exact"/>
        <w:ind w:left="8" w:right="-94" w:rightChars="-45" w:firstLine="381" w:firstLineChars="189"/>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23.1.1本项目采用</w:t>
      </w:r>
      <w:r>
        <w:rPr>
          <w:rFonts w:hint="eastAsia" w:ascii="宋体" w:hAnsi="宋体" w:cs="宋体"/>
          <w:color w:val="auto"/>
          <w:spacing w:val="-4"/>
          <w:szCs w:val="21"/>
          <w:highlight w:val="none"/>
          <w:lang w:eastAsia="zh-CN"/>
        </w:rPr>
        <w:t>综合评分法</w:t>
      </w:r>
      <w:r>
        <w:rPr>
          <w:rFonts w:hint="eastAsia" w:ascii="宋体" w:hAnsi="宋体" w:cs="宋体"/>
          <w:color w:val="auto"/>
          <w:spacing w:val="-4"/>
          <w:szCs w:val="21"/>
          <w:highlight w:val="none"/>
        </w:rPr>
        <w:t>。</w:t>
      </w:r>
    </w:p>
    <w:p>
      <w:pPr>
        <w:spacing w:line="440" w:lineRule="exact"/>
        <w:ind w:left="8" w:right="-94" w:rightChars="-45" w:firstLine="396" w:firstLineChars="189"/>
        <w:jc w:val="left"/>
        <w:rPr>
          <w:rFonts w:hint="eastAsia" w:ascii="宋体" w:hAnsi="宋体" w:cs="宋体"/>
          <w:color w:val="auto"/>
          <w:highlight w:val="none"/>
        </w:rPr>
      </w:pPr>
      <w:r>
        <w:rPr>
          <w:rFonts w:hint="eastAsia" w:ascii="宋体" w:hAnsi="宋体" w:cs="宋体"/>
          <w:color w:val="auto"/>
          <w:szCs w:val="21"/>
          <w:highlight w:val="none"/>
        </w:rPr>
        <w:t>23.1.2评标委员会对满足招标文件实质性要求的投标文件，按照</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规定的评分标准进行打分，并按总得分由高到低顺序推荐3名中标候选人，并标明排序。若出现总得分相同的投标人有两名及以上时，以投标报价低者优先，如投标报价仍相同时，由招标人现场采取随机抽取的方式确定中标候选人排序</w:t>
      </w:r>
      <w:r>
        <w:rPr>
          <w:rFonts w:hint="eastAsia" w:ascii="宋体" w:hAnsi="宋体" w:cs="宋体"/>
          <w:color w:val="auto"/>
          <w:spacing w:val="-4"/>
          <w:szCs w:val="21"/>
          <w:highlight w:val="none"/>
        </w:rPr>
        <w:t>。</w:t>
      </w:r>
    </w:p>
    <w:p>
      <w:pPr>
        <w:spacing w:line="440" w:lineRule="exact"/>
        <w:ind w:left="208" w:leftChars="99" w:right="-94" w:rightChars="-45" w:firstLine="197" w:firstLineChars="94"/>
        <w:rPr>
          <w:rFonts w:hint="eastAsia" w:ascii="宋体" w:hAnsi="宋体" w:cs="宋体"/>
          <w:color w:val="auto"/>
          <w:szCs w:val="21"/>
          <w:highlight w:val="none"/>
        </w:rPr>
      </w:pPr>
      <w:r>
        <w:rPr>
          <w:rFonts w:hint="eastAsia" w:ascii="宋体" w:hAnsi="宋体" w:cs="宋体"/>
          <w:color w:val="auto"/>
          <w:szCs w:val="21"/>
          <w:highlight w:val="none"/>
        </w:rPr>
        <w:t>23.2</w:t>
      </w:r>
      <w:r>
        <w:rPr>
          <w:rFonts w:hint="eastAsia" w:ascii="宋体" w:hAnsi="宋体" w:cs="宋体"/>
          <w:b/>
          <w:color w:val="auto"/>
          <w:szCs w:val="21"/>
          <w:highlight w:val="none"/>
        </w:rPr>
        <w:t>投标文件有下列情形之一的，应按无效投标处理：</w:t>
      </w:r>
    </w:p>
    <w:p>
      <w:pPr>
        <w:spacing w:line="440" w:lineRule="exact"/>
        <w:ind w:left="208" w:leftChars="99" w:right="-94" w:rightChars="-45" w:firstLine="197" w:firstLineChars="94"/>
        <w:rPr>
          <w:rFonts w:hint="eastAsia" w:ascii="宋体" w:hAnsi="宋体" w:cs="宋体"/>
          <w:color w:val="auto"/>
          <w:szCs w:val="21"/>
          <w:highlight w:val="none"/>
        </w:rPr>
      </w:pPr>
      <w:r>
        <w:rPr>
          <w:rFonts w:hint="eastAsia" w:ascii="宋体" w:hAnsi="宋体" w:cs="宋体"/>
          <w:color w:val="auto"/>
          <w:szCs w:val="21"/>
          <w:highlight w:val="none"/>
        </w:rPr>
        <w:t>①无单位盖章并无法定代表人或法定代表人授权的代理人签字或盖章的；</w:t>
      </w:r>
    </w:p>
    <w:p>
      <w:pPr>
        <w:spacing w:line="440" w:lineRule="exact"/>
        <w:ind w:left="208" w:leftChars="99" w:right="-94" w:rightChars="-45" w:firstLine="197" w:firstLineChars="94"/>
        <w:rPr>
          <w:rFonts w:hint="eastAsia" w:ascii="宋体" w:hAnsi="宋体" w:cs="宋体"/>
          <w:color w:val="auto"/>
          <w:szCs w:val="21"/>
          <w:highlight w:val="none"/>
        </w:rPr>
      </w:pPr>
      <w:r>
        <w:rPr>
          <w:rFonts w:hint="eastAsia" w:ascii="宋体" w:hAnsi="宋体" w:cs="宋体"/>
          <w:color w:val="auto"/>
          <w:szCs w:val="21"/>
          <w:highlight w:val="none"/>
        </w:rPr>
        <w:t>②未按规定的格式填写，内容不全或关键字迹模糊、无法辨认的；</w:t>
      </w:r>
    </w:p>
    <w:p>
      <w:pPr>
        <w:spacing w:line="440" w:lineRule="exact"/>
        <w:ind w:left="208" w:leftChars="99" w:right="-94" w:rightChars="-45" w:firstLine="197" w:firstLineChars="94"/>
        <w:rPr>
          <w:rFonts w:hint="eastAsia" w:ascii="宋体" w:hAnsi="宋体" w:cs="宋体"/>
          <w:color w:val="auto"/>
          <w:szCs w:val="21"/>
          <w:highlight w:val="none"/>
        </w:rPr>
      </w:pPr>
      <w:r>
        <w:rPr>
          <w:rFonts w:hint="eastAsia" w:ascii="宋体" w:hAnsi="宋体" w:cs="宋体"/>
          <w:color w:val="auto"/>
          <w:szCs w:val="21"/>
          <w:highlight w:val="none"/>
        </w:rPr>
        <w:t>③投标文件中填报的服务周期、质量不符合招标文件要求的；</w:t>
      </w:r>
    </w:p>
    <w:p>
      <w:pPr>
        <w:spacing w:line="440" w:lineRule="exact"/>
        <w:ind w:left="208" w:leftChars="99" w:right="-94" w:rightChars="-45" w:firstLine="197" w:firstLineChars="94"/>
        <w:rPr>
          <w:rFonts w:hint="eastAsia" w:ascii="宋体" w:hAnsi="宋体" w:cs="宋体"/>
          <w:color w:val="auto"/>
          <w:szCs w:val="21"/>
          <w:highlight w:val="none"/>
        </w:rPr>
      </w:pPr>
      <w:r>
        <w:rPr>
          <w:rFonts w:hint="eastAsia" w:ascii="宋体" w:hAnsi="宋体" w:cs="宋体"/>
          <w:color w:val="auto"/>
          <w:szCs w:val="21"/>
          <w:highlight w:val="none"/>
        </w:rPr>
        <w:t>④因投标人原因改变或遗漏主要指标或技术要求的；</w:t>
      </w:r>
    </w:p>
    <w:p>
      <w:pPr>
        <w:spacing w:line="440" w:lineRule="exact"/>
        <w:ind w:left="208" w:leftChars="99" w:right="-94" w:rightChars="-45" w:firstLine="197" w:firstLineChars="94"/>
        <w:rPr>
          <w:rFonts w:hint="eastAsia" w:ascii="宋体" w:hAnsi="宋体" w:cs="宋体"/>
          <w:color w:val="auto"/>
          <w:szCs w:val="21"/>
          <w:highlight w:val="none"/>
        </w:rPr>
      </w:pPr>
      <w:r>
        <w:rPr>
          <w:rFonts w:hint="eastAsia" w:ascii="宋体" w:hAnsi="宋体" w:cs="宋体"/>
          <w:color w:val="auto"/>
          <w:szCs w:val="21"/>
          <w:highlight w:val="none"/>
        </w:rPr>
        <w:t>⑤投标总报价高于（不含等于）招标人发布的投标总报价最高限价的；</w:t>
      </w:r>
    </w:p>
    <w:p>
      <w:pPr>
        <w:spacing w:line="440" w:lineRule="exact"/>
        <w:ind w:left="208" w:leftChars="99" w:right="-94" w:rightChars="-45" w:firstLine="197" w:firstLineChars="94"/>
        <w:rPr>
          <w:rFonts w:hint="eastAsia" w:ascii="宋体" w:hAnsi="宋体" w:cs="宋体"/>
          <w:color w:val="auto"/>
          <w:szCs w:val="21"/>
          <w:highlight w:val="none"/>
        </w:rPr>
      </w:pPr>
      <w:r>
        <w:rPr>
          <w:rFonts w:hint="eastAsia" w:ascii="宋体" w:hAnsi="宋体" w:cs="宋体"/>
          <w:color w:val="auto"/>
          <w:szCs w:val="21"/>
          <w:highlight w:val="none"/>
        </w:rPr>
        <w:t>⑥法律、法规、规章和招标文件规定的其他无效投标情形。</w:t>
      </w:r>
    </w:p>
    <w:p>
      <w:pPr>
        <w:spacing w:line="440" w:lineRule="exact"/>
        <w:ind w:left="210" w:leftChars="100" w:right="-94" w:rightChars="-45" w:firstLine="198" w:firstLineChars="94"/>
        <w:jc w:val="left"/>
        <w:rPr>
          <w:rFonts w:hint="eastAsia" w:ascii="宋体" w:hAnsi="宋体" w:cs="宋体"/>
          <w:b/>
          <w:bCs/>
          <w:color w:val="auto"/>
          <w:szCs w:val="21"/>
          <w:highlight w:val="none"/>
        </w:rPr>
      </w:pPr>
      <w:r>
        <w:rPr>
          <w:rFonts w:hint="eastAsia" w:ascii="宋体" w:hAnsi="宋体" w:cs="宋体"/>
          <w:b/>
          <w:bCs/>
          <w:color w:val="auto"/>
          <w:szCs w:val="21"/>
          <w:highlight w:val="none"/>
        </w:rPr>
        <w:t>24.定标</w:t>
      </w:r>
    </w:p>
    <w:p>
      <w:pPr>
        <w:spacing w:line="440" w:lineRule="exact"/>
        <w:ind w:left="208" w:leftChars="99" w:right="-94" w:rightChars="-45" w:firstLine="197" w:firstLineChars="94"/>
        <w:jc w:val="left"/>
        <w:rPr>
          <w:rFonts w:hint="eastAsia" w:ascii="宋体" w:hAnsi="宋体" w:cs="宋体"/>
          <w:color w:val="auto"/>
          <w:szCs w:val="21"/>
          <w:highlight w:val="none"/>
        </w:rPr>
      </w:pPr>
      <w:r>
        <w:rPr>
          <w:rFonts w:hint="eastAsia" w:ascii="宋体" w:hAnsi="宋体" w:cs="宋体"/>
          <w:color w:val="auto"/>
          <w:szCs w:val="21"/>
          <w:highlight w:val="none"/>
        </w:rPr>
        <w:t>24.1中标候选人的确定</w:t>
      </w:r>
    </w:p>
    <w:p>
      <w:pPr>
        <w:spacing w:line="440" w:lineRule="exact"/>
        <w:ind w:left="8" w:right="-94" w:rightChars="-45" w:firstLine="396" w:firstLineChars="189"/>
        <w:jc w:val="left"/>
        <w:rPr>
          <w:rFonts w:hint="eastAsia" w:ascii="宋体" w:hAnsi="宋体" w:cs="宋体"/>
          <w:color w:val="auto"/>
          <w:szCs w:val="21"/>
          <w:highlight w:val="none"/>
        </w:rPr>
      </w:pPr>
      <w:r>
        <w:rPr>
          <w:rFonts w:hint="eastAsia" w:ascii="宋体" w:hAnsi="宋体" w:cs="宋体"/>
          <w:color w:val="auto"/>
          <w:szCs w:val="21"/>
          <w:highlight w:val="none"/>
        </w:rPr>
        <w:t>24.1.1按照招标文件规定的评分标准进行打分，并按总得分由高到低顺序推荐3名中标候选人，并标明排序。若出现总得分相同的投标人有两名及以上时，以投标报价低者优先，如投标报价仍相同时，由招标人现场采取随机抽取的方式确定中标候选人排序。</w:t>
      </w:r>
    </w:p>
    <w:p>
      <w:pPr>
        <w:spacing w:line="440" w:lineRule="exact"/>
        <w:ind w:left="208" w:leftChars="99" w:right="-94" w:rightChars="-45" w:firstLine="197" w:firstLineChars="94"/>
        <w:jc w:val="left"/>
        <w:rPr>
          <w:rFonts w:hint="eastAsia" w:ascii="宋体" w:hAnsi="宋体" w:cs="宋体"/>
          <w:color w:val="auto"/>
          <w:szCs w:val="21"/>
          <w:highlight w:val="none"/>
        </w:rPr>
      </w:pPr>
      <w:r>
        <w:rPr>
          <w:rFonts w:hint="eastAsia" w:ascii="宋体" w:hAnsi="宋体" w:cs="宋体"/>
          <w:color w:val="auto"/>
          <w:szCs w:val="21"/>
          <w:highlight w:val="none"/>
        </w:rPr>
        <w:t>24.2 中标价</w:t>
      </w:r>
    </w:p>
    <w:p>
      <w:pPr>
        <w:spacing w:line="440" w:lineRule="exact"/>
        <w:ind w:left="208" w:leftChars="99" w:right="-94" w:rightChars="-45" w:firstLine="197" w:firstLineChars="94"/>
        <w:jc w:val="left"/>
        <w:rPr>
          <w:rFonts w:hint="eastAsia" w:ascii="宋体" w:hAnsi="宋体" w:cs="宋体"/>
          <w:color w:val="auto"/>
          <w:szCs w:val="21"/>
          <w:highlight w:val="none"/>
        </w:rPr>
      </w:pPr>
      <w:r>
        <w:rPr>
          <w:rFonts w:hint="eastAsia" w:ascii="宋体" w:hAnsi="宋体" w:cs="宋体"/>
          <w:color w:val="auto"/>
          <w:szCs w:val="21"/>
          <w:highlight w:val="none"/>
        </w:rPr>
        <w:t>24.2.1经投标人确认，在评标中经过修正的投标总报价作为中标价。</w:t>
      </w:r>
    </w:p>
    <w:p>
      <w:pPr>
        <w:pStyle w:val="3"/>
        <w:spacing w:before="156" w:beforeLines="50" w:after="156" w:afterLines="50" w:line="440" w:lineRule="exact"/>
        <w:ind w:left="14" w:right="-94" w:rightChars="-45" w:hanging="14" w:hangingChars="5"/>
        <w:jc w:val="center"/>
        <w:rPr>
          <w:rFonts w:hint="eastAsia" w:ascii="宋体" w:hAnsi="宋体" w:cs="宋体"/>
          <w:color w:val="auto"/>
          <w:sz w:val="28"/>
          <w:szCs w:val="28"/>
          <w:highlight w:val="none"/>
        </w:rPr>
      </w:pPr>
      <w:bookmarkStart w:id="33" w:name="_Toc31086"/>
      <w:bookmarkStart w:id="34" w:name="_Toc12012"/>
      <w:r>
        <w:rPr>
          <w:rFonts w:hint="eastAsia" w:ascii="宋体" w:hAnsi="宋体" w:cs="宋体"/>
          <w:color w:val="auto"/>
          <w:sz w:val="28"/>
          <w:szCs w:val="28"/>
          <w:highlight w:val="none"/>
        </w:rPr>
        <w:t>六、合同的授予</w:t>
      </w:r>
      <w:bookmarkEnd w:id="33"/>
      <w:bookmarkEnd w:id="34"/>
    </w:p>
    <w:p>
      <w:pPr>
        <w:spacing w:line="440" w:lineRule="exact"/>
        <w:ind w:left="210" w:leftChars="100" w:right="-94" w:rightChars="-45" w:firstLine="198" w:firstLineChars="94"/>
        <w:jc w:val="left"/>
        <w:rPr>
          <w:rFonts w:hint="eastAsia" w:ascii="宋体" w:hAnsi="宋体" w:cs="宋体"/>
          <w:b/>
          <w:bCs/>
          <w:color w:val="auto"/>
          <w:szCs w:val="21"/>
          <w:highlight w:val="none"/>
        </w:rPr>
      </w:pPr>
      <w:r>
        <w:rPr>
          <w:rFonts w:hint="eastAsia" w:ascii="宋体" w:hAnsi="宋体" w:cs="宋体"/>
          <w:b/>
          <w:bCs/>
          <w:color w:val="auto"/>
          <w:szCs w:val="21"/>
          <w:highlight w:val="none"/>
        </w:rPr>
        <w:t>25.合同授予标准</w:t>
      </w:r>
    </w:p>
    <w:p>
      <w:pPr>
        <w:spacing w:line="440" w:lineRule="exact"/>
        <w:ind w:left="208" w:leftChars="99" w:right="-94" w:rightChars="-45" w:firstLine="197" w:firstLineChars="94"/>
        <w:jc w:val="left"/>
        <w:rPr>
          <w:rFonts w:hint="eastAsia" w:ascii="宋体" w:hAnsi="宋体" w:cs="宋体"/>
          <w:color w:val="auto"/>
          <w:szCs w:val="21"/>
          <w:highlight w:val="none"/>
        </w:rPr>
      </w:pPr>
      <w:r>
        <w:rPr>
          <w:rFonts w:hint="eastAsia" w:ascii="宋体" w:hAnsi="宋体" w:cs="宋体"/>
          <w:color w:val="auto"/>
          <w:szCs w:val="21"/>
          <w:highlight w:val="none"/>
        </w:rPr>
        <w:t>25.1本招标项目的服务合同将授予按本须知第24条规定所确定的中标人。</w:t>
      </w:r>
    </w:p>
    <w:p>
      <w:pPr>
        <w:spacing w:line="440" w:lineRule="exact"/>
        <w:ind w:left="210" w:leftChars="100" w:right="-94" w:rightChars="-45" w:firstLine="198" w:firstLineChars="94"/>
        <w:jc w:val="left"/>
        <w:rPr>
          <w:rFonts w:hint="eastAsia" w:ascii="宋体" w:hAnsi="宋体" w:cs="宋体"/>
          <w:b/>
          <w:bCs/>
          <w:color w:val="auto"/>
          <w:szCs w:val="21"/>
          <w:highlight w:val="none"/>
        </w:rPr>
      </w:pPr>
      <w:r>
        <w:rPr>
          <w:rFonts w:hint="eastAsia" w:ascii="宋体" w:hAnsi="宋体" w:cs="宋体"/>
          <w:b/>
          <w:bCs/>
          <w:color w:val="auto"/>
          <w:szCs w:val="21"/>
          <w:highlight w:val="none"/>
        </w:rPr>
        <w:t>26.合同协议书的签订</w:t>
      </w:r>
    </w:p>
    <w:p>
      <w:pPr>
        <w:spacing w:line="440" w:lineRule="exact"/>
        <w:ind w:left="8" w:right="-94" w:rightChars="-45" w:firstLine="396" w:firstLineChars="189"/>
        <w:jc w:val="left"/>
        <w:rPr>
          <w:rFonts w:hint="eastAsia" w:ascii="宋体" w:hAnsi="宋体" w:cs="宋体"/>
          <w:color w:val="auto"/>
          <w:szCs w:val="21"/>
          <w:highlight w:val="none"/>
        </w:rPr>
      </w:pPr>
      <w:r>
        <w:rPr>
          <w:rFonts w:hint="eastAsia" w:ascii="宋体" w:hAnsi="宋体" w:cs="宋体"/>
          <w:color w:val="auto"/>
          <w:szCs w:val="21"/>
          <w:highlight w:val="none"/>
        </w:rPr>
        <w:t>26.1招标人与中标人将于</w:t>
      </w:r>
      <w:r>
        <w:rPr>
          <w:rFonts w:hint="eastAsia" w:ascii="宋体" w:hAnsi="宋体" w:cs="宋体"/>
          <w:color w:val="auto"/>
          <w:kern w:val="0"/>
          <w:szCs w:val="21"/>
          <w:highlight w:val="none"/>
        </w:rPr>
        <w:t>项目开标结束并确定中标单位后30日内</w:t>
      </w:r>
      <w:r>
        <w:rPr>
          <w:rFonts w:hint="eastAsia" w:ascii="宋体" w:hAnsi="宋体" w:cs="宋体"/>
          <w:color w:val="auto"/>
          <w:szCs w:val="21"/>
          <w:highlight w:val="none"/>
        </w:rPr>
        <w:t>按照招标文件和中标人的投标文件订立书面服务合同。招标人和中标人不得再行订立背离合同实质性内容的其他协议。</w:t>
      </w:r>
    </w:p>
    <w:p>
      <w:pPr>
        <w:spacing w:line="440" w:lineRule="exact"/>
        <w:ind w:left="8" w:right="-94" w:rightChars="-45" w:firstLine="396" w:firstLineChars="189"/>
        <w:jc w:val="left"/>
        <w:rPr>
          <w:rFonts w:hint="eastAsia" w:ascii="宋体" w:hAnsi="宋体" w:cs="宋体"/>
          <w:color w:val="auto"/>
          <w:szCs w:val="21"/>
          <w:highlight w:val="none"/>
        </w:rPr>
      </w:pPr>
      <w:r>
        <w:rPr>
          <w:rFonts w:hint="eastAsia" w:ascii="宋体" w:hAnsi="宋体" w:cs="宋体"/>
          <w:color w:val="auto"/>
          <w:szCs w:val="21"/>
          <w:highlight w:val="none"/>
        </w:rPr>
        <w:t>26.2招标人如不按本投标须知第26.1条的规定与中标人订立合同，或者招标人、中标人订立背离合同实质性内容的协议，招标人应当按投标保证金的数额对投标人进行赔偿，给投标人造成的损失超过投标保证金数额的，还应当对超过部分予以赔偿，同时依法承担相应法律责任。</w:t>
      </w:r>
    </w:p>
    <w:p>
      <w:pPr>
        <w:spacing w:line="440" w:lineRule="exact"/>
        <w:ind w:left="8" w:right="-94" w:rightChars="-45" w:firstLine="396" w:firstLineChars="189"/>
        <w:jc w:val="left"/>
        <w:rPr>
          <w:rFonts w:hint="eastAsia" w:ascii="宋体" w:hAnsi="宋体" w:cs="宋体"/>
          <w:color w:val="auto"/>
          <w:szCs w:val="21"/>
          <w:highlight w:val="none"/>
        </w:rPr>
      </w:pPr>
      <w:r>
        <w:rPr>
          <w:rFonts w:hint="eastAsia" w:ascii="宋体" w:hAnsi="宋体" w:cs="宋体"/>
          <w:color w:val="auto"/>
          <w:szCs w:val="21"/>
          <w:highlight w:val="none"/>
        </w:rPr>
        <w:t>26.3中标人如不按本投标须知第26.1条的规定与招标人订立合同，则招标人将废除授标，投标担保金不予退还，给招标人造成的损失超过投标担保数额的，还应当对超过部分予以赔偿，同时依法承担相应法律责任。</w:t>
      </w:r>
    </w:p>
    <w:p>
      <w:pPr>
        <w:spacing w:line="440" w:lineRule="exact"/>
        <w:ind w:left="208" w:leftChars="99" w:right="-94" w:rightChars="-45" w:firstLine="197" w:firstLineChars="94"/>
        <w:jc w:val="left"/>
        <w:rPr>
          <w:rFonts w:hint="eastAsia" w:ascii="宋体" w:hAnsi="宋体" w:cs="宋体"/>
          <w:color w:val="auto"/>
          <w:szCs w:val="21"/>
          <w:highlight w:val="none"/>
        </w:rPr>
      </w:pPr>
      <w:r>
        <w:rPr>
          <w:rFonts w:hint="eastAsia" w:ascii="宋体" w:hAnsi="宋体" w:cs="宋体"/>
          <w:color w:val="auto"/>
          <w:szCs w:val="21"/>
          <w:highlight w:val="none"/>
        </w:rPr>
        <w:t>26.4中标人应当按照合同约定履行义务，完成中标项目，不得将中标项目转让（转包）给他人。</w:t>
      </w: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Pr>
        <w:pStyle w:val="2"/>
        <w:spacing w:before="240" w:after="240"/>
        <w:rPr>
          <w:rFonts w:hint="eastAsia" w:ascii="宋体" w:hAnsi="宋体" w:cs="宋体"/>
          <w:color w:val="auto"/>
          <w:sz w:val="32"/>
          <w:szCs w:val="32"/>
          <w:highlight w:val="none"/>
        </w:rPr>
      </w:pPr>
      <w:bookmarkStart w:id="35" w:name="_Toc324404864"/>
      <w:bookmarkStart w:id="36" w:name="_Toc35947222"/>
      <w:bookmarkStart w:id="37" w:name="_Toc15058902"/>
      <w:bookmarkStart w:id="38" w:name="_Toc35424939"/>
      <w:bookmarkStart w:id="39" w:name="_Toc1648"/>
      <w:bookmarkStart w:id="40" w:name="_Toc35425105"/>
      <w:bookmarkStart w:id="41" w:name="_Toc506107317"/>
      <w:r>
        <w:rPr>
          <w:rFonts w:hint="eastAsia" w:ascii="宋体" w:hAnsi="宋体" w:cs="宋体"/>
          <w:color w:val="auto"/>
          <w:sz w:val="32"/>
          <w:szCs w:val="32"/>
          <w:highlight w:val="none"/>
        </w:rPr>
        <w:br w:type="page"/>
      </w:r>
      <w:bookmarkStart w:id="42" w:name="_Toc13176"/>
      <w:r>
        <w:rPr>
          <w:rFonts w:hint="eastAsia" w:ascii="宋体" w:hAnsi="宋体" w:cs="宋体"/>
          <w:color w:val="auto"/>
          <w:sz w:val="32"/>
          <w:szCs w:val="32"/>
          <w:highlight w:val="none"/>
        </w:rPr>
        <w:t xml:space="preserve">第二章 </w:t>
      </w:r>
      <w:bookmarkEnd w:id="35"/>
      <w:r>
        <w:rPr>
          <w:rFonts w:hint="eastAsia" w:ascii="宋体" w:hAnsi="宋体" w:cs="宋体"/>
          <w:color w:val="auto"/>
          <w:sz w:val="32"/>
          <w:szCs w:val="32"/>
          <w:highlight w:val="none"/>
          <w:lang w:val="en-US" w:eastAsia="zh-CN"/>
        </w:rPr>
        <w:t>评标</w:t>
      </w:r>
      <w:r>
        <w:rPr>
          <w:rFonts w:hint="eastAsia" w:ascii="宋体" w:hAnsi="宋体" w:cs="宋体"/>
          <w:color w:val="auto"/>
          <w:sz w:val="32"/>
          <w:szCs w:val="32"/>
          <w:highlight w:val="none"/>
        </w:rPr>
        <w:t>办法</w:t>
      </w:r>
      <w:bookmarkEnd w:id="36"/>
      <w:bookmarkEnd w:id="37"/>
      <w:bookmarkEnd w:id="38"/>
      <w:bookmarkEnd w:id="39"/>
      <w:bookmarkEnd w:id="40"/>
      <w:bookmarkEnd w:id="41"/>
      <w:bookmarkEnd w:id="42"/>
    </w:p>
    <w:p>
      <w:pPr>
        <w:pStyle w:val="2"/>
        <w:spacing w:before="120" w:after="120"/>
        <w:rPr>
          <w:rFonts w:hint="eastAsia" w:ascii="宋体" w:hAnsi="宋体" w:cs="宋体"/>
          <w:color w:val="auto"/>
          <w:sz w:val="32"/>
          <w:szCs w:val="32"/>
          <w:highlight w:val="none"/>
        </w:rPr>
      </w:pPr>
      <w:bookmarkStart w:id="43" w:name="_Toc35947223"/>
      <w:bookmarkStart w:id="44" w:name="_Toc324404865"/>
      <w:bookmarkStart w:id="45" w:name="_Toc35425106"/>
      <w:bookmarkStart w:id="46" w:name="_Toc506107318"/>
      <w:bookmarkStart w:id="47" w:name="_Toc15058903"/>
      <w:bookmarkStart w:id="48" w:name="_Toc2390"/>
      <w:bookmarkStart w:id="49" w:name="_Toc19012"/>
      <w:bookmarkStart w:id="50" w:name="_Toc31267"/>
      <w:bookmarkStart w:id="51" w:name="_Toc35424940"/>
      <w:r>
        <w:rPr>
          <w:rFonts w:hint="eastAsia" w:ascii="宋体" w:hAnsi="宋体" w:cs="宋体"/>
          <w:color w:val="auto"/>
          <w:sz w:val="32"/>
          <w:szCs w:val="32"/>
          <w:highlight w:val="none"/>
          <w:lang w:val="en-US" w:eastAsia="zh-CN"/>
        </w:rPr>
        <w:t>一、</w:t>
      </w:r>
      <w:r>
        <w:rPr>
          <w:rFonts w:hint="eastAsia" w:ascii="宋体" w:hAnsi="宋体" w:cs="宋体"/>
          <w:color w:val="auto"/>
          <w:sz w:val="32"/>
          <w:szCs w:val="32"/>
          <w:highlight w:val="none"/>
        </w:rPr>
        <w:t>资格审查办法前附表</w:t>
      </w:r>
      <w:bookmarkEnd w:id="43"/>
      <w:bookmarkEnd w:id="44"/>
      <w:bookmarkEnd w:id="45"/>
      <w:bookmarkEnd w:id="46"/>
      <w:bookmarkEnd w:id="47"/>
      <w:bookmarkEnd w:id="48"/>
      <w:bookmarkEnd w:id="49"/>
      <w:bookmarkEnd w:id="50"/>
      <w:bookmarkEnd w:id="51"/>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57"/>
        <w:gridCol w:w="4099"/>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highlight w:val="none"/>
              </w:rPr>
            </w:pPr>
            <w:bookmarkStart w:id="52" w:name="_Toc35424942"/>
            <w:bookmarkStart w:id="53" w:name="_Toc27268"/>
            <w:bookmarkStart w:id="54" w:name="_Toc506107320"/>
            <w:bookmarkStart w:id="55" w:name="_Toc15058909"/>
            <w:bookmarkStart w:id="56" w:name="_Toc324404867"/>
            <w:bookmarkStart w:id="57" w:name="_Toc35947225"/>
            <w:bookmarkStart w:id="58" w:name="_Toc35425108"/>
            <w:r>
              <w:rPr>
                <w:rFonts w:hint="eastAsia" w:ascii="宋体" w:hAnsi="宋体" w:cs="宋体"/>
                <w:color w:val="auto"/>
                <w:szCs w:val="21"/>
                <w:highlight w:val="none"/>
              </w:rPr>
              <w:t>条款号</w:t>
            </w:r>
          </w:p>
        </w:tc>
        <w:tc>
          <w:tcPr>
            <w:tcW w:w="409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szCs w:val="21"/>
                <w:highlight w:val="none"/>
              </w:rPr>
              <w:t>评审因素</w:t>
            </w:r>
          </w:p>
        </w:tc>
        <w:tc>
          <w:tcPr>
            <w:tcW w:w="265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704"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w:t>
            </w:r>
          </w:p>
        </w:tc>
        <w:tc>
          <w:tcPr>
            <w:tcW w:w="957"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评审</w:t>
            </w:r>
          </w:p>
          <w:p>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szCs w:val="21"/>
                <w:highlight w:val="none"/>
              </w:rPr>
              <w:t>标准</w:t>
            </w:r>
          </w:p>
        </w:tc>
        <w:tc>
          <w:tcPr>
            <w:tcW w:w="4099" w:type="dxa"/>
            <w:noWrap w:val="0"/>
            <w:vAlign w:val="center"/>
          </w:tcPr>
          <w:p>
            <w:pPr>
              <w:keepNext w:val="0"/>
              <w:keepLines w:val="0"/>
              <w:suppressLineNumbers w:val="0"/>
              <w:spacing w:before="0" w:beforeAutospacing="0" w:after="0" w:afterAutospacing="0"/>
              <w:ind w:left="0" w:right="0"/>
              <w:rPr>
                <w:rFonts w:hint="eastAsia" w:ascii="宋体" w:hAnsi="宋体" w:cs="宋体"/>
                <w:color w:val="auto"/>
                <w:highlight w:val="none"/>
              </w:rPr>
            </w:pPr>
            <w:r>
              <w:rPr>
                <w:rFonts w:hint="eastAsia" w:ascii="宋体" w:hAnsi="宋体" w:cs="宋体"/>
                <w:color w:val="auto"/>
                <w:highlight w:val="none"/>
              </w:rPr>
              <w:t xml:space="preserve">法定代表人证明文件和本人有效身份证(或法定代表人授权委托书和委托代理人身份证) </w:t>
            </w:r>
          </w:p>
        </w:tc>
        <w:tc>
          <w:tcPr>
            <w:tcW w:w="2654" w:type="dxa"/>
            <w:vMerge w:val="restart"/>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eastAsia="zh-CN"/>
              </w:rPr>
            </w:pPr>
            <w:r>
              <w:rPr>
                <w:rFonts w:hint="eastAsia" w:ascii="宋体" w:hAnsi="宋体" w:cs="宋体"/>
                <w:color w:val="auto"/>
                <w:highlight w:val="none"/>
              </w:rPr>
              <w:t>核验投标文件</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扫描件加盖单位公章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704" w:type="dxa"/>
            <w:vMerge w:val="continue"/>
            <w:noWrap w:val="0"/>
            <w:vAlign w:val="top"/>
          </w:tcPr>
          <w:p>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7" w:type="dxa"/>
            <w:vMerge w:val="continue"/>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4099" w:type="dxa"/>
            <w:noWrap w:val="0"/>
            <w:vAlign w:val="center"/>
          </w:tcPr>
          <w:p>
            <w:pPr>
              <w:pStyle w:val="40"/>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highlight w:val="none"/>
                <w:lang w:eastAsia="zh-CN"/>
              </w:rPr>
            </w:pPr>
            <w:r>
              <w:rPr>
                <w:rFonts w:hint="eastAsia" w:ascii="宋体" w:hAnsi="宋体" w:eastAsia="宋体" w:cs="宋体"/>
                <w:color w:val="auto"/>
                <w:kern w:val="2"/>
                <w:sz w:val="21"/>
                <w:szCs w:val="21"/>
                <w:highlight w:val="none"/>
                <w:lang w:val="en-US" w:eastAsia="zh-CN" w:bidi="ar"/>
              </w:rPr>
              <w:t>具有有效的营业执照、税务登记证、组织机构代码证（或多证合一的有效证件）且具有相应的咨询服务能力</w:t>
            </w:r>
          </w:p>
        </w:tc>
        <w:tc>
          <w:tcPr>
            <w:tcW w:w="2654"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04" w:type="dxa"/>
            <w:vMerge w:val="continue"/>
            <w:noWrap w:val="0"/>
            <w:vAlign w:val="top"/>
          </w:tcPr>
          <w:p>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7" w:type="dxa"/>
            <w:vMerge w:val="continue"/>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4099" w:type="dxa"/>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highlight w:val="none"/>
                <w:lang w:val="en-US" w:eastAsia="zh-CN"/>
              </w:rPr>
            </w:pPr>
            <w:r>
              <w:rPr>
                <w:rFonts w:hint="eastAsia" w:ascii="宋体" w:hAnsi="宋体" w:eastAsia="宋体" w:cs="宋体"/>
                <w:color w:val="auto"/>
                <w:kern w:val="2"/>
                <w:sz w:val="21"/>
                <w:szCs w:val="21"/>
                <w:highlight w:val="none"/>
                <w:lang w:val="en-US" w:eastAsia="zh-CN" w:bidi="ar"/>
              </w:rPr>
              <w:t>业绩证明材料：</w:t>
            </w:r>
            <w:r>
              <w:rPr>
                <w:rFonts w:hint="eastAsia" w:ascii="宋体" w:hAnsi="宋体" w:eastAsia="宋体" w:cs="宋体"/>
                <w:color w:val="auto"/>
                <w:kern w:val="2"/>
                <w:sz w:val="21"/>
                <w:szCs w:val="21"/>
                <w:highlight w:val="none"/>
                <w:lang w:val="en-US" w:eastAsia="zh-CN" w:bidi="ar"/>
              </w:rPr>
              <w:t>202</w:t>
            </w:r>
            <w:r>
              <w:rPr>
                <w:rFonts w:hint="eastAsia"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年</w:t>
            </w:r>
            <w:r>
              <w:rPr>
                <w:rFonts w:hint="eastAsia"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月1日</w:t>
            </w:r>
            <w:r>
              <w:rPr>
                <w:rFonts w:hint="eastAsia" w:ascii="宋体" w:hAnsi="宋体" w:eastAsia="宋体" w:cs="宋体"/>
                <w:color w:val="auto"/>
                <w:kern w:val="2"/>
                <w:sz w:val="21"/>
                <w:szCs w:val="21"/>
                <w:highlight w:val="none"/>
                <w:lang w:val="en-US" w:eastAsia="zh-CN" w:bidi="ar"/>
              </w:rPr>
              <w:t>以来</w:t>
            </w:r>
            <w:r>
              <w:rPr>
                <w:rFonts w:hint="eastAsia" w:ascii="宋体" w:hAnsi="宋体" w:cs="宋体"/>
                <w:color w:val="auto"/>
                <w:kern w:val="2"/>
                <w:sz w:val="21"/>
                <w:szCs w:val="21"/>
                <w:highlight w:val="none"/>
                <w:lang w:val="en-US" w:eastAsia="zh-CN" w:bidi="ar"/>
              </w:rPr>
              <w:t>承担过的</w:t>
            </w:r>
            <w:r>
              <w:rPr>
                <w:rFonts w:hint="eastAsia" w:ascii="宋体" w:hAnsi="宋体" w:eastAsia="宋体" w:cs="宋体"/>
                <w:color w:val="auto"/>
                <w:kern w:val="2"/>
                <w:sz w:val="21"/>
                <w:szCs w:val="21"/>
                <w:highlight w:val="none"/>
                <w:lang w:val="en-US" w:eastAsia="zh-CN" w:bidi="ar"/>
              </w:rPr>
              <w:t>尽职调查类</w:t>
            </w:r>
            <w:r>
              <w:rPr>
                <w:rFonts w:hint="eastAsia" w:cs="宋体"/>
                <w:color w:val="auto"/>
                <w:kern w:val="2"/>
                <w:sz w:val="21"/>
                <w:szCs w:val="21"/>
                <w:highlight w:val="none"/>
                <w:lang w:val="en-US" w:eastAsia="zh-CN" w:bidi="ar"/>
              </w:rPr>
              <w:t>类似业绩（需提供合同和相关报告，</w:t>
            </w:r>
            <w:r>
              <w:rPr>
                <w:rFonts w:hint="eastAsia" w:ascii="宋体" w:hAnsi="宋体" w:eastAsia="宋体" w:cs="宋体"/>
                <w:color w:val="auto"/>
                <w:kern w:val="2"/>
                <w:sz w:val="21"/>
                <w:szCs w:val="21"/>
                <w:highlight w:val="none"/>
                <w:lang w:val="en-US" w:eastAsia="zh-CN" w:bidi="ar"/>
              </w:rPr>
              <w:t>时间以</w:t>
            </w:r>
            <w:r>
              <w:rPr>
                <w:rFonts w:hint="eastAsia" w:cs="宋体"/>
                <w:color w:val="auto"/>
                <w:kern w:val="2"/>
                <w:sz w:val="21"/>
                <w:szCs w:val="21"/>
                <w:highlight w:val="none"/>
                <w:lang w:val="en-US" w:eastAsia="zh-CN" w:bidi="ar"/>
              </w:rPr>
              <w:t>报告出具时间</w:t>
            </w:r>
            <w:r>
              <w:rPr>
                <w:rFonts w:hint="eastAsia" w:ascii="宋体" w:hAnsi="宋体" w:eastAsia="宋体" w:cs="宋体"/>
                <w:color w:val="auto"/>
                <w:kern w:val="2"/>
                <w:sz w:val="21"/>
                <w:szCs w:val="21"/>
                <w:highlight w:val="none"/>
                <w:lang w:val="en-US" w:eastAsia="zh-CN" w:bidi="ar"/>
              </w:rPr>
              <w:t>为准）</w:t>
            </w:r>
            <w:r>
              <w:rPr>
                <w:rFonts w:hint="eastAsia" w:cs="宋体"/>
                <w:color w:val="auto"/>
                <w:kern w:val="2"/>
                <w:sz w:val="21"/>
                <w:szCs w:val="21"/>
                <w:highlight w:val="none"/>
                <w:lang w:val="en-US" w:eastAsia="zh-CN" w:bidi="ar"/>
              </w:rPr>
              <w:t>；</w:t>
            </w:r>
          </w:p>
        </w:tc>
        <w:tc>
          <w:tcPr>
            <w:tcW w:w="2654"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704" w:type="dxa"/>
            <w:vMerge w:val="continue"/>
            <w:noWrap w:val="0"/>
            <w:vAlign w:val="top"/>
          </w:tcPr>
          <w:p>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7" w:type="dxa"/>
            <w:vMerge w:val="continue"/>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4099" w:type="dxa"/>
            <w:noWrap w:val="0"/>
            <w:vAlign w:val="center"/>
          </w:tcPr>
          <w:p>
            <w:pPr>
              <w:keepNext w:val="0"/>
              <w:keepLines w:val="0"/>
              <w:suppressLineNumbers w:val="0"/>
              <w:spacing w:before="0" w:beforeAutospacing="0" w:after="0" w:afterAutospacing="0"/>
              <w:ind w:left="0" w:right="0"/>
              <w:rPr>
                <w:rFonts w:hint="eastAsia" w:ascii="宋体" w:hAnsi="宋体" w:cs="宋体"/>
                <w:color w:val="auto"/>
                <w:highlight w:val="none"/>
              </w:rPr>
            </w:pPr>
            <w:r>
              <w:rPr>
                <w:rFonts w:hint="eastAsia" w:ascii="宋体" w:hAnsi="宋体" w:cs="宋体"/>
                <w:color w:val="auto"/>
                <w:szCs w:val="21"/>
                <w:highlight w:val="none"/>
              </w:rPr>
              <w:t>诚信投标承诺书</w:t>
            </w:r>
          </w:p>
        </w:tc>
        <w:tc>
          <w:tcPr>
            <w:tcW w:w="2654"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highlight w:val="none"/>
              </w:rPr>
            </w:pPr>
          </w:p>
        </w:tc>
      </w:tr>
    </w:tbl>
    <w:p>
      <w:pPr>
        <w:spacing w:line="440" w:lineRule="atLeast"/>
        <w:ind w:firstLine="422" w:firstLineChars="200"/>
        <w:outlineLvl w:val="1"/>
        <w:rPr>
          <w:rFonts w:hint="eastAsia" w:ascii="宋体" w:hAnsi="宋体" w:cs="宋体"/>
          <w:b/>
          <w:bCs/>
          <w:color w:val="auto"/>
          <w:szCs w:val="21"/>
          <w:highlight w:val="none"/>
        </w:rPr>
      </w:pPr>
      <w:bookmarkStart w:id="59" w:name="_Toc15058904"/>
      <w:bookmarkStart w:id="60" w:name="_Toc35947224"/>
      <w:bookmarkStart w:id="61" w:name="_Toc35424941"/>
      <w:bookmarkStart w:id="62" w:name="_Toc19818"/>
      <w:bookmarkStart w:id="63" w:name="_Toc324404866"/>
      <w:bookmarkStart w:id="64" w:name="_Toc35425107"/>
      <w:bookmarkStart w:id="65" w:name="_Toc506107319"/>
      <w:r>
        <w:rPr>
          <w:rFonts w:hint="eastAsia" w:ascii="宋体" w:hAnsi="宋体" w:cs="宋体"/>
          <w:b/>
          <w:bCs/>
          <w:color w:val="auto"/>
          <w:szCs w:val="21"/>
          <w:highlight w:val="none"/>
        </w:rPr>
        <w:t>1.审查资料</w:t>
      </w:r>
      <w:bookmarkEnd w:id="59"/>
      <w:bookmarkEnd w:id="60"/>
      <w:bookmarkEnd w:id="61"/>
      <w:bookmarkEnd w:id="62"/>
      <w:bookmarkEnd w:id="63"/>
      <w:bookmarkEnd w:id="64"/>
      <w:bookmarkEnd w:id="65"/>
    </w:p>
    <w:p>
      <w:pPr>
        <w:spacing w:line="420" w:lineRule="exact"/>
        <w:ind w:left="10" w:right="-94" w:rightChars="-45"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①法定代表人身份证明文件和本人有效身份证(或法定代表人授权委托书和委托代理人有效身份证)； </w:t>
      </w:r>
    </w:p>
    <w:p>
      <w:pPr>
        <w:spacing w:line="420" w:lineRule="exact"/>
        <w:ind w:left="10" w:right="-94" w:rightChars="-45"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②企业法人营业执照（或三证合一的有效证件），投标人是事业单位的，提供事业单位法人证书；</w:t>
      </w:r>
    </w:p>
    <w:p>
      <w:pPr>
        <w:spacing w:line="420" w:lineRule="exact"/>
        <w:ind w:left="10" w:right="-94" w:rightChars="-45"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③</w:t>
      </w:r>
      <w:r>
        <w:rPr>
          <w:rFonts w:hint="eastAsia" w:ascii="宋体" w:hAnsi="宋体" w:cs="宋体"/>
          <w:color w:val="auto"/>
          <w:szCs w:val="21"/>
          <w:highlight w:val="none"/>
          <w:lang w:val="en-US" w:eastAsia="zh-CN"/>
        </w:rPr>
        <w:t>业绩证明材料；</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eastAsia" w:ascii="宋体" w:hAnsi="宋体" w:cs="宋体"/>
          <w:color w:val="auto"/>
          <w:szCs w:val="21"/>
          <w:highlight w:val="none"/>
        </w:rPr>
      </w:pPr>
      <w:r>
        <w:rPr>
          <w:rFonts w:hint="eastAsia" w:ascii="宋体" w:hAnsi="宋体" w:cs="宋体"/>
          <w:color w:val="auto"/>
          <w:szCs w:val="21"/>
          <w:highlight w:val="none"/>
        </w:rPr>
        <w:t>④诚信投标承诺书。</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宋体" w:hAnsi="宋体" w:cs="宋体"/>
          <w:b/>
          <w:bCs/>
          <w:color w:val="auto"/>
          <w:szCs w:val="21"/>
          <w:highlight w:val="none"/>
        </w:rPr>
      </w:pPr>
      <w:r>
        <w:rPr>
          <w:rFonts w:hint="eastAsia" w:ascii="宋体" w:hAnsi="宋体" w:cs="宋体"/>
          <w:b/>
          <w:bCs/>
          <w:color w:val="auto"/>
          <w:szCs w:val="21"/>
          <w:highlight w:val="none"/>
        </w:rPr>
        <w:t>2.审查办法</w:t>
      </w:r>
      <w:bookmarkEnd w:id="52"/>
      <w:bookmarkEnd w:id="53"/>
      <w:bookmarkEnd w:id="54"/>
      <w:bookmarkEnd w:id="55"/>
      <w:bookmarkEnd w:id="56"/>
      <w:bookmarkEnd w:id="57"/>
      <w:bookmarkEnd w:id="58"/>
    </w:p>
    <w:p>
      <w:pPr>
        <w:keepNext w:val="0"/>
        <w:keepLines w:val="0"/>
        <w:pageBreakBefore w:val="0"/>
        <w:widowControl w:val="0"/>
        <w:kinsoku/>
        <w:wordWrap/>
        <w:overflowPunct/>
        <w:topLinePunct w:val="0"/>
        <w:autoSpaceDE/>
        <w:autoSpaceDN/>
        <w:bidi w:val="0"/>
        <w:adjustRightInd/>
        <w:snapToGrid/>
        <w:spacing w:line="440" w:lineRule="exact"/>
        <w:ind w:left="10"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1、由资格审查委员会（评标委员会）按资格审查办法前附表中资格审查必要合格条件评审表要求对投标人审查资料进行核验。投标人有下列情形之一的，其资格审查为不合格：</w:t>
      </w:r>
      <w:bookmarkStart w:id="66" w:name="_Toc324404868"/>
      <w:bookmarkStart w:id="67" w:name="_Toc21611171"/>
      <w:bookmarkStart w:id="68" w:name="_Toc506107321"/>
    </w:p>
    <w:p>
      <w:pPr>
        <w:keepNext w:val="0"/>
        <w:keepLines w:val="0"/>
        <w:pageBreakBefore w:val="0"/>
        <w:widowControl w:val="0"/>
        <w:kinsoku/>
        <w:wordWrap/>
        <w:overflowPunct/>
        <w:topLinePunct w:val="0"/>
        <w:autoSpaceDE/>
        <w:autoSpaceDN/>
        <w:bidi w:val="0"/>
        <w:adjustRightInd/>
        <w:snapToGrid/>
        <w:spacing w:line="440" w:lineRule="exact"/>
        <w:ind w:left="10"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（1）不能按要求提供证明材料或证明材料经审查不合格；</w:t>
      </w:r>
    </w:p>
    <w:p>
      <w:pPr>
        <w:keepNext w:val="0"/>
        <w:keepLines w:val="0"/>
        <w:pageBreakBefore w:val="0"/>
        <w:widowControl w:val="0"/>
        <w:kinsoku/>
        <w:wordWrap/>
        <w:overflowPunct/>
        <w:topLinePunct w:val="0"/>
        <w:autoSpaceDE/>
        <w:autoSpaceDN/>
        <w:bidi w:val="0"/>
        <w:adjustRightInd/>
        <w:snapToGrid/>
        <w:spacing w:line="440" w:lineRule="exact"/>
        <w:ind w:left="10"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（2）法律、法规规定的其他情形。</w:t>
      </w:r>
    </w:p>
    <w:p>
      <w:pPr>
        <w:keepNext w:val="0"/>
        <w:keepLines w:val="0"/>
        <w:pageBreakBefore w:val="0"/>
        <w:widowControl w:val="0"/>
        <w:kinsoku/>
        <w:wordWrap/>
        <w:overflowPunct/>
        <w:topLinePunct w:val="0"/>
        <w:autoSpaceDE/>
        <w:autoSpaceDN/>
        <w:bidi w:val="0"/>
        <w:adjustRightInd/>
        <w:snapToGrid/>
        <w:spacing w:line="440" w:lineRule="exact"/>
        <w:ind w:left="10" w:right="-94" w:rightChars="-45" w:firstLine="420" w:firstLineChars="200"/>
        <w:textAlignment w:val="auto"/>
        <w:rPr>
          <w:rFonts w:hint="eastAsia"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宋体" w:hAnsi="宋体" w:cs="宋体"/>
          <w:b/>
          <w:bCs/>
          <w:color w:val="auto"/>
          <w:szCs w:val="21"/>
          <w:highlight w:val="none"/>
        </w:rPr>
      </w:pPr>
      <w:bookmarkStart w:id="69" w:name="_Toc10310"/>
      <w:r>
        <w:rPr>
          <w:rFonts w:hint="eastAsia" w:ascii="宋体" w:hAnsi="宋体" w:cs="宋体"/>
          <w:b/>
          <w:bCs/>
          <w:color w:val="auto"/>
          <w:szCs w:val="21"/>
          <w:highlight w:val="none"/>
        </w:rPr>
        <w:t>3.资格审查委员会和审查标准</w:t>
      </w:r>
      <w:bookmarkEnd w:id="66"/>
      <w:bookmarkEnd w:id="67"/>
      <w:bookmarkEnd w:id="68"/>
      <w:bookmarkEnd w:id="69"/>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资格审查由招标人依法组建的资格审查委员会（或评标委员会）负责。审查标准见资格审查办法前附表。</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宋体" w:hAnsi="宋体" w:cs="宋体"/>
          <w:b/>
          <w:bCs/>
          <w:color w:val="auto"/>
          <w:szCs w:val="21"/>
          <w:highlight w:val="none"/>
        </w:rPr>
      </w:pPr>
      <w:bookmarkStart w:id="70" w:name="_Toc21950"/>
      <w:bookmarkStart w:id="71" w:name="_Toc324404869"/>
      <w:bookmarkStart w:id="72" w:name="_Toc21611172"/>
      <w:bookmarkStart w:id="73" w:name="_Toc506107322"/>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宋体" w:hAnsi="宋体" w:cs="宋体"/>
          <w:b/>
          <w:bCs/>
          <w:color w:val="auto"/>
          <w:szCs w:val="21"/>
          <w:highlight w:val="none"/>
        </w:rPr>
      </w:pPr>
      <w:r>
        <w:rPr>
          <w:rFonts w:hint="eastAsia" w:ascii="宋体" w:hAnsi="宋体" w:cs="宋体"/>
          <w:b/>
          <w:bCs/>
          <w:color w:val="auto"/>
          <w:szCs w:val="21"/>
          <w:highlight w:val="none"/>
        </w:rPr>
        <w:t>4.审查结果</w:t>
      </w:r>
      <w:bookmarkEnd w:id="70"/>
      <w:bookmarkEnd w:id="71"/>
      <w:bookmarkEnd w:id="72"/>
      <w:bookmarkEnd w:id="73"/>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只有通过资格审查的投标人才能进入下一步的评标程序。</w:t>
      </w:r>
    </w:p>
    <w:p>
      <w:pPr>
        <w:pStyle w:val="2"/>
        <w:rPr>
          <w:rFonts w:hint="eastAsia" w:ascii="宋体" w:hAnsi="宋体" w:cs="宋体"/>
          <w:color w:val="auto"/>
          <w:sz w:val="32"/>
          <w:szCs w:val="32"/>
          <w:highlight w:val="none"/>
        </w:rPr>
      </w:pPr>
      <w:bookmarkStart w:id="74" w:name="_Toc26446"/>
      <w:bookmarkStart w:id="75" w:name="_Toc11688"/>
      <w:bookmarkStart w:id="76" w:name="_Toc29159"/>
      <w:bookmarkStart w:id="77" w:name="_Toc14848"/>
      <w:r>
        <w:rPr>
          <w:rFonts w:hint="eastAsia" w:ascii="宋体" w:hAnsi="宋体" w:cs="宋体"/>
          <w:color w:val="auto"/>
          <w:sz w:val="32"/>
          <w:szCs w:val="32"/>
          <w:highlight w:val="none"/>
        </w:rPr>
        <w:t>二、</w:t>
      </w:r>
      <w:bookmarkEnd w:id="74"/>
      <w:bookmarkEnd w:id="75"/>
      <w:bookmarkEnd w:id="76"/>
      <w:r>
        <w:rPr>
          <w:rFonts w:hint="eastAsia" w:ascii="宋体" w:hAnsi="宋体" w:cs="宋体"/>
          <w:color w:val="auto"/>
          <w:sz w:val="32"/>
          <w:szCs w:val="32"/>
          <w:highlight w:val="none"/>
        </w:rPr>
        <w:t>投标文件评审</w:t>
      </w:r>
      <w:bookmarkEnd w:id="77"/>
    </w:p>
    <w:p>
      <w:pPr>
        <w:keepNext w:val="0"/>
        <w:keepLines w:val="0"/>
        <w:widowControl w:val="0"/>
        <w:suppressLineNumbers w:val="0"/>
        <w:autoSpaceDE w:val="0"/>
        <w:autoSpaceDN/>
        <w:spacing w:before="0" w:beforeAutospacing="0" w:after="0" w:afterAutospacing="0" w:line="440" w:lineRule="exact"/>
        <w:ind w:right="0"/>
        <w:jc w:val="both"/>
        <w:rPr>
          <w:rFonts w:hint="eastAsia" w:ascii="宋体" w:hAnsi="宋体" w:eastAsia="宋体" w:cs="Times New Roman"/>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（一）资信评审细则（</w:t>
      </w:r>
      <w:r>
        <w:rPr>
          <w:rFonts w:hint="eastAsia" w:ascii="宋体" w:hAnsi="宋体" w:cs="宋体"/>
          <w:b/>
          <w:bCs w:val="0"/>
          <w:color w:val="auto"/>
          <w:kern w:val="2"/>
          <w:sz w:val="21"/>
          <w:szCs w:val="21"/>
          <w:highlight w:val="none"/>
          <w:lang w:val="en-US" w:eastAsia="zh-CN" w:bidi="ar"/>
        </w:rPr>
        <w:t>7</w:t>
      </w:r>
      <w:r>
        <w:rPr>
          <w:rFonts w:hint="eastAsia" w:ascii="宋体" w:hAnsi="宋体" w:eastAsia="宋体" w:cs="宋体"/>
          <w:b/>
          <w:bCs w:val="0"/>
          <w:color w:val="auto"/>
          <w:kern w:val="2"/>
          <w:sz w:val="21"/>
          <w:szCs w:val="21"/>
          <w:highlight w:val="none"/>
          <w:lang w:val="en-US" w:eastAsia="zh-CN" w:bidi="ar"/>
        </w:rPr>
        <w:t>0分）</w:t>
      </w:r>
    </w:p>
    <w:tbl>
      <w:tblPr>
        <w:tblStyle w:val="44"/>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20"/>
        <w:gridCol w:w="7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162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评分因素</w:t>
            </w:r>
          </w:p>
        </w:tc>
        <w:tc>
          <w:tcPr>
            <w:tcW w:w="707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62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40" w:lineRule="exact"/>
              <w:ind w:left="0" w:right="0" w:firstLine="0" w:firstLineChars="0"/>
              <w:jc w:val="center"/>
              <w:rPr>
                <w:rFonts w:hint="eastAsia" w:ascii="宋体" w:hAnsi="宋体" w:eastAsia="宋体" w:cs="宋体"/>
                <w:color w:val="auto"/>
                <w:kern w:val="2"/>
                <w:sz w:val="21"/>
                <w:szCs w:val="21"/>
                <w:highlight w:val="none"/>
              </w:rPr>
            </w:pPr>
            <w:r>
              <w:rPr>
                <w:rFonts w:hint="eastAsia" w:ascii="Times New Roman" w:hAnsi="Times New Roman" w:eastAsia="宋体" w:cs="Times New Roman"/>
                <w:b/>
                <w:bCs/>
                <w:color w:val="auto"/>
                <w:kern w:val="2"/>
                <w:sz w:val="21"/>
                <w:highlight w:val="none"/>
              </w:rPr>
              <w:t>企业业绩（</w:t>
            </w:r>
            <w:r>
              <w:rPr>
                <w:rFonts w:hint="eastAsia" w:cs="Times New Roman"/>
                <w:b/>
                <w:bCs/>
                <w:color w:val="auto"/>
                <w:kern w:val="2"/>
                <w:sz w:val="21"/>
                <w:highlight w:val="none"/>
                <w:lang w:val="en-US" w:eastAsia="zh-CN"/>
              </w:rPr>
              <w:t>3</w:t>
            </w:r>
            <w:r>
              <w:rPr>
                <w:rFonts w:hint="eastAsia" w:ascii="Times New Roman" w:hAnsi="Times New Roman" w:eastAsia="宋体" w:cs="Times New Roman"/>
                <w:b/>
                <w:bCs/>
                <w:color w:val="auto"/>
                <w:kern w:val="2"/>
                <w:sz w:val="21"/>
                <w:highlight w:val="none"/>
              </w:rPr>
              <w:t>0分）</w:t>
            </w:r>
          </w:p>
        </w:tc>
        <w:tc>
          <w:tcPr>
            <w:tcW w:w="707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tabs>
                <w:tab w:val="right" w:leader="dot" w:pos="8306"/>
              </w:tabs>
              <w:spacing w:before="0" w:beforeAutospacing="0" w:after="0" w:afterAutospacing="0" w:line="440" w:lineRule="exact"/>
              <w:ind w:left="0" w:right="0" w:firstLine="0" w:firstLineChars="0"/>
              <w:rPr>
                <w:rFonts w:hint="eastAsia" w:cs="Times New Roman"/>
                <w:color w:val="auto"/>
                <w:kern w:val="2"/>
                <w:sz w:val="21"/>
                <w:highlight w:val="none"/>
                <w:lang w:eastAsia="zh-CN"/>
              </w:rPr>
            </w:pPr>
            <w:r>
              <w:rPr>
                <w:rFonts w:hint="eastAsia" w:ascii="Times New Roman" w:hAnsi="Times New Roman" w:eastAsia="宋体" w:cs="Times New Roman"/>
                <w:color w:val="auto"/>
                <w:kern w:val="2"/>
                <w:sz w:val="21"/>
                <w:highlight w:val="none"/>
              </w:rPr>
              <w:t>自202</w:t>
            </w:r>
            <w:r>
              <w:rPr>
                <w:rFonts w:hint="eastAsia" w:cs="Times New Roman"/>
                <w:color w:val="auto"/>
                <w:kern w:val="2"/>
                <w:sz w:val="21"/>
                <w:highlight w:val="none"/>
                <w:lang w:val="en-US" w:eastAsia="zh-CN"/>
              </w:rPr>
              <w:t>2</w:t>
            </w:r>
            <w:r>
              <w:rPr>
                <w:rFonts w:hint="eastAsia" w:ascii="Times New Roman" w:hAnsi="Times New Roman" w:eastAsia="宋体" w:cs="Times New Roman"/>
                <w:color w:val="auto"/>
                <w:kern w:val="2"/>
                <w:sz w:val="21"/>
                <w:highlight w:val="none"/>
              </w:rPr>
              <w:t>年</w:t>
            </w:r>
            <w:r>
              <w:rPr>
                <w:rFonts w:hint="eastAsia" w:cs="Times New Roman"/>
                <w:color w:val="auto"/>
                <w:kern w:val="2"/>
                <w:sz w:val="21"/>
                <w:highlight w:val="none"/>
                <w:lang w:val="en-US" w:eastAsia="zh-CN"/>
              </w:rPr>
              <w:t>1</w:t>
            </w:r>
            <w:r>
              <w:rPr>
                <w:rFonts w:hint="eastAsia" w:ascii="Times New Roman" w:hAnsi="Times New Roman" w:eastAsia="宋体" w:cs="Times New Roman"/>
                <w:color w:val="auto"/>
                <w:kern w:val="2"/>
                <w:sz w:val="21"/>
                <w:highlight w:val="none"/>
              </w:rPr>
              <w:t>月1日至投标截止时间</w:t>
            </w:r>
            <w:r>
              <w:rPr>
                <w:rFonts w:hint="eastAsia" w:cs="Times New Roman"/>
                <w:color w:val="auto"/>
                <w:kern w:val="2"/>
                <w:sz w:val="21"/>
                <w:highlight w:val="none"/>
                <w:lang w:eastAsia="zh-CN"/>
              </w:rPr>
              <w:t>：</w:t>
            </w:r>
          </w:p>
          <w:p>
            <w:pPr>
              <w:keepNext w:val="0"/>
              <w:keepLines w:val="0"/>
              <w:widowControl w:val="0"/>
              <w:suppressLineNumbers w:val="0"/>
              <w:tabs>
                <w:tab w:val="right" w:leader="dot" w:pos="8306"/>
              </w:tabs>
              <w:spacing w:before="0" w:beforeAutospacing="0" w:after="0" w:afterAutospacing="0" w:line="440" w:lineRule="exact"/>
              <w:ind w:left="0" w:right="0" w:firstLine="0" w:firstLineChars="0"/>
              <w:rPr>
                <w:rFonts w:hint="eastAsia" w:cs="Times New Roman"/>
                <w:color w:val="auto"/>
                <w:kern w:val="2"/>
                <w:sz w:val="21"/>
                <w:highlight w:val="none"/>
                <w:lang w:val="en-US" w:eastAsia="zh-CN"/>
              </w:rPr>
            </w:pPr>
            <w:r>
              <w:rPr>
                <w:rFonts w:hint="eastAsia" w:cs="Times New Roman"/>
                <w:color w:val="auto"/>
                <w:kern w:val="2"/>
                <w:sz w:val="21"/>
                <w:highlight w:val="none"/>
                <w:lang w:eastAsia="zh-CN"/>
              </w:rPr>
              <w:t>（</w:t>
            </w:r>
            <w:r>
              <w:rPr>
                <w:rFonts w:hint="eastAsia" w:cs="Times New Roman"/>
                <w:color w:val="auto"/>
                <w:kern w:val="2"/>
                <w:sz w:val="21"/>
                <w:highlight w:val="none"/>
                <w:lang w:val="en-US" w:eastAsia="zh-CN"/>
              </w:rPr>
              <w:t>1）</w:t>
            </w:r>
            <w:r>
              <w:rPr>
                <w:rFonts w:hint="eastAsia" w:ascii="Times New Roman" w:hAnsi="Times New Roman" w:eastAsia="宋体" w:cs="Times New Roman"/>
                <w:color w:val="auto"/>
                <w:kern w:val="2"/>
                <w:sz w:val="21"/>
                <w:highlight w:val="none"/>
              </w:rPr>
              <w:t>投标单位每承担过一个同时包含业务、财务、法务的综合尽职调查相关项目报告编制的得10分，</w:t>
            </w:r>
            <w:r>
              <w:rPr>
                <w:rFonts w:hint="eastAsia" w:cs="Times New Roman"/>
                <w:color w:val="auto"/>
                <w:kern w:val="2"/>
                <w:sz w:val="21"/>
                <w:highlight w:val="none"/>
                <w:lang w:val="en-US" w:eastAsia="zh-CN"/>
              </w:rPr>
              <w:t>其中尽调目标</w:t>
            </w:r>
            <w:r>
              <w:rPr>
                <w:rFonts w:hint="eastAsia" w:ascii="Times New Roman" w:hAnsi="Times New Roman" w:eastAsia="宋体" w:cs="Times New Roman"/>
                <w:color w:val="auto"/>
                <w:kern w:val="2"/>
                <w:sz w:val="21"/>
                <w:highlight w:val="none"/>
              </w:rPr>
              <w:t>单位经营范围为环保产业的</w:t>
            </w:r>
            <w:r>
              <w:rPr>
                <w:rFonts w:hint="eastAsia" w:cs="Times New Roman"/>
                <w:color w:val="auto"/>
                <w:kern w:val="2"/>
                <w:sz w:val="21"/>
                <w:highlight w:val="none"/>
                <w:lang w:val="en-US" w:eastAsia="zh-CN"/>
              </w:rPr>
              <w:t>另</w:t>
            </w:r>
            <w:r>
              <w:rPr>
                <w:rFonts w:hint="eastAsia" w:ascii="Times New Roman" w:hAnsi="Times New Roman" w:eastAsia="宋体" w:cs="Times New Roman"/>
                <w:color w:val="auto"/>
                <w:kern w:val="2"/>
                <w:sz w:val="21"/>
                <w:highlight w:val="none"/>
              </w:rPr>
              <w:t>加10分</w:t>
            </w:r>
            <w:r>
              <w:rPr>
                <w:rFonts w:hint="eastAsia" w:cs="Times New Roman"/>
                <w:color w:val="auto"/>
                <w:kern w:val="2"/>
                <w:sz w:val="21"/>
                <w:highlight w:val="none"/>
                <w:lang w:eastAsia="zh-CN"/>
              </w:rPr>
              <w:t>，</w:t>
            </w:r>
            <w:r>
              <w:rPr>
                <w:rFonts w:hint="eastAsia" w:cs="Times New Roman"/>
                <w:color w:val="auto"/>
                <w:kern w:val="2"/>
                <w:sz w:val="21"/>
                <w:highlight w:val="none"/>
                <w:lang w:val="en-US" w:eastAsia="zh-CN"/>
              </w:rPr>
              <w:t>满分30分；</w:t>
            </w:r>
          </w:p>
          <w:p>
            <w:pPr>
              <w:keepNext w:val="0"/>
              <w:keepLines w:val="0"/>
              <w:widowControl w:val="0"/>
              <w:suppressLineNumbers w:val="0"/>
              <w:tabs>
                <w:tab w:val="right" w:leader="dot" w:pos="8306"/>
              </w:tabs>
              <w:spacing w:before="0" w:beforeAutospacing="0" w:after="0" w:afterAutospacing="0" w:line="440" w:lineRule="exact"/>
              <w:ind w:left="0" w:right="0" w:firstLine="0" w:firstLineChars="0"/>
              <w:rPr>
                <w:rFonts w:hint="default" w:eastAsia="宋体" w:cs="Times New Roman"/>
                <w:color w:val="auto"/>
                <w:kern w:val="2"/>
                <w:sz w:val="21"/>
                <w:highlight w:val="none"/>
                <w:lang w:val="en-US" w:eastAsia="zh-CN"/>
              </w:rPr>
            </w:pPr>
            <w:r>
              <w:rPr>
                <w:rFonts w:hint="eastAsia" w:cs="Times New Roman"/>
                <w:color w:val="auto"/>
                <w:kern w:val="2"/>
                <w:sz w:val="21"/>
                <w:highlight w:val="none"/>
                <w:lang w:val="en-US" w:eastAsia="zh-CN"/>
              </w:rPr>
              <w:t>（2）</w:t>
            </w:r>
            <w:r>
              <w:rPr>
                <w:rFonts w:hint="eastAsia" w:ascii="Times New Roman" w:hAnsi="Times New Roman" w:eastAsia="宋体" w:cs="Times New Roman"/>
                <w:color w:val="auto"/>
                <w:kern w:val="2"/>
                <w:sz w:val="21"/>
                <w:highlight w:val="none"/>
              </w:rPr>
              <w:t>投标单位每承担过一个仅包含业务、财务、法务中的部分内容的非综合尽职调查相关项目报告编制的得5分</w:t>
            </w:r>
            <w:r>
              <w:rPr>
                <w:rFonts w:hint="eastAsia" w:cs="Times New Roman"/>
                <w:color w:val="auto"/>
                <w:kern w:val="2"/>
                <w:sz w:val="21"/>
                <w:highlight w:val="none"/>
                <w:lang w:eastAsia="zh-CN"/>
              </w:rPr>
              <w:t>，</w:t>
            </w:r>
            <w:r>
              <w:rPr>
                <w:rFonts w:hint="eastAsia" w:cs="Times New Roman"/>
                <w:color w:val="auto"/>
                <w:kern w:val="2"/>
                <w:sz w:val="21"/>
                <w:highlight w:val="none"/>
                <w:lang w:val="en-US" w:eastAsia="zh-CN"/>
              </w:rPr>
              <w:t>满分10分；</w:t>
            </w:r>
          </w:p>
          <w:p>
            <w:pPr>
              <w:keepNext w:val="0"/>
              <w:keepLines w:val="0"/>
              <w:widowControl w:val="0"/>
              <w:suppressLineNumbers w:val="0"/>
              <w:tabs>
                <w:tab w:val="right" w:leader="dot" w:pos="8306"/>
              </w:tabs>
              <w:spacing w:before="0" w:beforeAutospacing="0" w:after="0" w:afterAutospacing="0" w:line="440" w:lineRule="exact"/>
              <w:ind w:left="0" w:right="0" w:firstLine="0" w:firstLineChars="0"/>
              <w:rPr>
                <w:rFonts w:hint="eastAsia" w:ascii="宋体" w:hAnsi="宋体" w:eastAsia="宋体" w:cs="宋体"/>
                <w:color w:val="auto"/>
                <w:kern w:val="2"/>
                <w:sz w:val="21"/>
                <w:szCs w:val="21"/>
                <w:highlight w:val="none"/>
                <w:lang w:eastAsia="zh-CN"/>
              </w:rPr>
            </w:pPr>
            <w:r>
              <w:rPr>
                <w:rFonts w:hint="eastAsia" w:cs="Times New Roman"/>
                <w:color w:val="auto"/>
                <w:kern w:val="2"/>
                <w:sz w:val="21"/>
                <w:highlight w:val="none"/>
                <w:lang w:val="en-US" w:eastAsia="zh-CN"/>
              </w:rPr>
              <w:t>注：</w:t>
            </w:r>
            <w:r>
              <w:rPr>
                <w:rFonts w:hint="eastAsia" w:ascii="Times New Roman" w:hAnsi="Times New Roman" w:eastAsia="宋体" w:cs="Times New Roman"/>
                <w:color w:val="auto"/>
                <w:kern w:val="2"/>
                <w:sz w:val="21"/>
                <w:highlight w:val="none"/>
              </w:rPr>
              <w:t>投标单位提供不超过2个业绩证明材料</w:t>
            </w:r>
            <w:r>
              <w:rPr>
                <w:rFonts w:hint="eastAsia" w:cs="Times New Roman"/>
                <w:color w:val="auto"/>
                <w:kern w:val="2"/>
                <w:sz w:val="21"/>
                <w:highlight w:val="none"/>
                <w:lang w:eastAsia="zh-CN"/>
              </w:rPr>
              <w:t>（</w:t>
            </w:r>
            <w:r>
              <w:rPr>
                <w:rFonts w:hint="eastAsia" w:cs="Times New Roman"/>
                <w:color w:val="auto"/>
                <w:kern w:val="2"/>
                <w:sz w:val="21"/>
                <w:highlight w:val="none"/>
                <w:lang w:val="en-US" w:eastAsia="zh-CN"/>
              </w:rPr>
              <w:t>含资格审查业绩），</w:t>
            </w:r>
            <w:r>
              <w:rPr>
                <w:rFonts w:hint="eastAsia" w:ascii="Times New Roman" w:hAnsi="Times New Roman" w:eastAsia="宋体" w:cs="Times New Roman"/>
                <w:color w:val="auto"/>
                <w:kern w:val="2"/>
                <w:sz w:val="21"/>
                <w:highlight w:val="none"/>
              </w:rPr>
              <w:t>须提供合同原件扫描，如合同内容不能够充分有效证明该项业绩的服务内容，则须提供相关报告原件</w:t>
            </w:r>
            <w:r>
              <w:rPr>
                <w:rFonts w:hint="eastAsia" w:cs="Times New Roman"/>
                <w:color w:val="auto"/>
                <w:kern w:val="2"/>
                <w:sz w:val="21"/>
                <w:highlight w:val="none"/>
                <w:lang w:val="en-US" w:eastAsia="zh-CN"/>
              </w:rPr>
              <w:t>扫描件</w:t>
            </w:r>
            <w:r>
              <w:rPr>
                <w:rFonts w:hint="eastAsia" w:ascii="Times New Roman" w:hAnsi="Times New Roman" w:eastAsia="宋体" w:cs="Times New Roman"/>
                <w:color w:val="auto"/>
                <w:kern w:val="2"/>
                <w:sz w:val="21"/>
                <w:highlight w:val="none"/>
              </w:rPr>
              <w:t>（原件涉及隐私保密部分可不提供，但提供内容需证明该报告包含业务</w:t>
            </w:r>
            <w:r>
              <w:rPr>
                <w:rFonts w:hint="eastAsia" w:cs="Times New Roman"/>
                <w:color w:val="auto"/>
                <w:kern w:val="2"/>
                <w:sz w:val="21"/>
                <w:highlight w:val="none"/>
                <w:lang w:eastAsia="zh-CN"/>
              </w:rPr>
              <w:t>、</w:t>
            </w:r>
            <w:r>
              <w:rPr>
                <w:rFonts w:hint="eastAsia" w:ascii="Times New Roman" w:hAnsi="Times New Roman" w:eastAsia="宋体" w:cs="Times New Roman"/>
                <w:color w:val="auto"/>
                <w:kern w:val="2"/>
                <w:sz w:val="21"/>
                <w:highlight w:val="none"/>
              </w:rPr>
              <w:t>财务</w:t>
            </w:r>
            <w:r>
              <w:rPr>
                <w:rFonts w:hint="eastAsia" w:cs="Times New Roman"/>
                <w:color w:val="auto"/>
                <w:kern w:val="2"/>
                <w:sz w:val="21"/>
                <w:highlight w:val="none"/>
                <w:lang w:eastAsia="zh-CN"/>
              </w:rPr>
              <w:t>、</w:t>
            </w:r>
            <w:r>
              <w:rPr>
                <w:rFonts w:hint="eastAsia" w:ascii="Times New Roman" w:hAnsi="Times New Roman" w:eastAsia="宋体" w:cs="Times New Roman"/>
                <w:color w:val="auto"/>
                <w:kern w:val="2"/>
                <w:sz w:val="21"/>
                <w:highlight w:val="none"/>
              </w:rPr>
              <w:t>法务相关方面的内容且相关页面均需盖章）或业主单位出具的加盖单位公章的证明材料</w:t>
            </w:r>
            <w:r>
              <w:rPr>
                <w:rFonts w:hint="eastAsia" w:cs="Times New Roman"/>
                <w:color w:val="auto"/>
                <w:kern w:val="2"/>
                <w:sz w:val="21"/>
                <w:highlight w:val="none"/>
                <w:lang w:val="en-US" w:eastAsia="zh-CN"/>
              </w:rPr>
              <w:t>扫描件</w:t>
            </w:r>
            <w:r>
              <w:rPr>
                <w:rFonts w:hint="eastAsia" w:ascii="Times New Roman" w:hAnsi="Times New Roman" w:eastAsia="宋体" w:cs="Times New Roman"/>
                <w:color w:val="auto"/>
                <w:kern w:val="2"/>
                <w:sz w:val="21"/>
                <w:highlight w:val="none"/>
              </w:rPr>
              <w:t>。业绩时间以</w:t>
            </w:r>
            <w:r>
              <w:rPr>
                <w:rFonts w:hint="eastAsia" w:cs="Times New Roman"/>
                <w:color w:val="auto"/>
                <w:kern w:val="2"/>
                <w:sz w:val="21"/>
                <w:highlight w:val="none"/>
                <w:lang w:val="en-US" w:eastAsia="zh-CN"/>
              </w:rPr>
              <w:t>报告出具时间</w:t>
            </w:r>
            <w:r>
              <w:rPr>
                <w:rFonts w:hint="eastAsia" w:ascii="Times New Roman" w:hAnsi="Times New Roman" w:eastAsia="宋体" w:cs="Times New Roman"/>
                <w:color w:val="auto"/>
                <w:kern w:val="2"/>
                <w:sz w:val="21"/>
                <w:highlight w:val="none"/>
              </w:rPr>
              <w:t>为准。环保产业需提供</w:t>
            </w:r>
            <w:r>
              <w:rPr>
                <w:rFonts w:hint="eastAsia" w:cs="Times New Roman"/>
                <w:color w:val="auto"/>
                <w:kern w:val="2"/>
                <w:sz w:val="21"/>
                <w:highlight w:val="none"/>
                <w:lang w:val="en-US" w:eastAsia="zh-CN"/>
              </w:rPr>
              <w:t>业绩材料目标单位</w:t>
            </w:r>
            <w:r>
              <w:rPr>
                <w:rFonts w:hint="eastAsia" w:ascii="Times New Roman" w:hAnsi="Times New Roman" w:eastAsia="宋体" w:cs="Times New Roman"/>
                <w:color w:val="auto"/>
                <w:kern w:val="2"/>
                <w:sz w:val="21"/>
                <w:highlight w:val="none"/>
              </w:rPr>
              <w:t>的营业执照或工商信息截图，工商信息截图内容需包含经营范围</w:t>
            </w:r>
            <w:r>
              <w:rPr>
                <w:rFonts w:hint="eastAsia" w:cs="Times New Roman"/>
                <w:color w:val="auto"/>
                <w:kern w:val="2"/>
                <w:sz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40" w:lineRule="exact"/>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w:t>
            </w:r>
          </w:p>
        </w:tc>
        <w:tc>
          <w:tcPr>
            <w:tcW w:w="162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4"/>
                <w:highlight w:val="none"/>
                <w:lang w:val="en-US" w:eastAsia="zh-CN" w:bidi="ar-SA"/>
              </w:rPr>
            </w:pPr>
            <w:r>
              <w:rPr>
                <w:rFonts w:hint="eastAsia" w:ascii="Times New Roman" w:hAnsi="Times New Roman" w:eastAsia="宋体" w:cs="Times New Roman"/>
                <w:b/>
                <w:bCs/>
                <w:color w:val="auto"/>
                <w:kern w:val="2"/>
                <w:sz w:val="21"/>
                <w:highlight w:val="none"/>
                <w:lang w:val="en-US" w:eastAsia="zh-CN"/>
              </w:rPr>
              <w:t>服务人员（</w:t>
            </w:r>
            <w:r>
              <w:rPr>
                <w:rFonts w:hint="eastAsia" w:cs="Times New Roman"/>
                <w:b/>
                <w:bCs/>
                <w:color w:val="auto"/>
                <w:kern w:val="2"/>
                <w:sz w:val="21"/>
                <w:highlight w:val="none"/>
                <w:lang w:val="en-US" w:eastAsia="zh-CN"/>
              </w:rPr>
              <w:t>4</w:t>
            </w:r>
            <w:r>
              <w:rPr>
                <w:rFonts w:hint="eastAsia" w:ascii="Times New Roman" w:hAnsi="Times New Roman" w:eastAsia="宋体" w:cs="Times New Roman"/>
                <w:b/>
                <w:bCs/>
                <w:color w:val="auto"/>
                <w:kern w:val="2"/>
                <w:sz w:val="21"/>
                <w:highlight w:val="none"/>
                <w:lang w:val="en-US" w:eastAsia="zh-CN"/>
              </w:rPr>
              <w:t>0分）</w:t>
            </w:r>
          </w:p>
        </w:tc>
        <w:tc>
          <w:tcPr>
            <w:tcW w:w="707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tabs>
                <w:tab w:val="right" w:leader="dot" w:pos="8306"/>
              </w:tabs>
              <w:spacing w:before="0" w:beforeAutospacing="0" w:after="0" w:afterAutospacing="0" w:line="440" w:lineRule="exact"/>
              <w:ind w:left="0" w:right="0" w:firstLine="0" w:firstLineChars="0"/>
              <w:rPr>
                <w:rFonts w:hint="eastAsia" w:ascii="Times New Roman" w:hAnsi="Times New Roman" w:eastAsia="宋体" w:cs="Times New Roman"/>
                <w:color w:val="auto"/>
                <w:kern w:val="2"/>
                <w:sz w:val="21"/>
                <w:highlight w:val="none"/>
                <w:lang w:val="en-US" w:eastAsia="zh-CN"/>
              </w:rPr>
            </w:pPr>
            <w:r>
              <w:rPr>
                <w:rFonts w:hint="eastAsia" w:ascii="宋体" w:hAnsi="宋体" w:eastAsia="宋体" w:cs="宋体"/>
                <w:bCs/>
                <w:color w:val="auto"/>
                <w:kern w:val="2"/>
                <w:highlight w:val="none"/>
              </w:rPr>
              <w:t>拟组建的服务</w:t>
            </w:r>
            <w:r>
              <w:rPr>
                <w:rFonts w:hint="eastAsia" w:ascii="Times New Roman" w:hAnsi="Times New Roman" w:eastAsia="宋体" w:cs="Times New Roman"/>
                <w:color w:val="auto"/>
                <w:kern w:val="2"/>
                <w:sz w:val="21"/>
                <w:highlight w:val="none"/>
              </w:rPr>
              <w:t>团队</w:t>
            </w:r>
            <w:r>
              <w:rPr>
                <w:rFonts w:hint="eastAsia" w:ascii="Times New Roman" w:hAnsi="Times New Roman" w:eastAsia="宋体" w:cs="Times New Roman"/>
                <w:color w:val="auto"/>
                <w:kern w:val="2"/>
                <w:sz w:val="21"/>
                <w:highlight w:val="none"/>
                <w:lang w:val="en-US" w:eastAsia="zh-CN"/>
              </w:rPr>
              <w:t>人员：</w:t>
            </w:r>
          </w:p>
          <w:p>
            <w:pPr>
              <w:keepNext w:val="0"/>
              <w:keepLines w:val="0"/>
              <w:widowControl w:val="0"/>
              <w:suppressLineNumbers w:val="0"/>
              <w:tabs>
                <w:tab w:val="right" w:leader="dot" w:pos="8306"/>
              </w:tabs>
              <w:spacing w:before="0" w:beforeAutospacing="0" w:after="0" w:afterAutospacing="0" w:line="440" w:lineRule="exact"/>
              <w:ind w:left="0" w:right="0" w:firstLine="0" w:firstLineChars="0"/>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1.具有保荐代表人资格得15分；</w:t>
            </w:r>
          </w:p>
          <w:p>
            <w:pPr>
              <w:keepNext w:val="0"/>
              <w:keepLines w:val="0"/>
              <w:widowControl w:val="0"/>
              <w:suppressLineNumbers w:val="0"/>
              <w:tabs>
                <w:tab w:val="right" w:leader="dot" w:pos="8306"/>
              </w:tabs>
              <w:spacing w:before="0" w:beforeAutospacing="0" w:after="0" w:afterAutospacing="0" w:line="440" w:lineRule="exact"/>
              <w:ind w:left="0" w:right="0" w:firstLine="0" w:firstLineChars="0"/>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2.具有注册会计师资格得10分；</w:t>
            </w:r>
          </w:p>
          <w:p>
            <w:pPr>
              <w:keepNext w:val="0"/>
              <w:keepLines w:val="0"/>
              <w:widowControl w:val="0"/>
              <w:suppressLineNumbers w:val="0"/>
              <w:tabs>
                <w:tab w:val="right" w:leader="dot" w:pos="8306"/>
              </w:tabs>
              <w:spacing w:before="0" w:beforeAutospacing="0" w:after="0" w:afterAutospacing="0" w:line="440" w:lineRule="exact"/>
              <w:ind w:left="0" w:right="0" w:firstLine="0" w:firstLineChars="0"/>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3.具有法律职业资格得10分；</w:t>
            </w:r>
          </w:p>
          <w:p>
            <w:pPr>
              <w:keepNext w:val="0"/>
              <w:keepLines w:val="0"/>
              <w:widowControl w:val="0"/>
              <w:suppressLineNumbers w:val="0"/>
              <w:tabs>
                <w:tab w:val="right" w:leader="dot" w:pos="8306"/>
              </w:tabs>
              <w:spacing w:before="0" w:beforeAutospacing="0" w:after="0" w:afterAutospacing="0" w:line="440" w:lineRule="exact"/>
              <w:ind w:left="0" w:right="0" w:firstLine="0" w:firstLineChars="0"/>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4.具有CFA资格得5分；</w:t>
            </w:r>
          </w:p>
          <w:p>
            <w:pPr>
              <w:keepNext w:val="0"/>
              <w:keepLines w:val="0"/>
              <w:widowControl w:val="0"/>
              <w:suppressLineNumbers w:val="0"/>
              <w:tabs>
                <w:tab w:val="right" w:leader="dot" w:pos="8306"/>
              </w:tabs>
              <w:spacing w:before="0" w:beforeAutospacing="0" w:after="0" w:afterAutospacing="0" w:line="440" w:lineRule="exact"/>
              <w:ind w:left="0" w:right="0" w:firstLine="0" w:firstLineChars="0"/>
              <w:rPr>
                <w:rFonts w:hint="eastAsia" w:ascii="宋体" w:hAnsi="宋体" w:eastAsia="宋体" w:cs="宋体"/>
                <w:b/>
                <w:color w:val="auto"/>
                <w:kern w:val="2"/>
                <w:sz w:val="21"/>
                <w:szCs w:val="24"/>
                <w:highlight w:val="none"/>
                <w:lang w:val="en-US" w:eastAsia="zh-CN" w:bidi="ar-SA"/>
              </w:rPr>
            </w:pPr>
            <w:r>
              <w:rPr>
                <w:rFonts w:hint="eastAsia" w:ascii="Times New Roman" w:hAnsi="Times New Roman" w:eastAsia="宋体" w:cs="Times New Roman"/>
                <w:color w:val="auto"/>
                <w:kern w:val="2"/>
                <w:sz w:val="21"/>
                <w:highlight w:val="none"/>
              </w:rPr>
              <w:t>注：</w:t>
            </w:r>
            <w:r>
              <w:rPr>
                <w:rFonts w:hint="eastAsia" w:ascii="Times New Roman" w:hAnsi="Times New Roman" w:eastAsia="宋体" w:cs="Times New Roman"/>
                <w:color w:val="auto"/>
                <w:kern w:val="2"/>
                <w:sz w:val="21"/>
                <w:highlight w:val="none"/>
                <w:lang w:val="en-US" w:eastAsia="zh-CN"/>
              </w:rPr>
              <w:t>投标</w:t>
            </w:r>
            <w:r>
              <w:rPr>
                <w:rFonts w:hint="eastAsia" w:ascii="Times New Roman" w:hAnsi="Times New Roman" w:eastAsia="宋体" w:cs="Times New Roman"/>
                <w:color w:val="auto"/>
                <w:kern w:val="2"/>
                <w:sz w:val="21"/>
                <w:highlight w:val="none"/>
              </w:rPr>
              <w:t>文件中同时提供以下证明材料：（1）证书扫描件（或影印件）；（2）</w:t>
            </w:r>
            <w:r>
              <w:rPr>
                <w:rFonts w:hint="eastAsia" w:ascii="Times New Roman" w:hAnsi="Times New Roman" w:eastAsia="宋体" w:cs="Times New Roman"/>
                <w:color w:val="auto"/>
                <w:kern w:val="2"/>
                <w:sz w:val="21"/>
                <w:highlight w:val="none"/>
                <w:lang w:val="en-US" w:eastAsia="zh-CN"/>
              </w:rPr>
              <w:t>本单位为其缴纳的</w:t>
            </w:r>
            <w:r>
              <w:rPr>
                <w:rFonts w:hint="eastAsia" w:ascii="Times New Roman" w:hAnsi="Times New Roman" w:eastAsia="宋体" w:cs="Times New Roman"/>
                <w:color w:val="auto"/>
                <w:kern w:val="2"/>
                <w:sz w:val="21"/>
                <w:highlight w:val="none"/>
              </w:rPr>
              <w:t>社保</w:t>
            </w:r>
            <w:r>
              <w:rPr>
                <w:rFonts w:hint="eastAsia" w:ascii="Times New Roman" w:hAnsi="Times New Roman" w:eastAsia="宋体" w:cs="Times New Roman"/>
                <w:color w:val="auto"/>
                <w:kern w:val="2"/>
                <w:sz w:val="21"/>
                <w:highlight w:val="none"/>
                <w:lang w:val="en-US" w:eastAsia="zh-CN"/>
              </w:rPr>
              <w:t>证明；（3）以上证书只计分一次，不重复计分</w:t>
            </w:r>
            <w:r>
              <w:rPr>
                <w:rFonts w:hint="eastAsia" w:ascii="Times New Roman" w:hAnsi="Times New Roman" w:eastAsia="宋体" w:cs="Times New Roman"/>
                <w:color w:val="auto"/>
                <w:kern w:val="2"/>
                <w:sz w:val="21"/>
                <w:highlight w:val="none"/>
              </w:rPr>
              <w:t>。</w:t>
            </w:r>
          </w:p>
        </w:tc>
      </w:tr>
    </w:tbl>
    <w:p>
      <w:pPr>
        <w:keepNext w:val="0"/>
        <w:keepLines w:val="0"/>
        <w:widowControl w:val="0"/>
        <w:suppressLineNumbers w:val="0"/>
        <w:autoSpaceDE w:val="0"/>
        <w:autoSpaceDN/>
        <w:spacing w:before="0" w:beforeAutospacing="0" w:after="0" w:afterAutospacing="0" w:line="440" w:lineRule="exact"/>
        <w:ind w:left="0" w:right="0" w:firstLine="517" w:firstLineChars="245"/>
        <w:jc w:val="both"/>
        <w:rPr>
          <w:rFonts w:hint="eastAsia" w:ascii="宋体" w:hAnsi="宋体" w:eastAsia="宋体" w:cs="Times New Roman"/>
          <w:b/>
          <w:bCs w:val="0"/>
          <w:color w:val="auto"/>
          <w:kern w:val="2"/>
          <w:sz w:val="21"/>
          <w:szCs w:val="21"/>
          <w:highlight w:val="none"/>
        </w:rPr>
      </w:pPr>
      <w:r>
        <w:rPr>
          <w:rFonts w:hint="eastAsia" w:ascii="宋体" w:hAnsi="宋体" w:eastAsia="宋体" w:cs="Times New Roman"/>
          <w:b/>
          <w:bCs w:val="0"/>
          <w:color w:val="auto"/>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ind w:left="0" w:right="0"/>
        <w:jc w:val="both"/>
        <w:rPr>
          <w:color w:val="auto"/>
          <w:highlight w:val="none"/>
        </w:rPr>
      </w:pPr>
      <w:r>
        <w:rPr>
          <w:rFonts w:hint="eastAsia" w:ascii="宋体" w:hAnsi="宋体" w:eastAsia="宋体" w:cs="宋体"/>
          <w:b/>
          <w:bCs w:val="0"/>
          <w:color w:val="auto"/>
          <w:kern w:val="2"/>
          <w:sz w:val="21"/>
          <w:szCs w:val="21"/>
          <w:highlight w:val="none"/>
          <w:lang w:val="en-US" w:eastAsia="zh-CN" w:bidi="ar"/>
        </w:rPr>
        <w:t>（二）商务标评审细则</w:t>
      </w:r>
    </w:p>
    <w:tbl>
      <w:tblPr>
        <w:tblStyle w:val="44"/>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136"/>
        <w:gridCol w:w="2550"/>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Lines="0" w:beforeAutospacing="0" w:after="0" w:afterLines="0" w:afterAutospacing="0" w:line="440" w:lineRule="exact"/>
              <w:ind w:left="0" w:right="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条款号</w:t>
            </w:r>
          </w:p>
        </w:tc>
        <w:tc>
          <w:tcPr>
            <w:tcW w:w="25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Lines="0" w:beforeAutospacing="0" w:after="0" w:afterLines="0" w:afterAutospacing="0" w:line="440" w:lineRule="exact"/>
              <w:ind w:left="0" w:right="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评审因素</w:t>
            </w:r>
          </w:p>
        </w:tc>
        <w:tc>
          <w:tcPr>
            <w:tcW w:w="50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Lines="0" w:beforeAutospacing="0" w:after="0" w:afterLines="0" w:afterAutospacing="0" w:line="440" w:lineRule="exact"/>
              <w:ind w:left="0" w:right="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Lines="0" w:beforeAutospacing="0" w:after="0" w:afterLines="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136"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形式评审标准</w:t>
            </w:r>
          </w:p>
        </w:tc>
        <w:tc>
          <w:tcPr>
            <w:tcW w:w="25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投标函签字盖章</w:t>
            </w:r>
          </w:p>
        </w:tc>
        <w:tc>
          <w:tcPr>
            <w:tcW w:w="504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有法定代表人或其委托代理人签字或盖章，并加盖单位公章</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否则经评委会一致认定后并经监管部门同意后，按照无效投标处理。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default" w:ascii="Times New Roman" w:hAnsi="Times New Roman" w:cs="Times New Roman"/>
                <w:color w:val="auto"/>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default" w:ascii="Times New Roman" w:hAnsi="Times New Roman" w:cs="Times New Roman"/>
                <w:color w:val="auto"/>
                <w:sz w:val="20"/>
                <w:szCs w:val="20"/>
                <w:highlight w:val="none"/>
              </w:rPr>
            </w:pPr>
          </w:p>
        </w:tc>
        <w:tc>
          <w:tcPr>
            <w:tcW w:w="25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投标文件格式</w:t>
            </w:r>
          </w:p>
        </w:tc>
        <w:tc>
          <w:tcPr>
            <w:tcW w:w="504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符合第五章“投标文件格式”的要求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default" w:ascii="Times New Roman" w:hAnsi="Times New Roman" w:cs="Times New Roman"/>
                <w:color w:val="auto"/>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default" w:ascii="Times New Roman" w:hAnsi="Times New Roman" w:cs="Times New Roman"/>
                <w:color w:val="auto"/>
                <w:sz w:val="20"/>
                <w:szCs w:val="20"/>
                <w:highlight w:val="none"/>
              </w:rPr>
            </w:pPr>
          </w:p>
        </w:tc>
        <w:tc>
          <w:tcPr>
            <w:tcW w:w="25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报价唯一</w:t>
            </w:r>
          </w:p>
        </w:tc>
        <w:tc>
          <w:tcPr>
            <w:tcW w:w="504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只能有一个报价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Lines="0" w:beforeAutospacing="0" w:after="0" w:afterLines="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136"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w:t>
            </w:r>
          </w:p>
        </w:tc>
        <w:tc>
          <w:tcPr>
            <w:tcW w:w="25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工期</w:t>
            </w:r>
          </w:p>
        </w:tc>
        <w:tc>
          <w:tcPr>
            <w:tcW w:w="50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default" w:ascii="Times New Roman" w:hAnsi="Times New Roman" w:cs="Times New Roman"/>
                <w:color w:val="auto"/>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default" w:ascii="Times New Roman" w:hAnsi="Times New Roman" w:cs="Times New Roman"/>
                <w:color w:val="auto"/>
                <w:sz w:val="20"/>
                <w:szCs w:val="20"/>
                <w:highlight w:val="none"/>
              </w:rPr>
            </w:pPr>
          </w:p>
        </w:tc>
        <w:tc>
          <w:tcPr>
            <w:tcW w:w="25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工程质量</w:t>
            </w:r>
          </w:p>
        </w:tc>
        <w:tc>
          <w:tcPr>
            <w:tcW w:w="50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default" w:ascii="Times New Roman" w:hAnsi="Times New Roman" w:cs="Times New Roman"/>
                <w:color w:val="auto"/>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default" w:ascii="Times New Roman" w:hAnsi="Times New Roman" w:cs="Times New Roman"/>
                <w:color w:val="auto"/>
                <w:sz w:val="20"/>
                <w:szCs w:val="20"/>
                <w:highlight w:val="none"/>
              </w:rPr>
            </w:pPr>
          </w:p>
        </w:tc>
        <w:tc>
          <w:tcPr>
            <w:tcW w:w="25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投标有效期</w:t>
            </w:r>
          </w:p>
        </w:tc>
        <w:tc>
          <w:tcPr>
            <w:tcW w:w="50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Lines="0" w:beforeAutospacing="0" w:after="0" w:afterLines="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11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商务</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评分</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8</w:t>
            </w:r>
            <w:r>
              <w:rPr>
                <w:rFonts w:hint="eastAsia" w:ascii="宋体" w:hAnsi="宋体" w:eastAsia="宋体" w:cs="宋体"/>
                <w:color w:val="auto"/>
                <w:kern w:val="2"/>
                <w:sz w:val="21"/>
                <w:szCs w:val="21"/>
                <w:highlight w:val="none"/>
                <w:lang w:val="en-US" w:eastAsia="zh-CN" w:bidi="ar"/>
              </w:rPr>
              <w:t>分）</w:t>
            </w:r>
          </w:p>
        </w:tc>
        <w:tc>
          <w:tcPr>
            <w:tcW w:w="7594"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12" w:lineRule="auto"/>
              <w:ind w:left="0" w:right="0"/>
              <w:rPr>
                <w:rFonts w:hint="eastAsia" w:ascii="宋体" w:hAnsi="宋体" w:cs="宋体"/>
                <w:color w:val="auto"/>
                <w:szCs w:val="21"/>
                <w:highlight w:val="none"/>
              </w:rPr>
            </w:pPr>
            <w:r>
              <w:rPr>
                <w:rFonts w:hint="eastAsia" w:ascii="宋体" w:hAnsi="宋体" w:cs="宋体"/>
                <w:color w:val="auto"/>
                <w:szCs w:val="21"/>
                <w:highlight w:val="none"/>
              </w:rPr>
              <w:t>1、本项目设置最高限价，投标报价高于最高限价的，其投标按无效标处理。</w:t>
            </w:r>
          </w:p>
          <w:p>
            <w:pPr>
              <w:keepNext w:val="0"/>
              <w:keepLines w:val="0"/>
              <w:suppressLineNumbers w:val="0"/>
              <w:spacing w:before="0" w:beforeAutospacing="0" w:after="0" w:afterAutospacing="0" w:line="312" w:lineRule="auto"/>
              <w:ind w:left="0" w:right="0"/>
              <w:rPr>
                <w:rFonts w:hint="eastAsia" w:ascii="宋体" w:hAnsi="宋体" w:cs="宋体"/>
                <w:color w:val="auto"/>
                <w:szCs w:val="21"/>
                <w:highlight w:val="none"/>
              </w:rPr>
            </w:pPr>
            <w:r>
              <w:rPr>
                <w:rFonts w:hint="eastAsia" w:ascii="宋体" w:hAnsi="宋体" w:cs="宋体"/>
                <w:color w:val="auto"/>
                <w:szCs w:val="21"/>
                <w:highlight w:val="none"/>
              </w:rPr>
              <w:t>2、评标基准值的确定：</w:t>
            </w:r>
          </w:p>
          <w:p>
            <w:pPr>
              <w:keepNext w:val="0"/>
              <w:keepLines w:val="0"/>
              <w:suppressLineNumbers w:val="0"/>
              <w:spacing w:before="0" w:beforeAutospacing="0" w:after="0" w:afterAutospacing="0" w:line="312" w:lineRule="auto"/>
              <w:ind w:left="0" w:right="0"/>
              <w:rPr>
                <w:rFonts w:hint="eastAsia" w:ascii="宋体" w:hAnsi="宋体" w:cs="宋体"/>
                <w:color w:val="auto"/>
                <w:szCs w:val="21"/>
                <w:highlight w:val="none"/>
              </w:rPr>
            </w:pPr>
            <w:r>
              <w:rPr>
                <w:rFonts w:hint="eastAsia" w:ascii="宋体" w:hAnsi="宋体" w:cs="宋体"/>
                <w:color w:val="auto"/>
                <w:szCs w:val="21"/>
                <w:highlight w:val="none"/>
              </w:rPr>
              <w:t>评标基准值</w:t>
            </w:r>
            <w:r>
              <w:rPr>
                <w:rFonts w:hint="eastAsia" w:ascii="宋体" w:hAnsi="宋体" w:cs="宋体"/>
                <w:color w:val="auto"/>
                <w:szCs w:val="21"/>
                <w:highlight w:val="none"/>
                <w:lang w:val="en-US" w:eastAsia="zh-CN"/>
              </w:rPr>
              <w:t>F</w:t>
            </w:r>
            <w:r>
              <w:rPr>
                <w:rFonts w:hint="eastAsia" w:ascii="宋体" w:hAnsi="宋体" w:cs="宋体"/>
                <w:color w:val="auto"/>
                <w:szCs w:val="21"/>
                <w:highlight w:val="none"/>
              </w:rPr>
              <w:t>为</w:t>
            </w:r>
            <w:r>
              <w:rPr>
                <w:rFonts w:hint="eastAsia" w:ascii="宋体" w:hAnsi="宋体" w:cs="宋体"/>
                <w:color w:val="auto"/>
                <w:szCs w:val="21"/>
                <w:highlight w:val="none"/>
                <w:lang w:val="en-US" w:eastAsia="zh-CN"/>
              </w:rPr>
              <w:t>通过详细评审的投标单位有效投标报价的算术平均值。</w:t>
            </w:r>
          </w:p>
          <w:p>
            <w:pPr>
              <w:keepNext w:val="0"/>
              <w:keepLines w:val="0"/>
              <w:suppressLineNumbers w:val="0"/>
              <w:spacing w:before="0" w:beforeAutospacing="0" w:after="0" w:afterAutospacing="0" w:line="312" w:lineRule="auto"/>
              <w:ind w:left="0" w:right="0"/>
              <w:rPr>
                <w:rFonts w:hint="eastAsia" w:ascii="宋体" w:hAnsi="宋体" w:cs="宋体"/>
                <w:color w:val="auto"/>
                <w:szCs w:val="21"/>
                <w:highlight w:val="none"/>
              </w:rPr>
            </w:pPr>
            <w:r>
              <w:rPr>
                <w:rFonts w:hint="eastAsia" w:ascii="宋体" w:hAnsi="宋体" w:cs="宋体"/>
                <w:color w:val="auto"/>
                <w:szCs w:val="21"/>
                <w:highlight w:val="none"/>
              </w:rPr>
              <w:t>3、商务报价得分：</w:t>
            </w:r>
          </w:p>
          <w:p>
            <w:pPr>
              <w:keepNext w:val="0"/>
              <w:keepLines w:val="0"/>
              <w:suppressLineNumbers w:val="0"/>
              <w:spacing w:before="0" w:beforeAutospacing="0" w:after="0" w:afterAutospacing="0" w:line="312"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各投标报价与评标基准值相比，相同的</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分，每增加1%扣</w:t>
            </w:r>
            <w:r>
              <w:rPr>
                <w:rFonts w:hint="eastAsia" w:ascii="宋体" w:hAnsi="宋体" w:cs="宋体"/>
                <w:color w:val="auto"/>
                <w:szCs w:val="21"/>
                <w:highlight w:val="none"/>
                <w:lang w:val="en-US" w:eastAsia="zh-CN"/>
              </w:rPr>
              <w:t>0.2</w:t>
            </w:r>
            <w:r>
              <w:rPr>
                <w:rFonts w:hint="eastAsia" w:ascii="宋体" w:hAnsi="宋体" w:cs="宋体"/>
                <w:color w:val="auto"/>
                <w:szCs w:val="21"/>
                <w:highlight w:val="none"/>
              </w:rPr>
              <w:t>分，每减少1%扣0.</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分，扣完为止，不足1%时按照插入法计算。在计算F值、报价与F值百分比及总得分时，均取两位小数，小数点后第三位四舍五入。</w:t>
            </w:r>
          </w:p>
          <w:p>
            <w:pPr>
              <w:keepNext w:val="0"/>
              <w:keepLines w:val="0"/>
              <w:suppressLineNumbers w:val="0"/>
              <w:spacing w:before="0" w:beforeAutospacing="0" w:after="0" w:afterAutospacing="0" w:line="312" w:lineRule="auto"/>
              <w:ind w:left="0" w:right="0"/>
              <w:rPr>
                <w:rFonts w:hint="eastAsia" w:ascii="宋体" w:hAnsi="宋体" w:eastAsia="宋体" w:cs="宋体"/>
                <w:color w:val="auto"/>
                <w:kern w:val="2"/>
                <w:sz w:val="21"/>
                <w:szCs w:val="21"/>
                <w:highlight w:val="none"/>
              </w:rPr>
            </w:pPr>
            <w:r>
              <w:rPr>
                <w:rFonts w:hint="eastAsia" w:ascii="宋体" w:hAnsi="宋体" w:cs="宋体"/>
                <w:color w:val="auto"/>
                <w:szCs w:val="21"/>
                <w:highlight w:val="none"/>
              </w:rPr>
              <w:t>4、计算商务报价分以投标总报价计算。</w:t>
            </w:r>
          </w:p>
        </w:tc>
      </w:tr>
    </w:tbl>
    <w:p>
      <w:pPr>
        <w:spacing w:line="400" w:lineRule="exact"/>
        <w:ind w:left="11" w:right="-94" w:rightChars="-45" w:firstLine="420" w:firstLineChars="200"/>
        <w:rPr>
          <w:rFonts w:hint="eastAsia"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 评标</w:t>
      </w:r>
      <w:r>
        <w:rPr>
          <w:rFonts w:hint="eastAsia" w:ascii="宋体" w:hAnsi="宋体" w:cs="宋体"/>
          <w:color w:val="auto"/>
          <w:szCs w:val="21"/>
          <w:highlight w:val="none"/>
          <w:lang w:val="en-US" w:eastAsia="zh-CN"/>
        </w:rPr>
        <w:t>方</w:t>
      </w:r>
      <w:r>
        <w:rPr>
          <w:rFonts w:hint="eastAsia" w:ascii="宋体" w:hAnsi="宋体" w:cs="宋体"/>
          <w:color w:val="auto"/>
          <w:szCs w:val="21"/>
          <w:highlight w:val="none"/>
          <w:lang w:eastAsia="zh-CN"/>
        </w:rPr>
        <w:t>法</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本次评标采用</w:t>
      </w:r>
      <w:r>
        <w:rPr>
          <w:rFonts w:hint="eastAsia" w:ascii="宋体" w:hAnsi="宋体" w:cs="宋体"/>
          <w:color w:val="auto"/>
          <w:szCs w:val="21"/>
          <w:highlight w:val="none"/>
          <w:lang w:eastAsia="zh-CN"/>
        </w:rPr>
        <w:t>综合评分法</w:t>
      </w:r>
      <w:r>
        <w:rPr>
          <w:rFonts w:hint="eastAsia" w:ascii="宋体" w:hAnsi="宋体" w:cs="宋体"/>
          <w:color w:val="auto"/>
          <w:szCs w:val="21"/>
          <w:highlight w:val="none"/>
        </w:rPr>
        <w:t>。评标委员会对满足招标文件实质性要求的投标文件，按照本章规定的评分标准进行打分，并按总得分由高到低顺序推荐3名中标候选人，并标明排序。若出现总得分相同的投标人有两名及以上时，以投标报价低者优先，如投标报价仍相同时，由招标人现场采取随机抽取的方式确定中标候选人排序。</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2．评标委员会的职责</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标委员会应加强对报价合理性审查。评标评审委员会认为投标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3. </w:t>
      </w:r>
      <w:r>
        <w:rPr>
          <w:rFonts w:hint="eastAsia" w:ascii="宋体" w:hAnsi="宋体" w:cs="宋体"/>
          <w:color w:val="auto"/>
          <w:szCs w:val="21"/>
          <w:highlight w:val="none"/>
        </w:rPr>
        <w:t>评标程序</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评标先做准备工作，先进行资信证明文件评审，再进行商务标评审。</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3.1评标准备工作</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评标委员会熟悉评标工作情况：</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（4）核对评标工作用表。</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3.2商务标评审</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详见商务标评审表。</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推荐中标候选人：经资信评审、商务评审后，推荐3名中标候选人，并标明排序。</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4.评审内容</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4.1商务标评审</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只有通过技术标评审的投标才能够进入本阶段评审。</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.1形式性评审标准：见商务标评审表。</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.2响应性评审标准：见商务标评审表。</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评标委员会依据上述标准对投标文件进行初步评审。有一项不符合评审标准的，作无效投标处理。</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.3投标报价评审</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发现投标人的投标报价明显低于其他投标报价，有可能影响服务质量或者不能诚信履约的，应当要求其在评标现场合理的时间内提供证明材料；投标人不能证明其报价合理性的，评标委员会应当将其作为无效投标处理。</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4评标委员会审查投标文件，包括工程投标报价的校核、审查全部数据计算的正确性、分析各种费用构成的合理性和正确性等内容，看其是否有计算或表达上的错误，投标报价有错误的，评标委员会按以下原则对投标报价进行修正。</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（1）投标文件中的大写金额与小写金额不一致的，以大写金额为准。</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（3）工程量清单报价表中综合单价与工程量清单项目价格分析表相对应综合单价不一致时，以工程量清单项目价格分析表中标出的综合单价为准。</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5.无效投标条款</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5.1投标人存在下列情形的招标人将拒收投标文件：</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(1)未在投标截止时间前递交投标文件，投标将被拒绝。</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5.3投标人有下列情形的，经评审后其投标作无效投标处理无效投标：</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5.3.1商务标评审</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评标委员会依据《商务标评审表》进行形式性评审和响应性评审。有一项不符合评审标准的，做无效投标处理；</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5.4其他无效投标情况：</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（2）按第</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章《评标方法》修正错误的原则及方法调整或修正投标文件的投标报价，调整或修正的价格经投标人书面确认后具有约束力。投标人不接修正价格的，其投标将被拒绝。</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（3）投标人有串通投标、弄虚作假、行贿等违法行为。</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（5）未按规定的格式填写，实质性内容不全或关键字迹模糊、无法辨认的，经评委会一致认定按不合格处理。</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（6）同一投标人提交两个以上不同的投标文件或者投标报价，但招标文件规定提交备选投标的除外。</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（7）投标文件中存在招标人不能接受的其他实质性条件。</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（8）投标文件中填报的拟任项目负责人与资格审查通过的项目负责人前后不一致的。</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（9）投标人拒不按照要求对投标文件进行澄清、说明、补正的，或评标委员会根据招标文件的规定对招标文件的计算错误进行修正后，投标人不接受修正的投标报价的。</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（10）法律、法规规定的其他情形。</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6.投标文件的澄清和补正</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6.1在评标过程中，评标委员会可以书面形式要求投标人对所提交的投标文件中不明确的内容进行书面澄清或说明，或者对细微偏差进行补正。评标委员会不接受投标人主动提出的澄清、说明或补正。</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7.评分标准</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商务标评分标准：见商务标评审表。</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8.评审结果</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8.1除第1章投标人须知前附表授权直接确定中标人外，评标委员会按照总得分由高到低顺序推荐中标候选人。</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（1）基本情况和数据表。</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（2）评标委员会成员名单。</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（3）开标记录。</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（4）符合要求的投标人一览表。</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（5）废标情况说明。</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（6）评标标准、评标方法或者评标因素。</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（7）经评审的价格一览表。</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（8）经评审的投标人排序。</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（9）推荐的中标候选人名单与签订合同前要处理的事宜。</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（10）澄清、说明、补正事项纪要。</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8.3评标委员会推荐的中标候选人应当限定在3名。</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8.4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9.其他</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投标人提供的与投标文件有关的各类证书、证明、文件、资料等的真实性、合法性由投标人负全责。如存在弄虚作假，按相关规定予以处理。</w:t>
      </w:r>
    </w:p>
    <w:p>
      <w:pPr>
        <w:pStyle w:val="25"/>
        <w:rPr>
          <w:rFonts w:hint="eastAsia" w:ascii="宋体" w:hAnsi="宋体" w:cs="宋体"/>
          <w:color w:val="auto"/>
          <w:szCs w:val="21"/>
          <w:highlight w:val="none"/>
        </w:rPr>
      </w:pPr>
    </w:p>
    <w:bookmarkEnd w:id="24"/>
    <w:p>
      <w:pPr>
        <w:pStyle w:val="2"/>
        <w:numPr>
          <w:ilvl w:val="0"/>
          <w:numId w:val="2"/>
        </w:numPr>
        <w:ind w:left="208" w:leftChars="99" w:firstLine="643" w:firstLineChars="200"/>
        <w:rPr>
          <w:rFonts w:hint="eastAsia" w:ascii="宋体" w:hAnsi="宋体" w:cs="宋体"/>
          <w:color w:val="auto"/>
          <w:sz w:val="32"/>
          <w:szCs w:val="32"/>
          <w:highlight w:val="none"/>
          <w:lang w:val="en-US" w:eastAsia="zh-CN"/>
        </w:rPr>
      </w:pPr>
      <w:bookmarkStart w:id="78" w:name="_Toc14889"/>
      <w:bookmarkStart w:id="79" w:name="_Toc24057_WPSOffice_Level1"/>
      <w:r>
        <w:rPr>
          <w:rFonts w:hint="eastAsia" w:ascii="宋体" w:hAnsi="宋体" w:cs="宋体"/>
          <w:color w:val="auto"/>
          <w:sz w:val="32"/>
          <w:szCs w:val="32"/>
          <w:highlight w:val="none"/>
          <w:lang w:val="en-US" w:eastAsia="zh-CN"/>
        </w:rPr>
        <w:br w:type="page"/>
      </w:r>
      <w:bookmarkStart w:id="80" w:name="_Toc3327"/>
      <w:r>
        <w:rPr>
          <w:rFonts w:hint="eastAsia" w:ascii="宋体" w:hAnsi="宋体" w:cs="宋体"/>
          <w:color w:val="auto"/>
          <w:sz w:val="32"/>
          <w:szCs w:val="32"/>
          <w:highlight w:val="none"/>
          <w:lang w:val="en-US" w:eastAsia="zh-CN"/>
        </w:rPr>
        <w:t>采购需求</w:t>
      </w:r>
      <w:bookmarkEnd w:id="78"/>
      <w:bookmarkEnd w:id="80"/>
    </w:p>
    <w:p>
      <w:pPr>
        <w:pStyle w:val="187"/>
        <w:numPr>
          <w:ilvl w:val="0"/>
          <w:numId w:val="0"/>
        </w:numPr>
        <w:spacing w:before="93" w:beforeLines="30" w:after="93" w:afterLines="30" w:line="360" w:lineRule="auto"/>
        <w:ind w:firstLine="482" w:firstLineChars="200"/>
        <w:rPr>
          <w:rFonts w:hint="eastAsia" w:hAnsi="宋体"/>
          <w:b/>
          <w:bCs/>
          <w:color w:val="auto"/>
          <w:highlight w:val="none"/>
        </w:rPr>
      </w:pPr>
      <w:r>
        <w:rPr>
          <w:rFonts w:hint="eastAsia" w:ascii="宋体" w:hAnsi="宋体" w:cs="宋体"/>
          <w:b/>
          <w:bCs/>
          <w:color w:val="auto"/>
          <w:sz w:val="24"/>
          <w:szCs w:val="24"/>
          <w:highlight w:val="none"/>
          <w:lang w:val="en-US" w:eastAsia="zh-CN" w:bidi="ar-SA"/>
        </w:rPr>
        <w:t>一、</w:t>
      </w:r>
      <w:r>
        <w:rPr>
          <w:rFonts w:hint="eastAsia" w:hAnsi="宋体" w:cs="宋体"/>
          <w:b/>
          <w:bCs/>
          <w:color w:val="auto"/>
          <w:sz w:val="24"/>
          <w:szCs w:val="24"/>
          <w:highlight w:val="none"/>
          <w:lang w:val="en-US" w:eastAsia="zh-CN" w:bidi="ar-SA"/>
        </w:rPr>
        <w:t>服务</w:t>
      </w:r>
      <w:r>
        <w:rPr>
          <w:rFonts w:hint="eastAsia" w:hAnsi="宋体"/>
          <w:b/>
          <w:bCs/>
          <w:color w:val="auto"/>
          <w:highlight w:val="none"/>
        </w:rPr>
        <w:t>项目</w:t>
      </w:r>
    </w:p>
    <w:p>
      <w:pPr>
        <w:pStyle w:val="22"/>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投资某公司的尽职调查服务项目，投资概算</w:t>
      </w:r>
      <w:r>
        <w:rPr>
          <w:rFonts w:hint="eastAsia" w:ascii="宋体" w:hAnsi="宋体" w:cs="宋体"/>
          <w:color w:val="auto"/>
          <w:szCs w:val="21"/>
          <w:highlight w:val="none"/>
          <w:lang w:val="en-US" w:eastAsia="zh-CN"/>
        </w:rPr>
        <w:t xml:space="preserve"> 10</w:t>
      </w:r>
      <w:r>
        <w:rPr>
          <w:rFonts w:hint="eastAsia" w:ascii="宋体" w:hAnsi="宋体" w:cs="宋体"/>
          <w:color w:val="auto"/>
          <w:szCs w:val="21"/>
          <w:highlight w:val="none"/>
        </w:rPr>
        <w:t>万元。</w:t>
      </w:r>
    </w:p>
    <w:p>
      <w:pPr>
        <w:pStyle w:val="187"/>
        <w:spacing w:before="93" w:beforeLines="30" w:after="93" w:afterLines="30" w:line="360" w:lineRule="auto"/>
        <w:ind w:firstLine="482" w:firstLineChars="200"/>
        <w:rPr>
          <w:rFonts w:hint="eastAsia" w:hAnsi="宋体"/>
          <w:b/>
          <w:bCs/>
          <w:color w:val="auto"/>
          <w:highlight w:val="none"/>
        </w:rPr>
      </w:pPr>
      <w:r>
        <w:rPr>
          <w:rFonts w:hint="eastAsia" w:hAnsi="宋体"/>
          <w:b/>
          <w:bCs/>
          <w:color w:val="auto"/>
          <w:highlight w:val="none"/>
        </w:rPr>
        <w:t>二、咨询服务范围及内容</w:t>
      </w:r>
    </w:p>
    <w:p>
      <w:pPr>
        <w:pStyle w:val="187"/>
        <w:spacing w:before="93" w:beforeLines="30" w:after="93" w:afterLines="30" w:line="360" w:lineRule="auto"/>
        <w:ind w:firstLine="420" w:firstLineChars="200"/>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拟对某公司进行股权投资，包括但不限于尽职调查报告全过程技术指导及投资配合服务：（1）进行实地调研，收集本项目有关基础资料，出具尽职调查报告；（2）为招标人提供所需其他相关投资咨询服务。</w:t>
      </w:r>
    </w:p>
    <w:p>
      <w:pPr>
        <w:pStyle w:val="187"/>
        <w:spacing w:before="93" w:beforeLines="30" w:after="93" w:afterLines="30" w:line="360" w:lineRule="auto"/>
        <w:ind w:firstLine="482" w:firstLineChars="200"/>
        <w:rPr>
          <w:rFonts w:hint="eastAsia" w:hAnsi="宋体"/>
          <w:b/>
          <w:bCs/>
          <w:color w:val="auto"/>
          <w:highlight w:val="none"/>
        </w:rPr>
      </w:pPr>
      <w:r>
        <w:rPr>
          <w:rFonts w:hint="eastAsia" w:hAnsi="宋体"/>
          <w:b/>
          <w:bCs/>
          <w:color w:val="auto"/>
          <w:highlight w:val="none"/>
        </w:rPr>
        <w:t>三、服务期限</w:t>
      </w:r>
    </w:p>
    <w:p>
      <w:pPr>
        <w:pStyle w:val="22"/>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合同签订后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20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w:t>
      </w:r>
      <w:r>
        <w:rPr>
          <w:rFonts w:hint="eastAsia" w:ascii="宋体" w:hAnsi="宋体" w:cs="宋体"/>
          <w:color w:val="auto"/>
          <w:szCs w:val="21"/>
          <w:highlight w:val="none"/>
          <w:lang w:val="en-US" w:eastAsia="zh-CN"/>
        </w:rPr>
        <w:t>工作日</w:t>
      </w:r>
      <w:r>
        <w:rPr>
          <w:rFonts w:hint="eastAsia" w:ascii="宋体" w:hAnsi="宋体" w:cs="宋体"/>
          <w:color w:val="auto"/>
          <w:szCs w:val="21"/>
          <w:highlight w:val="none"/>
        </w:rPr>
        <w:t>内完成所有成果文件编制。</w:t>
      </w:r>
    </w:p>
    <w:p>
      <w:pPr>
        <w:pStyle w:val="187"/>
        <w:spacing w:before="93" w:beforeLines="30" w:after="93" w:afterLines="30" w:line="360" w:lineRule="auto"/>
        <w:ind w:firstLine="482" w:firstLineChars="200"/>
        <w:rPr>
          <w:rFonts w:hint="eastAsia" w:hAnsi="宋体"/>
          <w:b/>
          <w:bCs/>
          <w:color w:val="auto"/>
          <w:highlight w:val="none"/>
        </w:rPr>
      </w:pPr>
      <w:r>
        <w:rPr>
          <w:rFonts w:hint="eastAsia" w:hAnsi="宋体"/>
          <w:b/>
          <w:bCs/>
          <w:color w:val="auto"/>
          <w:highlight w:val="none"/>
        </w:rPr>
        <w:t>四、其他要求</w:t>
      </w:r>
    </w:p>
    <w:p>
      <w:pPr>
        <w:pStyle w:val="22"/>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质量要求：尽职调查报告应包括但不限于业务、财务、法务尽职调查相关分析。其中业务尽职调查服务内容包括但不限于：1.行业及竞争概况：行业类别、行业宏观政策、行业概况及竞争、行业经营模式、行业产业链等；2.采购情况：市场供求、采购模式、主要供应商、采购与生产的衔接、存货相关制度、关联采购等；3.产品及生产情况：主要产品市场分析、产品市场竞争格局、产品生命周期分析、生产装备固定资产投资、生产流程、生产能力、主要无形资产、成本结构分析、生产质量管理、生产安全管理、环保情况等；4.销售情况：销售模式及品牌情况、产品的市场地位、主要客户、关联销售等；5.技术及研发情况：新产品、新技术研发路线、研发模式和机制、技术水平、研发潜力等；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标的公司的背景、团队、知识产权、经营能力等</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7.估值测算等。</w:t>
      </w:r>
    </w:p>
    <w:p>
      <w:pPr>
        <w:pStyle w:val="22"/>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中标人应积极配合业主单位关于本项目的相关工作，按照业主要求时间完成文本编制、报审。</w:t>
      </w:r>
    </w:p>
    <w:p>
      <w:pPr>
        <w:pStyle w:val="22"/>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lang w:eastAsia="zh-CN"/>
        </w:rPr>
        <w:t>）</w:t>
      </w:r>
      <w:r>
        <w:rPr>
          <w:rFonts w:hint="eastAsia" w:ascii="宋体" w:hAnsi="宋体" w:cs="宋体"/>
          <w:color w:val="auto"/>
          <w:szCs w:val="21"/>
          <w:highlight w:val="none"/>
        </w:rPr>
        <w:t>验收工作由招标人负责进行验收。</w:t>
      </w:r>
    </w:p>
    <w:p>
      <w:pPr>
        <w:pStyle w:val="2"/>
        <w:rPr>
          <w:rFonts w:hint="eastAsia" w:ascii="宋体" w:hAnsi="宋体" w:cs="宋体"/>
          <w:color w:val="auto"/>
          <w:sz w:val="32"/>
          <w:szCs w:val="32"/>
          <w:highlight w:val="none"/>
        </w:rPr>
      </w:pPr>
      <w:r>
        <w:rPr>
          <w:rStyle w:val="61"/>
          <w:rFonts w:hint="eastAsia" w:ascii="宋体" w:hAnsi="宋体" w:cs="宋体"/>
          <w:b/>
          <w:bCs/>
          <w:color w:val="auto"/>
          <w:highlight w:val="none"/>
        </w:rPr>
        <w:br w:type="page"/>
      </w:r>
      <w:bookmarkStart w:id="81" w:name="_Toc12718"/>
      <w:bookmarkStart w:id="82" w:name="_Toc3748"/>
      <w:r>
        <w:rPr>
          <w:rStyle w:val="61"/>
          <w:rFonts w:hint="eastAsia" w:ascii="宋体" w:hAnsi="宋体" w:cs="宋体"/>
          <w:b/>
          <w:bCs/>
          <w:color w:val="auto"/>
          <w:sz w:val="32"/>
          <w:szCs w:val="32"/>
          <w:highlight w:val="none"/>
        </w:rPr>
        <w:t>第四章 合同条款</w:t>
      </w:r>
      <w:bookmarkEnd w:id="81"/>
      <w:bookmarkEnd w:id="8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甲方：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地址</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鉴于</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须尽快完成投资目标公司</w:t>
      </w:r>
      <w:r>
        <w:rPr>
          <w:rFonts w:hint="eastAsia" w:ascii="宋体" w:hAnsi="宋体" w:eastAsia="宋体" w:cs="宋体"/>
          <w:color w:val="auto"/>
          <w:sz w:val="21"/>
          <w:szCs w:val="21"/>
          <w:highlight w:val="none"/>
          <w:u w:val="single"/>
          <w:lang w:val="en-US" w:eastAsia="zh-CN"/>
        </w:rPr>
        <w:t xml:space="preserve">   </w:t>
      </w:r>
      <w:r>
        <w:rPr>
          <w:rFonts w:hint="eastAsia"/>
          <w:color w:val="auto"/>
          <w:highlight w:val="none"/>
        </w:rPr>
        <w:t>公司</w:t>
      </w:r>
      <w:r>
        <w:rPr>
          <w:rFonts w:hint="eastAsia" w:ascii="宋体" w:hAnsi="宋体" w:eastAsia="宋体" w:cs="宋体"/>
          <w:color w:val="auto"/>
          <w:sz w:val="21"/>
          <w:szCs w:val="21"/>
          <w:highlight w:val="none"/>
          <w:lang w:val="en-US" w:eastAsia="zh-CN"/>
        </w:rPr>
        <w:t>尽职调查工作</w:t>
      </w:r>
      <w:r>
        <w:rPr>
          <w:rFonts w:hint="eastAsia" w:ascii="宋体" w:hAnsi="宋体" w:eastAsia="宋体" w:cs="宋体"/>
          <w:color w:val="auto"/>
          <w:sz w:val="21"/>
          <w:szCs w:val="21"/>
          <w:highlight w:val="none"/>
        </w:rPr>
        <w:t>，特委托乙方提供</w:t>
      </w:r>
      <w:r>
        <w:rPr>
          <w:rFonts w:hint="eastAsia" w:ascii="宋体" w:hAnsi="宋体" w:eastAsia="宋体" w:cs="宋体"/>
          <w:color w:val="auto"/>
          <w:sz w:val="21"/>
          <w:szCs w:val="21"/>
          <w:highlight w:val="none"/>
          <w:lang w:val="en-US" w:eastAsia="zh-CN"/>
        </w:rPr>
        <w:t>尽职调查</w:t>
      </w:r>
      <w:r>
        <w:rPr>
          <w:rFonts w:hint="eastAsia" w:ascii="宋体" w:hAnsi="宋体" w:eastAsia="宋体" w:cs="宋体"/>
          <w:color w:val="auto"/>
          <w:sz w:val="21"/>
          <w:szCs w:val="21"/>
          <w:highlight w:val="none"/>
        </w:rPr>
        <w:t>专项服务，双方根据《</w:t>
      </w:r>
      <w:r>
        <w:rPr>
          <w:rFonts w:hint="eastAsia" w:ascii="宋体" w:hAnsi="宋体" w:eastAsia="宋体" w:cs="宋体"/>
          <w:color w:val="auto"/>
          <w:sz w:val="21"/>
          <w:szCs w:val="21"/>
          <w:highlight w:val="none"/>
          <w:lang w:val="en-US" w:eastAsia="zh-CN"/>
        </w:rPr>
        <w:t>中华人民共和国民法典</w:t>
      </w:r>
      <w:r>
        <w:rPr>
          <w:rFonts w:hint="eastAsia" w:ascii="宋体" w:hAnsi="宋体" w:eastAsia="宋体" w:cs="宋体"/>
          <w:color w:val="auto"/>
          <w:sz w:val="21"/>
          <w:szCs w:val="21"/>
          <w:highlight w:val="none"/>
        </w:rPr>
        <w:t>》等法律规定，经友好协商，订立本合同。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一、服务事项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甲方委托乙方为甲方</w:t>
      </w:r>
      <w:r>
        <w:rPr>
          <w:rFonts w:hint="eastAsia" w:ascii="宋体" w:hAnsi="宋体" w:eastAsia="宋体" w:cs="宋体"/>
          <w:color w:val="auto"/>
          <w:sz w:val="21"/>
          <w:szCs w:val="21"/>
          <w:highlight w:val="none"/>
          <w:lang w:val="en-US" w:eastAsia="zh-CN"/>
        </w:rPr>
        <w:t>收购</w:t>
      </w:r>
      <w:r>
        <w:rPr>
          <w:rFonts w:hint="eastAsia" w:ascii="宋体" w:hAnsi="宋体" w:eastAsia="宋体" w:cs="宋体"/>
          <w:color w:val="auto"/>
          <w:sz w:val="21"/>
          <w:szCs w:val="21"/>
          <w:highlight w:val="none"/>
          <w:u w:val="single"/>
          <w:lang w:val="en-US" w:eastAsia="zh-CN"/>
        </w:rPr>
        <w:t xml:space="preserve">   </w:t>
      </w:r>
      <w:r>
        <w:rPr>
          <w:rFonts w:hint="eastAsia"/>
          <w:color w:val="auto"/>
          <w:highlight w:val="none"/>
        </w:rPr>
        <w:t>公司</w:t>
      </w:r>
      <w:r>
        <w:rPr>
          <w:rFonts w:hint="eastAsia"/>
          <w:color w:val="auto"/>
          <w:highlight w:val="none"/>
          <w:lang w:val="en-US" w:eastAsia="zh-CN"/>
        </w:rPr>
        <w:t>股权提供</w:t>
      </w:r>
      <w:r>
        <w:rPr>
          <w:rFonts w:hint="eastAsia" w:ascii="宋体" w:hAnsi="宋体" w:eastAsia="宋体" w:cs="宋体"/>
          <w:color w:val="auto"/>
          <w:sz w:val="21"/>
          <w:szCs w:val="21"/>
          <w:highlight w:val="none"/>
          <w:lang w:val="en-US" w:eastAsia="zh-CN"/>
        </w:rPr>
        <w:t>尽职调查专项</w:t>
      </w:r>
      <w:r>
        <w:rPr>
          <w:rFonts w:hint="eastAsia" w:ascii="宋体" w:hAnsi="宋体" w:eastAsia="宋体" w:cs="宋体"/>
          <w:color w:val="auto"/>
          <w:sz w:val="21"/>
          <w:szCs w:val="21"/>
          <w:highlight w:val="none"/>
        </w:rPr>
        <w:t>服务。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截至2024年 月 日，就</w:t>
      </w:r>
      <w:r>
        <w:rPr>
          <w:rFonts w:hint="eastAsia" w:ascii="宋体" w:hAnsi="宋体" w:eastAsia="宋体" w:cs="宋体"/>
          <w:color w:val="auto"/>
          <w:sz w:val="21"/>
          <w:szCs w:val="21"/>
          <w:highlight w:val="none"/>
          <w:u w:val="single"/>
          <w:lang w:val="en-US" w:eastAsia="zh-CN"/>
        </w:rPr>
        <w:t xml:space="preserve">   </w:t>
      </w:r>
      <w:r>
        <w:rPr>
          <w:rFonts w:hint="eastAsia"/>
          <w:color w:val="auto"/>
          <w:highlight w:val="none"/>
        </w:rPr>
        <w:t>公司</w:t>
      </w:r>
      <w:r>
        <w:rPr>
          <w:rFonts w:hint="eastAsia" w:ascii="宋体" w:hAnsi="宋体" w:eastAsia="宋体" w:cs="宋体"/>
          <w:color w:val="auto"/>
          <w:sz w:val="21"/>
          <w:szCs w:val="21"/>
          <w:highlight w:val="none"/>
          <w:lang w:val="en-US" w:eastAsia="zh-CN"/>
        </w:rPr>
        <w:t xml:space="preserve">开展尽职调查工作；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及时提供尽职调查专项报告。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三、服务期限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合同签订后</w:t>
      </w:r>
      <w:r>
        <w:rPr>
          <w:rFonts w:hint="eastAsia" w:ascii="宋体" w:hAnsi="宋体" w:cs="宋体"/>
          <w:color w:val="auto"/>
          <w:szCs w:val="21"/>
          <w:highlight w:val="none"/>
          <w:u w:val="single"/>
          <w:lang w:val="en-US" w:eastAsia="zh-CN"/>
        </w:rPr>
        <w:t xml:space="preserve"> 20 </w:t>
      </w:r>
      <w:r>
        <w:rPr>
          <w:rFonts w:hint="eastAsia" w:ascii="宋体" w:hAnsi="宋体" w:cs="宋体"/>
          <w:color w:val="auto"/>
          <w:szCs w:val="21"/>
          <w:highlight w:val="none"/>
        </w:rPr>
        <w:t>个</w:t>
      </w:r>
      <w:r>
        <w:rPr>
          <w:rFonts w:hint="eastAsia" w:ascii="宋体" w:hAnsi="宋体" w:cs="宋体"/>
          <w:color w:val="auto"/>
          <w:szCs w:val="21"/>
          <w:highlight w:val="none"/>
          <w:lang w:val="en-US" w:eastAsia="zh-CN"/>
        </w:rPr>
        <w:t>工作日</w:t>
      </w:r>
      <w:r>
        <w:rPr>
          <w:rFonts w:hint="eastAsia" w:ascii="宋体" w:hAnsi="宋体" w:cs="宋体"/>
          <w:color w:val="auto"/>
          <w:szCs w:val="21"/>
          <w:highlight w:val="none"/>
        </w:rPr>
        <w:t>内</w:t>
      </w:r>
      <w:r>
        <w:rPr>
          <w:rFonts w:hint="eastAsia" w:ascii="宋体" w:hAnsi="宋体" w:cs="宋体"/>
          <w:color w:val="auto"/>
          <w:szCs w:val="21"/>
          <w:highlight w:val="none"/>
          <w:lang w:val="en-US" w:eastAsia="zh-CN"/>
        </w:rPr>
        <w:t>先</w:t>
      </w:r>
      <w:r>
        <w:rPr>
          <w:rFonts w:hint="eastAsia" w:ascii="宋体" w:hAnsi="宋体" w:cs="宋体"/>
          <w:color w:val="auto"/>
          <w:szCs w:val="21"/>
          <w:highlight w:val="none"/>
          <w:lang w:val="en-US" w:eastAsia="zh-CN"/>
        </w:rPr>
        <w:t>后</w:t>
      </w:r>
      <w:r>
        <w:rPr>
          <w:rFonts w:hint="eastAsia" w:ascii="宋体" w:hAnsi="宋体" w:cs="宋体"/>
          <w:color w:val="auto"/>
          <w:szCs w:val="21"/>
          <w:highlight w:val="none"/>
        </w:rPr>
        <w:t>完成</w:t>
      </w:r>
      <w:r>
        <w:rPr>
          <w:rFonts w:hint="eastAsia" w:ascii="宋体" w:hAnsi="宋体" w:cs="宋体"/>
          <w:color w:val="auto"/>
          <w:szCs w:val="21"/>
          <w:highlight w:val="none"/>
          <w:lang w:val="en-US" w:eastAsia="zh-CN"/>
        </w:rPr>
        <w:t>尽职调查报告</w:t>
      </w:r>
      <w:r>
        <w:rPr>
          <w:rFonts w:hint="eastAsia" w:ascii="宋体" w:hAnsi="宋体" w:cs="宋体"/>
          <w:color w:val="auto"/>
          <w:szCs w:val="21"/>
          <w:highlight w:val="none"/>
        </w:rPr>
        <w:t>编制。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四、服务团队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1、乙方指派</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工作人员组成专项服务团队</w:t>
      </w:r>
      <w:r>
        <w:rPr>
          <w:rFonts w:hint="eastAsia" w:ascii="宋体" w:hAnsi="宋体" w:eastAsia="宋体" w:cs="宋体"/>
          <w:color w:val="auto"/>
          <w:sz w:val="21"/>
          <w:szCs w:val="21"/>
          <w:highlight w:val="none"/>
        </w:rPr>
        <w:t>开展工作。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2、本合同有效期内，乙方指派</w:t>
      </w:r>
      <w:r>
        <w:rPr>
          <w:rFonts w:hint="eastAsia" w:ascii="宋体" w:hAnsi="宋体" w:eastAsia="宋体" w:cs="宋体"/>
          <w:color w:val="auto"/>
          <w:sz w:val="21"/>
          <w:szCs w:val="21"/>
          <w:highlight w:val="none"/>
          <w:lang w:val="en-US" w:eastAsia="zh-CN"/>
        </w:rPr>
        <w:t>工作人员</w:t>
      </w:r>
      <w:r>
        <w:rPr>
          <w:rFonts w:hint="eastAsia" w:ascii="宋体" w:hAnsi="宋体" w:eastAsia="宋体" w:cs="宋体"/>
          <w:color w:val="auto"/>
          <w:sz w:val="21"/>
          <w:szCs w:val="21"/>
          <w:highlight w:val="none"/>
        </w:rPr>
        <w:t>对工作严重不负责任的，甲方有权要求乙方予以更换，乙方应当及时与甲方进行协商，并按甲方要求予以更换。</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五、服务方式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工作人员</w:t>
      </w:r>
      <w:r>
        <w:rPr>
          <w:rFonts w:hint="eastAsia" w:ascii="宋体" w:hAnsi="宋体" w:eastAsia="宋体" w:cs="宋体"/>
          <w:color w:val="auto"/>
          <w:sz w:val="21"/>
          <w:szCs w:val="21"/>
          <w:highlight w:val="none"/>
        </w:rPr>
        <w:t>采用</w:t>
      </w:r>
      <w:r>
        <w:rPr>
          <w:rFonts w:hint="eastAsia" w:ascii="宋体" w:hAnsi="宋体" w:eastAsia="宋体" w:cs="宋体"/>
          <w:color w:val="auto"/>
          <w:sz w:val="21"/>
          <w:szCs w:val="21"/>
          <w:highlight w:val="none"/>
          <w:lang w:val="en-US" w:eastAsia="zh-CN"/>
        </w:rPr>
        <w:t>自行</w:t>
      </w:r>
      <w:r>
        <w:rPr>
          <w:rFonts w:hint="eastAsia" w:ascii="宋体" w:hAnsi="宋体" w:eastAsia="宋体" w:cs="宋体"/>
          <w:color w:val="auto"/>
          <w:sz w:val="21"/>
          <w:szCs w:val="21"/>
          <w:highlight w:val="none"/>
          <w:lang w:val="en-US" w:eastAsia="zh-CN"/>
        </w:rPr>
        <w:t>前往目标公司开展尽职调查，并在相关单位调取相应材料，根据调查情况依法出具尽职调查报告</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六、服务要求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严格依照法律有关规定，完成委托事项，积极维护甲方的各项合法权益，不得向甲方提供违反法律规定的意见。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向甲方提供的</w:t>
      </w:r>
      <w:r>
        <w:rPr>
          <w:rFonts w:hint="eastAsia" w:ascii="宋体" w:hAnsi="宋体" w:eastAsia="宋体" w:cs="宋体"/>
          <w:color w:val="auto"/>
          <w:sz w:val="21"/>
          <w:szCs w:val="21"/>
          <w:highlight w:val="none"/>
          <w:lang w:val="en-US" w:eastAsia="zh-CN"/>
        </w:rPr>
        <w:t>报告</w:t>
      </w:r>
      <w:r>
        <w:rPr>
          <w:rFonts w:hint="eastAsia" w:ascii="宋体" w:hAnsi="宋体" w:eastAsia="宋体" w:cs="宋体"/>
          <w:color w:val="auto"/>
          <w:sz w:val="21"/>
          <w:szCs w:val="21"/>
          <w:highlight w:val="none"/>
        </w:rPr>
        <w:t>应当清晰、明确、全面，不得曲解法律规定的本意，或者有意向甲方隐瞒法律上既已存在的风险。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乙方工作人员</w:t>
      </w:r>
      <w:r>
        <w:rPr>
          <w:rFonts w:hint="eastAsia" w:ascii="宋体" w:hAnsi="宋体" w:eastAsia="宋体" w:cs="宋体"/>
          <w:color w:val="auto"/>
          <w:sz w:val="21"/>
          <w:szCs w:val="21"/>
          <w:highlight w:val="none"/>
        </w:rPr>
        <w:t>在工作中应当勤勉尽职，恪守职业道德和执业纪律，按照本行业公认的服务标准和服务规范提供服务。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4、乙方应对目标公司上、下游企业及同类竞争对手企业进行沟通交流不低于9家</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并将相关内容体现在尽职调查报告之中</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5、乙方现场尽调时间不得低于5个自然日。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根据甲方需要及时提交</w:t>
      </w:r>
      <w:r>
        <w:rPr>
          <w:rFonts w:hint="eastAsia" w:ascii="宋体" w:hAnsi="宋体" w:cs="宋体"/>
          <w:color w:val="auto"/>
          <w:sz w:val="21"/>
          <w:szCs w:val="21"/>
          <w:highlight w:val="none"/>
          <w:lang w:val="en-US" w:eastAsia="zh-CN"/>
        </w:rPr>
        <w:t>盖章版</w:t>
      </w:r>
      <w:r>
        <w:rPr>
          <w:rFonts w:hint="eastAsia" w:ascii="宋体" w:hAnsi="宋体" w:eastAsia="宋体" w:cs="宋体"/>
          <w:color w:val="auto"/>
          <w:sz w:val="21"/>
          <w:szCs w:val="21"/>
          <w:highlight w:val="none"/>
          <w:lang w:val="en-US" w:eastAsia="zh-CN"/>
        </w:rPr>
        <w:t>尽职调查报告</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、尽职调查报告应包括但不限于业务、财务、法务尽职调查相关分析。其中业务尽职调查服务内容包括但不限于：</w:t>
      </w:r>
      <w:r>
        <w:rPr>
          <w:rFonts w:hint="eastAsia" w:ascii="宋体" w:hAnsi="宋体" w:cs="宋体"/>
          <w:color w:val="auto"/>
          <w:sz w:val="21"/>
          <w:szCs w:val="21"/>
          <w:highlight w:val="none"/>
          <w:lang w:val="en-US" w:eastAsia="zh-CN"/>
        </w:rPr>
        <w:t>①</w:t>
      </w:r>
      <w:r>
        <w:rPr>
          <w:rFonts w:hint="eastAsia" w:ascii="宋体" w:hAnsi="宋体" w:eastAsia="宋体" w:cs="宋体"/>
          <w:color w:val="auto"/>
          <w:sz w:val="21"/>
          <w:szCs w:val="21"/>
          <w:highlight w:val="none"/>
          <w:lang w:val="en-US" w:eastAsia="zh-CN"/>
        </w:rPr>
        <w:t>行业及竞争概况：行业类别、行业宏观政策、行业概况及竞争、行业经营模式、行业产业链等；</w:t>
      </w:r>
      <w:r>
        <w:rPr>
          <w:rFonts w:hint="eastAsia" w:ascii="宋体" w:hAnsi="宋体" w:cs="宋体"/>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采购情况：市场供求、采购模式、主要供应商、采购与生产的衔接、存货相关制度、关联采购等；</w:t>
      </w:r>
      <w:r>
        <w:rPr>
          <w:rFonts w:hint="eastAsia" w:ascii="宋体" w:hAnsi="宋体" w:cs="宋体"/>
          <w:color w:val="auto"/>
          <w:sz w:val="21"/>
          <w:szCs w:val="21"/>
          <w:highlight w:val="none"/>
          <w:lang w:val="en-US" w:eastAsia="zh-CN"/>
        </w:rPr>
        <w:t>③</w:t>
      </w:r>
      <w:r>
        <w:rPr>
          <w:rFonts w:hint="eastAsia" w:ascii="宋体" w:hAnsi="宋体" w:eastAsia="宋体" w:cs="宋体"/>
          <w:color w:val="auto"/>
          <w:sz w:val="21"/>
          <w:szCs w:val="21"/>
          <w:highlight w:val="none"/>
          <w:lang w:val="en-US" w:eastAsia="zh-CN"/>
        </w:rPr>
        <w:t>产品及生产情况：主要产品市场分析、产品市场竞争格局、产品生命周期分析、生产装备固定资产投资、生产流程、生产能力、主要无形资产、成本结构分析、生产质量管理、生产安全管理、环保情况等；</w:t>
      </w:r>
      <w:r>
        <w:rPr>
          <w:rFonts w:hint="eastAsia" w:ascii="宋体" w:hAnsi="宋体" w:cs="宋体"/>
          <w:color w:val="auto"/>
          <w:sz w:val="21"/>
          <w:szCs w:val="21"/>
          <w:highlight w:val="none"/>
          <w:lang w:val="en-US" w:eastAsia="zh-CN"/>
        </w:rPr>
        <w:t>④</w:t>
      </w:r>
      <w:r>
        <w:rPr>
          <w:rFonts w:hint="eastAsia" w:ascii="宋体" w:hAnsi="宋体" w:eastAsia="宋体" w:cs="宋体"/>
          <w:color w:val="auto"/>
          <w:sz w:val="21"/>
          <w:szCs w:val="21"/>
          <w:highlight w:val="none"/>
          <w:lang w:val="en-US" w:eastAsia="zh-CN"/>
        </w:rPr>
        <w:t>销售情况：销售模式及品牌情况、产品的市场地位、主要客户、关联销售等；</w:t>
      </w:r>
      <w:r>
        <w:rPr>
          <w:rFonts w:hint="eastAsia" w:ascii="宋体" w:hAnsi="宋体" w:cs="宋体"/>
          <w:color w:val="auto"/>
          <w:sz w:val="21"/>
          <w:szCs w:val="21"/>
          <w:highlight w:val="none"/>
          <w:lang w:val="en-US" w:eastAsia="zh-CN"/>
        </w:rPr>
        <w:t>⑤</w:t>
      </w:r>
      <w:r>
        <w:rPr>
          <w:rFonts w:hint="eastAsia" w:ascii="宋体" w:hAnsi="宋体" w:eastAsia="宋体" w:cs="宋体"/>
          <w:color w:val="auto"/>
          <w:sz w:val="21"/>
          <w:szCs w:val="21"/>
          <w:highlight w:val="none"/>
          <w:lang w:val="en-US" w:eastAsia="zh-CN"/>
        </w:rPr>
        <w:t>技术及研发情况：新产品、新技术研发路线、研发模式和机制、技术水平、研发潜力等；</w:t>
      </w:r>
      <w:r>
        <w:rPr>
          <w:rFonts w:hint="eastAsia" w:ascii="宋体" w:hAnsi="宋体" w:cs="宋体"/>
          <w:color w:val="auto"/>
          <w:sz w:val="21"/>
          <w:szCs w:val="21"/>
          <w:highlight w:val="none"/>
          <w:lang w:val="en-US" w:eastAsia="zh-CN"/>
        </w:rPr>
        <w:t>⑥</w:t>
      </w:r>
      <w:r>
        <w:rPr>
          <w:rFonts w:hint="eastAsia" w:ascii="宋体" w:hAnsi="宋体" w:eastAsia="宋体" w:cs="宋体"/>
          <w:color w:val="auto"/>
          <w:sz w:val="21"/>
          <w:szCs w:val="21"/>
          <w:highlight w:val="none"/>
          <w:lang w:val="en-US" w:eastAsia="zh-CN"/>
        </w:rPr>
        <w:t>标的公司的背景、团队、知识产权、经营能力等</w:t>
      </w:r>
      <w:r>
        <w:rPr>
          <w:rFonts w:hint="eastAsia" w:ascii="宋体" w:hAnsi="宋体" w:cs="宋体"/>
          <w:color w:val="auto"/>
          <w:sz w:val="21"/>
          <w:szCs w:val="21"/>
          <w:highlight w:val="none"/>
          <w:lang w:val="en-US" w:eastAsia="zh-CN"/>
        </w:rPr>
        <w:t>；⑦估值测算等。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七、工作配合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确保项目成果的完整性以及及时性，甲方需协助乙方取得标的公司介绍资料、团队及项目相关资料，以开展尽职调查工作。所需的基本资料，包括但不局限于以下内容：投资方及团队介绍资料、项目背景、业务范围、资质等级、资产情况、融资能力、项目情况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乙方应保证有能力提供本合同所约定的服务并依据国家及相关地方政府颁发的规范、规定，依照本合同的各项条款约定的内容，协调相关部门为甲方提供咨询服务，并在取得相关资料后20个工作日内</w:t>
      </w:r>
      <w:r>
        <w:rPr>
          <w:rFonts w:hint="eastAsia" w:ascii="宋体" w:hAnsi="宋体" w:cs="宋体"/>
          <w:color w:val="auto"/>
          <w:sz w:val="21"/>
          <w:szCs w:val="21"/>
          <w:highlight w:val="none"/>
          <w:lang w:val="en-US" w:eastAsia="zh-CN"/>
        </w:rPr>
        <w:t>先后</w:t>
      </w:r>
      <w:r>
        <w:rPr>
          <w:rFonts w:hint="eastAsia" w:ascii="宋体" w:hAnsi="宋体" w:eastAsia="宋体" w:cs="宋体"/>
          <w:color w:val="auto"/>
          <w:sz w:val="21"/>
          <w:szCs w:val="21"/>
          <w:highlight w:val="none"/>
        </w:rPr>
        <w:t>尽职调查报告。如因乙方原因导致其提交尽职调查报告存在重大错误或不能作为甲方依据使用，甲方可拒绝支付服务费，已支付的服务费乙方应予退还。</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八、服务费用</w:t>
      </w:r>
      <w:r>
        <w:rPr>
          <w:rFonts w:hint="eastAsia" w:ascii="宋体" w:hAnsi="宋体" w:eastAsia="宋体" w:cs="宋体"/>
          <w:b/>
          <w:bCs/>
          <w:color w:val="auto"/>
          <w:sz w:val="24"/>
          <w:szCs w:val="24"/>
          <w:highlight w:val="none"/>
          <w:lang w:val="en-US" w:eastAsia="zh-CN"/>
        </w:rPr>
        <w:t>及支付方式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经双方协商一致，本合同专项服务费用为人民币</w:t>
      </w:r>
      <w:r>
        <w:rPr>
          <w:rFonts w:hint="eastAsia" w:ascii="宋体" w:hAnsi="宋体" w:eastAsia="宋体" w:cs="宋体"/>
          <w:color w:val="auto"/>
          <w:sz w:val="21"/>
          <w:szCs w:val="21"/>
          <w:highlight w:val="none"/>
          <w:lang w:val="en-US" w:eastAsia="zh-CN"/>
        </w:rPr>
        <w:t>元（大写：元）。</w:t>
      </w:r>
      <w:r>
        <w:rPr>
          <w:rFonts w:hint="eastAsia" w:ascii="宋体" w:hAnsi="宋体" w:eastAsia="宋体" w:cs="宋体"/>
          <w:color w:val="auto"/>
          <w:sz w:val="21"/>
          <w:szCs w:val="21"/>
          <w:highlight w:val="none"/>
        </w:rPr>
        <w:t>以上约定的服务费用由甲方支付给乙方，具体支付时间和方式如下：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甲乙双方约定</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提交尽职调查报告并通过甲方验收后10个工作日内支付合同总额的100%，乙方应在甲方付款前向甲方开具真实合法有效的增值税发票。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补充说明：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合同签订起20个工作日内，乙方根据收到的相关资料，出具尽职调查报告。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乙方收款账户：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收入户账号：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纳税识别号：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九、保密条款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对本合同履行过程中相互提供的资料及本次服务中所接触、了解的信息、法律文件等均负有保密义务。除非法律要求或者接到对方书面通知，另一方不得泄露给第三方。本协议的无效或终止不影响本条款的有效性。</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十、违约责任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在合同履行期间，非乙方原因造成甲方单方面终止或结束合同，甲方应根据乙方已完成的实际工作量及发生的必要成本支付相应费用。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合同生效后，乙方单方面终止或解除合同，甲方不支付任何咨询费用，乙方应承担由此给甲方造成的损失，包括直接损失、间接损失及律师费、诉讼费、保全费、公证费等合理维权费用。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对咨询成果资料及文件出现的遗漏或错误负责无偿修改或补充，且按甲方指定的时间节点完成修改。由此乙方错误造成的甲方损失，乙方应当承担违约赔偿责任。原则上，乙方赔偿额以具体项目收到的咨询服务费为限。</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十一、免责条款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因以下各项情况所导致的风险乙方不承担责任：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w:t>
      </w:r>
      <w:r>
        <w:rPr>
          <w:rFonts w:hint="eastAsia" w:ascii="宋体" w:hAnsi="宋体" w:eastAsia="宋体" w:cs="宋体"/>
          <w:color w:val="auto"/>
          <w:sz w:val="21"/>
          <w:szCs w:val="21"/>
          <w:highlight w:val="none"/>
          <w:lang w:val="en-US" w:eastAsia="zh-CN"/>
        </w:rPr>
        <w:t>标的公司</w:t>
      </w:r>
      <w:r>
        <w:rPr>
          <w:rFonts w:hint="eastAsia" w:ascii="宋体" w:hAnsi="宋体" w:eastAsia="宋体" w:cs="宋体"/>
          <w:color w:val="auto"/>
          <w:sz w:val="21"/>
          <w:szCs w:val="21"/>
          <w:highlight w:val="none"/>
        </w:rPr>
        <w:t>提供资料不及时、不完整导致</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不能在约定时间完成工作的。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、因不可抗力及甲方原因导致</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难以完成工作。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、因委托事项的关联第三方原因，导致本合同的履行目的不能实现的。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十二、联系方式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甲方联系人：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color w:val="auto"/>
          <w:highlight w:val="none"/>
        </w:rPr>
        <w:t>联系电话：                              </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乙方联系人：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通讯地址：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本合同履行期间，双方的通知可用</w:t>
      </w:r>
      <w:r>
        <w:rPr>
          <w:rFonts w:hint="eastAsia" w:ascii="宋体" w:hAnsi="宋体" w:eastAsia="宋体" w:cs="宋体"/>
          <w:color w:val="auto"/>
          <w:sz w:val="21"/>
          <w:szCs w:val="21"/>
          <w:highlight w:val="none"/>
          <w:lang w:val="en-US" w:eastAsia="zh-CN"/>
        </w:rPr>
        <w:t>EMS</w:t>
      </w:r>
      <w:r>
        <w:rPr>
          <w:rFonts w:hint="eastAsia" w:ascii="宋体" w:hAnsi="宋体" w:eastAsia="宋体" w:cs="宋体"/>
          <w:color w:val="auto"/>
          <w:sz w:val="21"/>
          <w:szCs w:val="21"/>
          <w:highlight w:val="none"/>
        </w:rPr>
        <w:t>特快专递的方式送达，特快专递到达对方之日视为送达日（无论对方是否签收），通知送达地以双方签订本合同时提供的通讯地址及联系方式为准。如双方变更通讯地址或联系方式未书面通知对方的，不承担因此导致的送达不到的责任；双方通过电子数据沟通交付的内容，交付之时即为送达。</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十三、争议解决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因本合同发生的纠纷，双方应尽量协商解决，协商不成的，任何一方都可以选择以下          方式解决：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法院起诉；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               仲裁委员会申请仲裁。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十四、其他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本合同壹式    </w:t>
      </w:r>
      <w:r>
        <w:rPr>
          <w:rFonts w:hint="eastAsia" w:ascii="宋体" w:hAnsi="宋体" w:cs="宋体"/>
          <w:color w:val="auto"/>
          <w:sz w:val="21"/>
          <w:szCs w:val="21"/>
          <w:highlight w:val="none"/>
          <w:lang w:val="en-US" w:eastAsia="zh-CN"/>
        </w:rPr>
        <w:t>肆</w:t>
      </w:r>
      <w:r>
        <w:rPr>
          <w:rFonts w:hint="eastAsia" w:ascii="宋体" w:hAnsi="宋体" w:eastAsia="宋体" w:cs="宋体"/>
          <w:color w:val="auto"/>
          <w:sz w:val="21"/>
          <w:szCs w:val="21"/>
          <w:highlight w:val="none"/>
        </w:rPr>
        <w:t> 份，甲、乙双方各持 </w:t>
      </w:r>
      <w:r>
        <w:rPr>
          <w:rFonts w:hint="eastAsia" w:ascii="宋体" w:hAnsi="宋体" w:cs="宋体"/>
          <w:color w:val="auto"/>
          <w:sz w:val="21"/>
          <w:szCs w:val="21"/>
          <w:highlight w:val="none"/>
          <w:lang w:val="en-US" w:eastAsia="zh-CN"/>
        </w:rPr>
        <w:t>贰</w:t>
      </w:r>
      <w:r>
        <w:rPr>
          <w:rFonts w:hint="eastAsia" w:ascii="宋体" w:hAnsi="宋体" w:eastAsia="宋体" w:cs="宋体"/>
          <w:color w:val="auto"/>
          <w:sz w:val="21"/>
          <w:szCs w:val="21"/>
          <w:highlight w:val="none"/>
        </w:rPr>
        <w:t>  份，自双方签署完成后生效。本合同于    年   月   日签署。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                   （盖章）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授权代表（签名）：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授权代表（签名）：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二零二四年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99"/>
        <w:textAlignment w:val="auto"/>
        <w:rPr>
          <w:rFonts w:hint="eastAsia"/>
          <w:color w:val="auto"/>
          <w:highlight w:val="none"/>
        </w:rPr>
      </w:pPr>
      <w:r>
        <w:rPr>
          <w:rFonts w:hint="eastAsia" w:ascii="宋体" w:hAnsi="宋体" w:eastAsia="宋体" w:cs="宋体"/>
          <w:color w:val="auto"/>
          <w:sz w:val="21"/>
          <w:szCs w:val="21"/>
          <w:highlight w:val="none"/>
        </w:rPr>
        <w:br w:type="page"/>
      </w:r>
    </w:p>
    <w:bookmarkEnd w:id="79"/>
    <w:p>
      <w:pPr>
        <w:pStyle w:val="2"/>
        <w:rPr>
          <w:rFonts w:hint="eastAsia" w:ascii="宋体" w:hAnsi="宋体" w:cs="宋体"/>
          <w:color w:val="auto"/>
          <w:sz w:val="32"/>
          <w:szCs w:val="32"/>
          <w:highlight w:val="none"/>
        </w:rPr>
      </w:pPr>
      <w:bookmarkStart w:id="83" w:name="_Toc18772"/>
      <w:bookmarkStart w:id="84" w:name="_Toc10830"/>
      <w:bookmarkStart w:id="85" w:name="_Toc10515"/>
      <w:r>
        <w:rPr>
          <w:rFonts w:hint="eastAsia" w:ascii="宋体" w:hAnsi="宋体" w:cs="宋体"/>
          <w:color w:val="auto"/>
          <w:sz w:val="32"/>
          <w:szCs w:val="32"/>
          <w:highlight w:val="none"/>
        </w:rPr>
        <w:t xml:space="preserve">第五章  </w:t>
      </w:r>
      <w:r>
        <w:rPr>
          <w:rFonts w:hint="eastAsia" w:ascii="宋体" w:hAnsi="宋体" w:cs="宋体"/>
          <w:color w:val="auto"/>
          <w:sz w:val="32"/>
          <w:szCs w:val="32"/>
          <w:highlight w:val="none"/>
          <w:lang w:val="en-US" w:eastAsia="zh-CN"/>
        </w:rPr>
        <w:t>投标</w:t>
      </w:r>
      <w:r>
        <w:rPr>
          <w:rFonts w:hint="eastAsia" w:ascii="宋体" w:hAnsi="宋体" w:cs="宋体"/>
          <w:color w:val="auto"/>
          <w:sz w:val="32"/>
          <w:szCs w:val="32"/>
          <w:highlight w:val="none"/>
        </w:rPr>
        <w:t>文件格式</w:t>
      </w:r>
      <w:bookmarkEnd w:id="83"/>
      <w:bookmarkEnd w:id="84"/>
      <w:bookmarkEnd w:id="85"/>
    </w:p>
    <w:p>
      <w:pPr>
        <w:ind w:firstLine="6440" w:firstLineChars="2300"/>
        <w:rPr>
          <w:rFonts w:hint="eastAsia" w:ascii="宋体" w:hAnsi="宋体" w:cs="宋体"/>
          <w:color w:val="auto"/>
          <w:sz w:val="28"/>
          <w:szCs w:val="28"/>
          <w:highlight w:val="none"/>
          <w:bdr w:val="single" w:color="000000" w:sz="4" w:space="0"/>
        </w:rPr>
      </w:pPr>
      <w:r>
        <w:rPr>
          <w:rFonts w:hint="eastAsia" w:ascii="宋体" w:hAnsi="宋体" w:cs="宋体"/>
          <w:color w:val="auto"/>
          <w:sz w:val="28"/>
          <w:szCs w:val="28"/>
          <w:highlight w:val="none"/>
          <w:bdr w:val="single" w:color="000000" w:sz="4" w:space="0"/>
        </w:rPr>
        <w:t>注明正本或副本</w:t>
      </w:r>
    </w:p>
    <w:p>
      <w:pPr>
        <w:jc w:val="center"/>
        <w:rPr>
          <w:rFonts w:hint="eastAsia" w:ascii="宋体" w:hAnsi="宋体" w:cs="宋体"/>
          <w:color w:val="auto"/>
          <w:sz w:val="20"/>
          <w:highlight w:val="none"/>
        </w:rPr>
      </w:pPr>
    </w:p>
    <w:p>
      <w:pPr>
        <w:jc w:val="center"/>
        <w:rPr>
          <w:rFonts w:hint="eastAsia" w:ascii="宋体" w:hAnsi="宋体" w:cs="宋体"/>
          <w:color w:val="auto"/>
          <w:sz w:val="44"/>
          <w:szCs w:val="44"/>
          <w:highlight w:val="none"/>
        </w:rPr>
      </w:pPr>
      <w:r>
        <w:rPr>
          <w:rFonts w:hint="eastAsia" w:ascii="宋体" w:hAnsi="宋体" w:cs="宋体"/>
          <w:color w:val="auto"/>
          <w:sz w:val="32"/>
          <w:szCs w:val="32"/>
          <w:highlight w:val="none"/>
        </w:rPr>
        <w:t>资格证明文件</w:t>
      </w:r>
    </w:p>
    <w:p>
      <w:pPr>
        <w:jc w:val="center"/>
        <w:rPr>
          <w:rFonts w:hint="eastAsia" w:ascii="宋体" w:hAnsi="宋体" w:cs="宋体"/>
          <w:color w:val="auto"/>
          <w:sz w:val="32"/>
          <w:szCs w:val="32"/>
          <w:highlight w:val="none"/>
          <w:u w:val="single"/>
        </w:rPr>
      </w:pPr>
    </w:p>
    <w:p>
      <w:pPr>
        <w:jc w:val="center"/>
        <w:rPr>
          <w:rFonts w:hint="eastAsia" w:ascii="宋体" w:hAnsi="宋体" w:cs="宋体"/>
          <w:color w:val="auto"/>
          <w:sz w:val="32"/>
          <w:szCs w:val="32"/>
          <w:highlight w:val="none"/>
        </w:rPr>
      </w:pP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项目名称</w:t>
      </w: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jc w:val="center"/>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投标人：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p>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pPr>
        <w:spacing w:line="720" w:lineRule="auto"/>
        <w:jc w:val="center"/>
        <w:rPr>
          <w:rFonts w:hint="eastAsia" w:ascii="宋体" w:hAnsi="宋体" w:cs="宋体"/>
          <w:b/>
          <w:color w:val="auto"/>
          <w:sz w:val="36"/>
          <w:szCs w:val="36"/>
          <w:highlight w:val="none"/>
        </w:rPr>
      </w:pPr>
    </w:p>
    <w:p>
      <w:pPr>
        <w:spacing w:line="400" w:lineRule="exact"/>
        <w:jc w:val="center"/>
        <w:rPr>
          <w:rFonts w:hint="eastAsia" w:ascii="宋体" w:hAnsi="宋体" w:cs="宋体"/>
          <w:b/>
          <w:color w:val="auto"/>
          <w:sz w:val="28"/>
          <w:szCs w:val="44"/>
          <w:highlight w:val="none"/>
        </w:rPr>
      </w:pPr>
      <w:r>
        <w:rPr>
          <w:rFonts w:hint="eastAsia" w:ascii="宋体" w:hAnsi="宋体" w:cs="宋体"/>
          <w:b/>
          <w:color w:val="auto"/>
          <w:sz w:val="28"/>
          <w:szCs w:val="44"/>
          <w:highlight w:val="none"/>
        </w:rPr>
        <w:br w:type="page"/>
      </w:r>
      <w:r>
        <w:rPr>
          <w:rFonts w:hint="eastAsia" w:ascii="宋体" w:hAnsi="宋体" w:cs="宋体"/>
          <w:b/>
          <w:color w:val="auto"/>
          <w:sz w:val="28"/>
          <w:szCs w:val="44"/>
          <w:highlight w:val="none"/>
        </w:rPr>
        <w:t>目录</w:t>
      </w:r>
    </w:p>
    <w:p>
      <w:pPr>
        <w:pStyle w:val="43"/>
        <w:rPr>
          <w:rFonts w:hint="eastAsia" w:ascii="宋体" w:hAnsi="宋体" w:cs="宋体"/>
          <w:color w:val="auto"/>
          <w:highlight w:val="none"/>
        </w:rPr>
      </w:pPr>
    </w:p>
    <w:p>
      <w:pPr>
        <w:pStyle w:val="43"/>
        <w:rPr>
          <w:rFonts w:hint="eastAsia" w:ascii="宋体" w:hAnsi="宋体" w:cs="宋体"/>
          <w:color w:val="auto"/>
          <w:highlight w:val="none"/>
        </w:rPr>
      </w:pP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 xml:space="preserve">法定代表人身份证明文件和本人有效身份证(或法定代表人授权委托书和委托代理人有效身份证)； </w:t>
      </w:r>
    </w:p>
    <w:p>
      <w:pPr>
        <w:spacing w:line="44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rPr>
        <w:t>具有有效的营业执照、税务登记证、组织机构代码证（或多证合一的有效证件）且具有相应的咨询服务能力；</w:t>
      </w:r>
    </w:p>
    <w:p>
      <w:pPr>
        <w:spacing w:line="44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rPr>
        <w:t>业绩</w:t>
      </w:r>
      <w:r>
        <w:rPr>
          <w:rFonts w:hint="eastAsia" w:ascii="宋体" w:hAnsi="宋体" w:cs="宋体"/>
          <w:b w:val="0"/>
          <w:bCs w:val="0"/>
          <w:color w:val="auto"/>
          <w:szCs w:val="21"/>
          <w:highlight w:val="none"/>
          <w:lang w:val="en-US" w:eastAsia="zh-CN"/>
        </w:rPr>
        <w:t>证明材料；</w:t>
      </w:r>
    </w:p>
    <w:p>
      <w:pPr>
        <w:spacing w:line="44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诚信投标承诺书</w:t>
      </w:r>
      <w:r>
        <w:rPr>
          <w:rFonts w:hint="eastAsia" w:ascii="宋体" w:hAnsi="宋体" w:cs="宋体"/>
          <w:color w:val="auto"/>
          <w:szCs w:val="21"/>
          <w:highlight w:val="none"/>
          <w:lang w:eastAsia="zh-CN"/>
        </w:rPr>
        <w:t>；</w:t>
      </w:r>
      <w:r>
        <w:rPr>
          <w:rFonts w:hint="eastAsia" w:ascii="宋体" w:hAnsi="宋体" w:cs="宋体"/>
          <w:color w:val="auto"/>
          <w:szCs w:val="21"/>
          <w:highlight w:val="none"/>
        </w:rPr>
        <w:t>（格式见附件）</w:t>
      </w:r>
    </w:p>
    <w:p>
      <w:pPr>
        <w:spacing w:line="44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（5）资信评分材料；</w:t>
      </w:r>
    </w:p>
    <w:p>
      <w:pPr>
        <w:spacing w:line="440" w:lineRule="exact"/>
        <w:ind w:firstLine="420" w:firstLineChars="200"/>
        <w:rPr>
          <w:rFonts w:hint="eastAsia" w:ascii="宋体" w:hAnsi="宋体" w:eastAsia="宋体" w:cs="宋体"/>
          <w:b/>
          <w:color w:val="auto"/>
          <w:sz w:val="28"/>
          <w:szCs w:val="28"/>
          <w:highlight w:val="none"/>
          <w:lang w:eastAsia="zh-CN"/>
        </w:rPr>
      </w:pPr>
      <w:r>
        <w:rPr>
          <w:rFonts w:hint="eastAsia" w:ascii="宋体" w:hAnsi="宋体" w:cs="宋体"/>
          <w:color w:val="auto"/>
          <w:szCs w:val="21"/>
          <w:highlight w:val="none"/>
          <w:lang w:val="en-US" w:eastAsia="zh-CN"/>
        </w:rPr>
        <w:t>（6）投标人认为需要提供的其他材料</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p>
    <w:p>
      <w:pPr>
        <w:spacing w:line="440" w:lineRule="exact"/>
        <w:ind w:firstLine="562" w:firstLineChars="200"/>
        <w:rPr>
          <w:rFonts w:hint="eastAsia" w:ascii="宋体" w:hAnsi="宋体" w:cs="宋体"/>
          <w:b/>
          <w:color w:val="auto"/>
          <w:sz w:val="28"/>
          <w:szCs w:val="28"/>
          <w:highlight w:val="none"/>
        </w:rPr>
      </w:pPr>
    </w:p>
    <w:p>
      <w:pPr>
        <w:spacing w:line="440" w:lineRule="exact"/>
        <w:ind w:firstLine="562" w:firstLineChars="200"/>
        <w:rPr>
          <w:rFonts w:hint="eastAsia" w:ascii="宋体" w:hAnsi="宋体" w:cs="宋体"/>
          <w:b/>
          <w:color w:val="auto"/>
          <w:sz w:val="28"/>
          <w:szCs w:val="28"/>
          <w:highlight w:val="none"/>
        </w:rPr>
      </w:pPr>
    </w:p>
    <w:p>
      <w:pPr>
        <w:spacing w:line="440" w:lineRule="exact"/>
        <w:ind w:firstLine="562" w:firstLineChars="200"/>
        <w:rPr>
          <w:rFonts w:hint="eastAsia" w:ascii="宋体" w:hAnsi="宋体" w:cs="宋体"/>
          <w:b/>
          <w:color w:val="auto"/>
          <w:sz w:val="28"/>
          <w:szCs w:val="28"/>
          <w:highlight w:val="none"/>
        </w:rPr>
      </w:pPr>
    </w:p>
    <w:p>
      <w:pPr>
        <w:spacing w:line="400" w:lineRule="exact"/>
        <w:ind w:firstLine="562" w:firstLineChars="200"/>
        <w:rPr>
          <w:rFonts w:hint="eastAsia" w:ascii="宋体" w:hAnsi="宋体" w:cs="宋体"/>
          <w:b/>
          <w:color w:val="auto"/>
          <w:sz w:val="28"/>
          <w:szCs w:val="28"/>
          <w:highlight w:val="none"/>
        </w:rPr>
      </w:pPr>
    </w:p>
    <w:p>
      <w:pPr>
        <w:spacing w:line="400" w:lineRule="exact"/>
        <w:ind w:firstLine="562" w:firstLineChars="200"/>
        <w:rPr>
          <w:rFonts w:hint="eastAsia" w:ascii="宋体" w:hAnsi="宋体" w:cs="宋体"/>
          <w:b/>
          <w:color w:val="auto"/>
          <w:sz w:val="28"/>
          <w:szCs w:val="28"/>
          <w:highlight w:val="none"/>
        </w:rPr>
      </w:pPr>
    </w:p>
    <w:p>
      <w:pPr>
        <w:spacing w:line="400" w:lineRule="exact"/>
        <w:ind w:firstLine="562" w:firstLineChars="200"/>
        <w:rPr>
          <w:rFonts w:hint="eastAsia" w:ascii="宋体" w:hAnsi="宋体" w:cs="宋体"/>
          <w:b/>
          <w:color w:val="auto"/>
          <w:sz w:val="28"/>
          <w:szCs w:val="28"/>
          <w:highlight w:val="none"/>
        </w:rPr>
      </w:pPr>
    </w:p>
    <w:p>
      <w:pPr>
        <w:spacing w:line="400" w:lineRule="exact"/>
        <w:ind w:firstLine="562" w:firstLineChars="200"/>
        <w:rPr>
          <w:rFonts w:hint="eastAsia" w:ascii="宋体" w:hAnsi="宋体" w:cs="宋体"/>
          <w:b/>
          <w:color w:val="auto"/>
          <w:sz w:val="28"/>
          <w:szCs w:val="28"/>
          <w:highlight w:val="none"/>
        </w:rPr>
      </w:pPr>
    </w:p>
    <w:p>
      <w:pPr>
        <w:spacing w:line="400" w:lineRule="exact"/>
        <w:ind w:firstLine="562" w:firstLineChars="200"/>
        <w:rPr>
          <w:rFonts w:hint="eastAsia" w:ascii="宋体" w:hAnsi="宋体" w:cs="宋体"/>
          <w:b/>
          <w:color w:val="auto"/>
          <w:sz w:val="28"/>
          <w:szCs w:val="28"/>
          <w:highlight w:val="none"/>
        </w:rPr>
      </w:pPr>
    </w:p>
    <w:p>
      <w:pPr>
        <w:spacing w:line="400" w:lineRule="exact"/>
        <w:ind w:firstLine="562" w:firstLineChars="200"/>
        <w:rPr>
          <w:rFonts w:hint="eastAsia" w:ascii="宋体" w:hAnsi="宋体" w:cs="宋体"/>
          <w:b/>
          <w:color w:val="auto"/>
          <w:sz w:val="28"/>
          <w:szCs w:val="28"/>
          <w:highlight w:val="none"/>
        </w:rPr>
      </w:pPr>
    </w:p>
    <w:p>
      <w:pPr>
        <w:spacing w:line="400" w:lineRule="exact"/>
        <w:ind w:firstLine="562" w:firstLineChars="200"/>
        <w:rPr>
          <w:rFonts w:hint="eastAsia" w:ascii="宋体" w:hAnsi="宋体" w:cs="宋体"/>
          <w:b/>
          <w:color w:val="auto"/>
          <w:sz w:val="28"/>
          <w:szCs w:val="28"/>
          <w:highlight w:val="none"/>
        </w:rPr>
      </w:pPr>
    </w:p>
    <w:p>
      <w:pPr>
        <w:spacing w:line="400" w:lineRule="exact"/>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附件1</w:t>
      </w:r>
    </w:p>
    <w:p>
      <w:pPr>
        <w:spacing w:line="360" w:lineRule="auto"/>
        <w:ind w:left="72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法定代表人身份证明或授权委托书</w:t>
      </w:r>
    </w:p>
    <w:p>
      <w:pPr>
        <w:pStyle w:val="209"/>
        <w:spacing w:before="312" w:beforeLines="100" w:after="312" w:afterLines="100" w:line="480" w:lineRule="exact"/>
        <w:ind w:firstLine="157" w:firstLineChars="75"/>
        <w:rPr>
          <w:rFonts w:hint="eastAsia" w:ascii="宋体" w:hAnsi="宋体" w:cs="宋体"/>
          <w:b/>
          <w:color w:val="auto"/>
          <w:sz w:val="21"/>
          <w:szCs w:val="21"/>
          <w:highlight w:val="none"/>
        </w:rPr>
      </w:pPr>
      <w:r>
        <w:rPr>
          <w:rFonts w:hint="eastAsia" w:ascii="宋体" w:hAnsi="宋体" w:cs="宋体"/>
          <w:color w:val="auto"/>
          <w:sz w:val="21"/>
          <w:szCs w:val="21"/>
          <w:highlight w:val="none"/>
        </w:rPr>
        <w:t>1、法定代表人身份证明</w:t>
      </w:r>
    </w:p>
    <w:p>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单位性质：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480" w:lineRule="exact"/>
        <w:ind w:firstLine="345" w:firstLineChars="50"/>
        <w:rPr>
          <w:rFonts w:hint="eastAsia" w:ascii="宋体" w:hAnsi="宋体" w:cs="宋体"/>
          <w:color w:val="auto"/>
          <w:szCs w:val="21"/>
          <w:highlight w:val="none"/>
        </w:rPr>
      </w:pPr>
      <w:r>
        <w:rPr>
          <w:rFonts w:hint="eastAsia" w:ascii="宋体" w:hAnsi="宋体" w:cs="宋体"/>
          <w:color w:val="auto"/>
          <w:spacing w:val="240"/>
          <w:szCs w:val="21"/>
          <w:highlight w:val="none"/>
        </w:rPr>
        <w:t>姓</w:t>
      </w:r>
      <w:r>
        <w:rPr>
          <w:rFonts w:hint="eastAsia" w:ascii="宋体" w:hAnsi="宋体" w:cs="宋体"/>
          <w:color w:val="auto"/>
          <w:szCs w:val="21"/>
          <w:highlight w:val="none"/>
        </w:rPr>
        <w:t>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p>
    <w:p>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w:t>
      </w:r>
    </w:p>
    <w:p>
      <w:pPr>
        <w:spacing w:line="48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特此证明。</w:t>
      </w:r>
    </w:p>
    <w:p>
      <w:pPr>
        <w:spacing w:line="360" w:lineRule="auto"/>
        <w:ind w:firstLine="3045" w:firstLineChars="1450"/>
        <w:rPr>
          <w:rFonts w:hint="eastAsia"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pPr>
        <w:spacing w:before="312" w:beforeLines="100" w:after="312" w:afterLines="100" w:line="480" w:lineRule="exact"/>
        <w:ind w:firstLine="3255" w:firstLineChars="1550"/>
        <w:rPr>
          <w:rFonts w:hint="eastAsia" w:ascii="宋体" w:hAnsi="宋体" w:cs="宋体"/>
          <w:color w:val="auto"/>
          <w:szCs w:val="21"/>
          <w:highlight w:val="none"/>
        </w:rPr>
      </w:pPr>
      <w:r>
        <w:rPr>
          <w:rFonts w:hint="eastAsia" w:ascii="宋体" w:hAnsi="宋体" w:cs="宋体"/>
          <w:color w:val="auto"/>
          <w:szCs w:val="21"/>
          <w:highlight w:val="none"/>
        </w:rPr>
        <w:t>2、授权委托书</w:t>
      </w:r>
    </w:p>
    <w:p>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本人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（投标人）的法定代表人，现委托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（姓名）为我方代理人。代理人根据授权，以我方名义签署、澄清、说明、补正、递交、撤回、修改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”(项目名称）招标文件，全权处理与该项目投标、评审答疑、签订合同以及与合同执行有关的一切事务，其法律后果由我方承担。</w:t>
      </w:r>
    </w:p>
    <w:p>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委托期限：                                </w:t>
      </w:r>
    </w:p>
    <w:p>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代理人无转委托权。</w:t>
      </w:r>
    </w:p>
    <w:p>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附：委托代理人身份证</w:t>
      </w:r>
    </w:p>
    <w:p>
      <w:pPr>
        <w:spacing w:line="480" w:lineRule="exact"/>
        <w:ind w:firstLine="3360" w:firstLineChars="1600"/>
        <w:rPr>
          <w:rFonts w:hint="eastAsia" w:ascii="宋体" w:hAnsi="宋体" w:cs="宋体"/>
          <w:color w:val="auto"/>
          <w:szCs w:val="21"/>
          <w:highlight w:val="none"/>
        </w:rPr>
      </w:pPr>
      <w:r>
        <w:rPr>
          <w:rFonts w:hint="eastAsia" w:ascii="宋体" w:hAnsi="宋体" w:cs="宋体"/>
          <w:color w:val="auto"/>
          <w:szCs w:val="21"/>
          <w:highlight w:val="none"/>
        </w:rPr>
        <w:t>投标人（盖单位章）：</w:t>
      </w:r>
    </w:p>
    <w:p>
      <w:pPr>
        <w:spacing w:line="480" w:lineRule="exact"/>
        <w:ind w:firstLine="3360" w:firstLineChars="1600"/>
        <w:rPr>
          <w:rFonts w:hint="eastAsia" w:ascii="宋体" w:hAnsi="宋体" w:cs="宋体"/>
          <w:color w:val="auto"/>
          <w:szCs w:val="21"/>
          <w:highlight w:val="none"/>
        </w:rPr>
      </w:pPr>
      <w:r>
        <w:rPr>
          <w:rFonts w:hint="eastAsia" w:ascii="宋体" w:hAnsi="宋体" w:cs="宋体"/>
          <w:color w:val="auto"/>
          <w:szCs w:val="21"/>
          <w:highlight w:val="none"/>
        </w:rPr>
        <w:t>法定代表人（身份证号码）：               （签字或盖章）</w:t>
      </w:r>
    </w:p>
    <w:p>
      <w:pPr>
        <w:spacing w:line="480" w:lineRule="exact"/>
        <w:ind w:firstLine="3360" w:firstLineChars="1600"/>
        <w:rPr>
          <w:rFonts w:hint="eastAsia" w:ascii="宋体" w:hAnsi="宋体" w:cs="宋体"/>
          <w:color w:val="auto"/>
          <w:szCs w:val="21"/>
          <w:highlight w:val="none"/>
        </w:rPr>
      </w:pPr>
      <w:r>
        <w:rPr>
          <w:rFonts w:hint="eastAsia" w:ascii="宋体" w:hAnsi="宋体" w:cs="宋体"/>
          <w:color w:val="auto"/>
          <w:szCs w:val="21"/>
          <w:highlight w:val="none"/>
        </w:rPr>
        <w:t>委托代理人（身份证号码）：               （签字或盖章）</w:t>
      </w:r>
    </w:p>
    <w:p>
      <w:pPr>
        <w:spacing w:line="480" w:lineRule="exact"/>
        <w:ind w:firstLine="3360" w:firstLineChars="16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联系电话：</w:t>
      </w:r>
    </w:p>
    <w:p>
      <w:pPr>
        <w:spacing w:line="480" w:lineRule="exact"/>
        <w:ind w:firstLine="2467" w:firstLineChars="1175"/>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pPr>
        <w:spacing w:line="440" w:lineRule="exact"/>
        <w:ind w:firstLine="525" w:firstLineChars="250"/>
        <w:jc w:val="center"/>
        <w:rPr>
          <w:rFonts w:hint="eastAsia" w:ascii="宋体" w:hAnsi="宋体" w:cs="宋体"/>
          <w:color w:val="auto"/>
          <w:szCs w:val="21"/>
          <w:highlight w:val="none"/>
        </w:rPr>
      </w:pPr>
    </w:p>
    <w:p>
      <w:pPr>
        <w:pStyle w:val="43"/>
        <w:ind w:left="0" w:leftChars="0" w:firstLine="0" w:firstLineChars="0"/>
        <w:jc w:val="left"/>
        <w:rPr>
          <w:rFonts w:hint="eastAsia" w:ascii="宋体" w:hAnsi="宋体" w:cs="宋体"/>
          <w:color w:val="auto"/>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附件2</w:t>
      </w:r>
    </w:p>
    <w:p>
      <w:pPr>
        <w:pStyle w:val="4"/>
        <w:jc w:val="center"/>
        <w:rPr>
          <w:rFonts w:hint="eastAsia" w:ascii="宋体" w:hAnsi="宋体" w:cs="宋体"/>
          <w:color w:val="auto"/>
          <w:highlight w:val="none"/>
        </w:rPr>
      </w:pPr>
      <w:bookmarkStart w:id="86" w:name="_Toc26746"/>
      <w:r>
        <w:rPr>
          <w:rFonts w:hint="eastAsia" w:ascii="宋体" w:hAnsi="宋体" w:cs="宋体"/>
          <w:color w:val="auto"/>
          <w:highlight w:val="none"/>
        </w:rPr>
        <w:t>诚信投标承诺书 </w:t>
      </w:r>
      <w:bookmarkEnd w:id="86"/>
    </w:p>
    <w:p>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本人以企业法定代表人的身份郑重承诺：</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一、将遵循公开、公正和诚实信用的原则自愿参加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二、所提供的一切材料都是真实、有效、合法的；</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三、不出借、转让资质证书，不让他人挂靠投标，不以他人名义投标或者以其他方式弄虚作假，骗取中标；</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四、不与其他投标人相互串通投标报价，不排挤其他投标人的公平竞争、损害招标人的合法权益；</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五、不与招标人、招标代理机构或其他投标人串通投标，损害国家利益、社会公共利益或者他人的合法权益；</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六、投标企业及其法定代表人、拟任项目负责人没有下列情形： 1、被人民法院列入失信被执行人的；2、近三年被人民检察院列入行贿犯罪档案的；3、被市场监督管理部门列入经营异常名录或者严重违法企业名单的；4、被税收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行政部门列入拖欠农民工工资“黑名单”或者近三年因拖欠农民工工资被县级及以上有关行政主管部门行政处理、行政处罚的。</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七、严格遵守开标现场纪律，服从监管人员管理；</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八、保证企业及所属相关人员在本次投标中无行贿等犯罪行为；</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九、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 以上内容我已仔细阅读，本公司若有违反承诺内容的行为，自愿依法接受取消投标资格、记入信用档案、取消中标资格等有关处理，愿意承担法律责任，给招标人造成损失的，依法承担赔偿责任。</w:t>
      </w:r>
    </w:p>
    <w:p>
      <w:pPr>
        <w:spacing w:line="440" w:lineRule="exact"/>
        <w:jc w:val="left"/>
        <w:rPr>
          <w:rFonts w:hint="eastAsia" w:ascii="宋体" w:hAnsi="宋体" w:cs="宋体"/>
          <w:color w:val="auto"/>
          <w:szCs w:val="21"/>
          <w:highlight w:val="none"/>
        </w:rPr>
      </w:pP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开户银行：                   基本账户：</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投标人（盖章）：             法定代表人（签字或盖章）：</w:t>
      </w:r>
    </w:p>
    <w:p>
      <w:pPr>
        <w:spacing w:line="440" w:lineRule="exact"/>
        <w:ind w:firstLine="3360" w:firstLineChars="1600"/>
        <w:jc w:val="left"/>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年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月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ind w:firstLine="6746" w:firstLineChars="2100"/>
        <w:rPr>
          <w:rFonts w:hint="eastAsia" w:ascii="宋体" w:hAnsi="宋体" w:cs="宋体"/>
          <w:color w:val="auto"/>
          <w:sz w:val="28"/>
          <w:szCs w:val="28"/>
          <w:highlight w:val="none"/>
          <w:bdr w:val="single" w:color="000000" w:sz="4" w:space="0"/>
        </w:rPr>
      </w:pPr>
      <w:r>
        <w:rPr>
          <w:rFonts w:hint="eastAsia" w:ascii="宋体" w:hAnsi="宋体" w:cs="宋体"/>
          <w:b/>
          <w:color w:val="auto"/>
          <w:sz w:val="32"/>
          <w:szCs w:val="32"/>
          <w:highlight w:val="none"/>
        </w:rPr>
        <w:br w:type="page"/>
      </w:r>
      <w:r>
        <w:rPr>
          <w:rFonts w:hint="eastAsia" w:ascii="宋体" w:hAnsi="宋体" w:cs="宋体"/>
          <w:color w:val="auto"/>
          <w:sz w:val="28"/>
          <w:szCs w:val="28"/>
          <w:highlight w:val="none"/>
          <w:bdr w:val="single" w:color="000000" w:sz="4" w:space="0"/>
        </w:rPr>
        <w:t>注明正本或副本</w:t>
      </w:r>
    </w:p>
    <w:p>
      <w:pPr>
        <w:jc w:val="center"/>
        <w:rPr>
          <w:rFonts w:hint="eastAsia" w:ascii="宋体" w:hAnsi="宋体" w:cs="宋体"/>
          <w:color w:val="auto"/>
          <w:sz w:val="20"/>
          <w:highlight w:val="none"/>
        </w:rPr>
      </w:pPr>
    </w:p>
    <w:p>
      <w:pPr>
        <w:jc w:val="center"/>
        <w:rPr>
          <w:rFonts w:hint="eastAsia" w:ascii="宋体" w:hAnsi="宋体" w:cs="宋体"/>
          <w:color w:val="auto"/>
          <w:sz w:val="32"/>
          <w:szCs w:val="32"/>
          <w:highlight w:val="none"/>
        </w:rPr>
      </w:pPr>
    </w:p>
    <w:p>
      <w:pPr>
        <w:jc w:val="center"/>
        <w:rPr>
          <w:rFonts w:hint="eastAsia" w:ascii="宋体" w:hAnsi="宋体" w:cs="宋体"/>
          <w:color w:val="auto"/>
          <w:sz w:val="44"/>
          <w:szCs w:val="44"/>
          <w:highlight w:val="none"/>
        </w:rPr>
      </w:pPr>
      <w:r>
        <w:rPr>
          <w:rFonts w:hint="eastAsia" w:ascii="宋体" w:hAnsi="宋体" w:cs="宋体"/>
          <w:color w:val="auto"/>
          <w:sz w:val="32"/>
          <w:szCs w:val="32"/>
          <w:highlight w:val="none"/>
        </w:rPr>
        <w:t>商务标文件</w:t>
      </w:r>
    </w:p>
    <w:p>
      <w:pPr>
        <w:jc w:val="center"/>
        <w:rPr>
          <w:rFonts w:hint="eastAsia" w:ascii="宋体" w:hAnsi="宋体" w:cs="宋体"/>
          <w:color w:val="auto"/>
          <w:sz w:val="32"/>
          <w:szCs w:val="32"/>
          <w:highlight w:val="none"/>
          <w:u w:val="single"/>
        </w:rPr>
      </w:pPr>
    </w:p>
    <w:p>
      <w:pPr>
        <w:jc w:val="center"/>
        <w:rPr>
          <w:rFonts w:hint="eastAsia" w:ascii="宋体" w:hAnsi="宋体" w:cs="宋体"/>
          <w:color w:val="auto"/>
          <w:sz w:val="32"/>
          <w:szCs w:val="32"/>
          <w:highlight w:val="none"/>
        </w:rPr>
      </w:pP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项目名称</w:t>
      </w: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jc w:val="center"/>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投标人：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p>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pPr>
        <w:spacing w:line="720" w:lineRule="auto"/>
        <w:jc w:val="center"/>
        <w:rPr>
          <w:rFonts w:hint="eastAsia" w:ascii="宋体" w:hAnsi="宋体" w:cs="宋体"/>
          <w:b/>
          <w:color w:val="auto"/>
          <w:sz w:val="36"/>
          <w:szCs w:val="36"/>
          <w:highlight w:val="none"/>
        </w:rPr>
      </w:pPr>
    </w:p>
    <w:p>
      <w:pPr>
        <w:pStyle w:val="43"/>
        <w:ind w:left="0" w:leftChars="0" w:firstLine="0" w:firstLineChars="0"/>
        <w:jc w:val="center"/>
        <w:rPr>
          <w:rFonts w:hint="eastAsia" w:ascii="宋体" w:hAnsi="宋体" w:eastAsia="宋体" w:cs="宋体"/>
          <w:b/>
          <w:color w:val="auto"/>
          <w:kern w:val="2"/>
          <w:sz w:val="30"/>
          <w:szCs w:val="30"/>
          <w:highlight w:val="none"/>
          <w:lang w:val="en-US" w:eastAsia="zh-CN" w:bidi="ar-SA"/>
        </w:rPr>
      </w:pPr>
      <w:r>
        <w:rPr>
          <w:rFonts w:hint="eastAsia" w:ascii="宋体" w:hAnsi="宋体" w:cs="宋体"/>
          <w:b/>
          <w:color w:val="auto"/>
          <w:sz w:val="28"/>
          <w:szCs w:val="44"/>
          <w:highlight w:val="none"/>
        </w:rPr>
        <w:br w:type="page"/>
      </w:r>
      <w:r>
        <w:rPr>
          <w:rFonts w:hint="eastAsia" w:ascii="宋体" w:hAnsi="宋体" w:eastAsia="宋体" w:cs="宋体"/>
          <w:b/>
          <w:color w:val="auto"/>
          <w:kern w:val="2"/>
          <w:sz w:val="30"/>
          <w:szCs w:val="30"/>
          <w:highlight w:val="none"/>
          <w:lang w:val="en-US" w:eastAsia="zh-CN" w:bidi="ar-SA"/>
        </w:rPr>
        <w:t>目录</w:t>
      </w:r>
    </w:p>
    <w:p>
      <w:pPr>
        <w:numPr>
          <w:ilvl w:val="0"/>
          <w:numId w:val="3"/>
        </w:numPr>
        <w:spacing w:line="44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投标函：</w:t>
      </w:r>
    </w:p>
    <w:p>
      <w:pPr>
        <w:numPr>
          <w:ilvl w:val="0"/>
          <w:numId w:val="3"/>
        </w:numPr>
        <w:spacing w:line="440" w:lineRule="exact"/>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服务承诺书；</w:t>
      </w:r>
    </w:p>
    <w:p>
      <w:pPr>
        <w:numPr>
          <w:ilvl w:val="0"/>
          <w:numId w:val="3"/>
        </w:numPr>
        <w:spacing w:line="440" w:lineRule="exact"/>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投标人认为需提供的其他材料。</w:t>
      </w:r>
    </w:p>
    <w:p>
      <w:pPr>
        <w:pStyle w:val="43"/>
        <w:ind w:left="0" w:leftChars="0" w:firstLine="0" w:firstLineChars="0"/>
        <w:jc w:val="left"/>
        <w:rPr>
          <w:rFonts w:hint="eastAsia" w:ascii="宋体" w:hAnsi="宋体" w:cs="宋体"/>
          <w:b w:val="0"/>
          <w:bCs/>
          <w:color w:val="auto"/>
          <w:sz w:val="21"/>
          <w:szCs w:val="21"/>
          <w:highlight w:val="none"/>
          <w:lang w:eastAsia="zh-CN"/>
        </w:rPr>
      </w:pPr>
    </w:p>
    <w:p>
      <w:pPr>
        <w:pStyle w:val="43"/>
        <w:ind w:left="0" w:leftChars="0" w:firstLine="0" w:firstLineChars="0"/>
        <w:jc w:val="left"/>
        <w:rPr>
          <w:rFonts w:hint="eastAsia" w:ascii="宋体" w:hAnsi="宋体" w:cs="宋体"/>
          <w:b w:val="0"/>
          <w:bCs/>
          <w:color w:val="auto"/>
          <w:sz w:val="21"/>
          <w:szCs w:val="21"/>
          <w:highlight w:val="none"/>
          <w:lang w:eastAsia="zh-CN"/>
        </w:rPr>
      </w:pPr>
    </w:p>
    <w:p>
      <w:pPr>
        <w:pStyle w:val="43"/>
        <w:ind w:left="0" w:leftChars="0" w:firstLine="0" w:firstLineChars="0"/>
        <w:jc w:val="left"/>
        <w:rPr>
          <w:rFonts w:hint="eastAsia" w:ascii="宋体" w:hAnsi="宋体" w:cs="宋体"/>
          <w:b w:val="0"/>
          <w:bCs/>
          <w:color w:val="auto"/>
          <w:sz w:val="21"/>
          <w:szCs w:val="21"/>
          <w:highlight w:val="none"/>
          <w:lang w:eastAsia="zh-CN"/>
        </w:rPr>
      </w:pPr>
    </w:p>
    <w:p>
      <w:pPr>
        <w:pStyle w:val="43"/>
        <w:ind w:left="0" w:leftChars="0" w:firstLine="0" w:firstLineChars="0"/>
        <w:jc w:val="left"/>
        <w:rPr>
          <w:rFonts w:hint="eastAsia" w:ascii="宋体" w:hAnsi="宋体" w:cs="宋体"/>
          <w:b w:val="0"/>
          <w:bCs/>
          <w:color w:val="auto"/>
          <w:sz w:val="21"/>
          <w:szCs w:val="21"/>
          <w:highlight w:val="none"/>
          <w:lang w:eastAsia="zh-CN"/>
        </w:rPr>
      </w:pPr>
    </w:p>
    <w:p>
      <w:pPr>
        <w:pStyle w:val="43"/>
        <w:ind w:left="0" w:leftChars="0" w:firstLine="0" w:firstLineChars="0"/>
        <w:jc w:val="left"/>
        <w:rPr>
          <w:rFonts w:hint="eastAsia" w:ascii="宋体" w:hAnsi="宋体" w:eastAsia="宋体" w:cs="宋体"/>
          <w:b w:val="0"/>
          <w:bCs/>
          <w:color w:val="auto"/>
          <w:sz w:val="21"/>
          <w:szCs w:val="21"/>
          <w:highlight w:val="none"/>
          <w:lang w:eastAsia="zh-CN"/>
        </w:rPr>
      </w:pPr>
    </w:p>
    <w:p>
      <w:pPr>
        <w:spacing w:line="360" w:lineRule="auto"/>
        <w:jc w:val="center"/>
        <w:rPr>
          <w:rFonts w:hint="eastAsia" w:ascii="宋体" w:hAnsi="宋体" w:cs="宋体"/>
          <w:color w:val="auto"/>
          <w:sz w:val="30"/>
          <w:szCs w:val="30"/>
          <w:highlight w:val="none"/>
        </w:rPr>
      </w:pPr>
      <w:r>
        <w:rPr>
          <w:rFonts w:hint="eastAsia" w:ascii="宋体" w:hAnsi="宋体" w:cs="宋体"/>
          <w:b/>
          <w:color w:val="auto"/>
          <w:sz w:val="30"/>
          <w:szCs w:val="30"/>
          <w:highlight w:val="none"/>
        </w:rPr>
        <w:br w:type="page"/>
      </w:r>
      <w:r>
        <w:rPr>
          <w:rFonts w:hint="eastAsia" w:ascii="宋体" w:hAnsi="宋体" w:cs="宋体"/>
          <w:b/>
          <w:color w:val="auto"/>
          <w:sz w:val="30"/>
          <w:szCs w:val="30"/>
          <w:highlight w:val="none"/>
          <w:lang w:val="en-US" w:eastAsia="zh-CN"/>
        </w:rPr>
        <w:t>一、</w:t>
      </w:r>
      <w:r>
        <w:rPr>
          <w:rFonts w:hint="eastAsia" w:ascii="宋体" w:hAnsi="宋体" w:cs="宋体"/>
          <w:b/>
          <w:color w:val="auto"/>
          <w:sz w:val="30"/>
          <w:szCs w:val="30"/>
          <w:highlight w:val="none"/>
        </w:rPr>
        <w:t>投标函</w:t>
      </w:r>
    </w:p>
    <w:p>
      <w:pPr>
        <w:spacing w:line="500" w:lineRule="exact"/>
        <w:ind w:left="-199" w:leftChars="-95" w:firstLine="174" w:firstLineChars="83"/>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(招标人)       </w:t>
      </w:r>
      <w:r>
        <w:rPr>
          <w:rFonts w:hint="eastAsia" w:ascii="宋体" w:hAnsi="宋体" w:cs="宋体"/>
          <w:color w:val="auto"/>
          <w:szCs w:val="21"/>
          <w:highlight w:val="none"/>
        </w:rPr>
        <w:t xml:space="preserve"> </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1、我们决定参加贵单位组织的“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 xml:space="preserve">”的采购。我方授权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(姓名和职务)代表我方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（投标单位的名称）全权处理本项目投标的有关事宜。</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2、我方愿意按照采购文件规定的各项要求，向招标人提供“ </w:t>
      </w:r>
      <w:r>
        <w:rPr>
          <w:rFonts w:hint="eastAsia" w:ascii="宋体" w:hAnsi="宋体" w:cs="宋体"/>
          <w:color w:val="auto"/>
          <w:szCs w:val="21"/>
          <w:highlight w:val="none"/>
          <w:u w:val="single"/>
        </w:rPr>
        <w:t xml:space="preserve"> （项目名称）</w:t>
      </w:r>
      <w:r>
        <w:rPr>
          <w:rFonts w:hint="eastAsia" w:ascii="宋体" w:hAnsi="宋体" w:cs="宋体"/>
          <w:color w:val="auto"/>
          <w:szCs w:val="21"/>
          <w:highlight w:val="none"/>
        </w:rPr>
        <w:t xml:space="preserve">”项目的服务，其投标总报价为（大写) </w:t>
      </w:r>
      <w:r>
        <w:rPr>
          <w:rFonts w:hint="eastAsia" w:ascii="宋体" w:hAnsi="宋体" w:cs="宋体"/>
          <w:color w:val="auto"/>
          <w:szCs w:val="21"/>
          <w:highlight w:val="none"/>
          <w:u w:val="single"/>
        </w:rPr>
        <w:t xml:space="preserve">          （小写）         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并在</w:t>
      </w:r>
      <w:r>
        <w:rPr>
          <w:rFonts w:hint="eastAsia" w:ascii="宋体" w:hAnsi="宋体" w:cs="宋体"/>
          <w:color w:val="auto"/>
          <w:szCs w:val="21"/>
          <w:highlight w:val="none"/>
        </w:rPr>
        <w:t>合同签订后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w:t>
      </w:r>
      <w:r>
        <w:rPr>
          <w:rFonts w:hint="eastAsia" w:ascii="宋体" w:hAnsi="宋体" w:cs="宋体"/>
          <w:color w:val="auto"/>
          <w:szCs w:val="21"/>
          <w:highlight w:val="none"/>
          <w:lang w:val="en-US" w:eastAsia="zh-CN"/>
        </w:rPr>
        <w:t>工作日</w:t>
      </w:r>
      <w:r>
        <w:rPr>
          <w:rFonts w:hint="eastAsia" w:ascii="宋体" w:hAnsi="宋体" w:cs="宋体"/>
          <w:color w:val="auto"/>
          <w:szCs w:val="21"/>
          <w:highlight w:val="none"/>
        </w:rPr>
        <w:t>内</w:t>
      </w:r>
      <w:r>
        <w:rPr>
          <w:rFonts w:hint="eastAsia" w:ascii="宋体" w:hAnsi="宋体" w:cs="宋体"/>
          <w:color w:val="auto"/>
          <w:szCs w:val="21"/>
          <w:highlight w:val="none"/>
          <w:lang w:val="en-US" w:eastAsia="zh-CN"/>
        </w:rPr>
        <w:t>先后</w:t>
      </w:r>
      <w:r>
        <w:rPr>
          <w:rFonts w:hint="eastAsia" w:ascii="宋体" w:hAnsi="宋体" w:cs="宋体"/>
          <w:color w:val="auto"/>
          <w:szCs w:val="21"/>
          <w:highlight w:val="none"/>
        </w:rPr>
        <w:t>完成</w:t>
      </w:r>
      <w:r>
        <w:rPr>
          <w:rFonts w:hint="eastAsia" w:ascii="宋体" w:hAnsi="宋体" w:cs="宋体"/>
          <w:color w:val="auto"/>
          <w:szCs w:val="21"/>
          <w:highlight w:val="none"/>
          <w:lang w:val="en-US" w:eastAsia="zh-CN"/>
        </w:rPr>
        <w:t>尽职调查报告</w:t>
      </w:r>
      <w:r>
        <w:rPr>
          <w:rFonts w:hint="eastAsia" w:ascii="宋体" w:hAnsi="宋体" w:cs="宋体"/>
          <w:color w:val="auto"/>
          <w:szCs w:val="21"/>
          <w:highlight w:val="none"/>
        </w:rPr>
        <w:t>编制。</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3、一旦我方成为合同签字人，我方将严格履行合同规定的责任和义务。</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4、我方愿意提供可能另外要求的、与采购投标有关的文件资料，并保证我方已提供和将要提供的文件是真实的、准确的。</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5、我单位提供如下通讯地址：</w:t>
      </w:r>
      <w:r>
        <w:rPr>
          <w:rFonts w:hint="eastAsia" w:ascii="宋体" w:hAnsi="宋体" w:cs="宋体"/>
          <w:color w:val="auto"/>
          <w:szCs w:val="21"/>
          <w:highlight w:val="none"/>
          <w:u w:val="single"/>
        </w:rPr>
        <w:t xml:space="preserve">                电子邮箱（地址），</w:t>
      </w:r>
      <w:r>
        <w:rPr>
          <w:rFonts w:hint="eastAsia" w:ascii="宋体" w:hAnsi="宋体" w:cs="宋体"/>
          <w:color w:val="auto"/>
          <w:szCs w:val="21"/>
          <w:highlight w:val="none"/>
        </w:rPr>
        <w:t>确认本项目相关法律文书均通过提供的以上地址送达，相关文书只要发送至以上电子邮箱（地址）即视为送达，投标人愿意承担一切法律后果。</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投标单位名称</w:t>
      </w:r>
      <w:r>
        <w:rPr>
          <w:rFonts w:hint="eastAsia" w:ascii="宋体" w:hAnsi="宋体" w:cs="宋体"/>
          <w:color w:val="auto"/>
          <w:szCs w:val="21"/>
          <w:highlight w:val="none"/>
          <w:u w:val="single"/>
        </w:rPr>
        <w:t>：                        （盖章）</w:t>
      </w:r>
      <w:r>
        <w:rPr>
          <w:rFonts w:hint="eastAsia" w:ascii="宋体" w:hAnsi="宋体" w:cs="宋体"/>
          <w:color w:val="auto"/>
          <w:szCs w:val="21"/>
          <w:highlight w:val="none"/>
        </w:rPr>
        <w:t xml:space="preserve">              </w:t>
      </w:r>
    </w:p>
    <w:p>
      <w:pPr>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法定代表人或委托代理人：</w:t>
      </w:r>
      <w:r>
        <w:rPr>
          <w:rFonts w:hint="eastAsia" w:ascii="宋体" w:hAnsi="宋体" w:cs="宋体"/>
          <w:color w:val="auto"/>
          <w:szCs w:val="21"/>
          <w:highlight w:val="none"/>
          <w:u w:val="single"/>
        </w:rPr>
        <w:t xml:space="preserve">                             （签字或盖章） </w:t>
      </w:r>
    </w:p>
    <w:p>
      <w:pPr>
        <w:spacing w:line="440" w:lineRule="exact"/>
        <w:ind w:firstLine="2205" w:firstLineChars="10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p>
      <w:pPr>
        <w:spacing w:line="440" w:lineRule="exact"/>
        <w:ind w:firstLine="2205" w:firstLineChars="1050"/>
        <w:rPr>
          <w:rFonts w:hint="eastAsia"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440" w:lineRule="exact"/>
        <w:ind w:firstLine="2205" w:firstLineChars="105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pPr>
        <w:ind w:right="-178" w:rightChars="-85" w:firstLine="2205" w:firstLineChars="1050"/>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pPr>
        <w:spacing w:before="156" w:beforeLines="50" w:after="156" w:afterLines="50"/>
        <w:rPr>
          <w:rFonts w:hint="eastAsia" w:ascii="宋体" w:hAnsi="宋体" w:cs="宋体"/>
          <w:b/>
          <w:bCs/>
          <w:color w:val="auto"/>
          <w:szCs w:val="21"/>
          <w:highlight w:val="none"/>
        </w:rPr>
      </w:pPr>
    </w:p>
    <w:p>
      <w:pPr>
        <w:spacing w:line="400" w:lineRule="exact"/>
        <w:ind w:firstLine="2520" w:firstLineChars="1200"/>
        <w:rPr>
          <w:rFonts w:hint="eastAsia" w:ascii="宋体" w:hAnsi="宋体" w:cs="宋体"/>
          <w:color w:val="auto"/>
          <w:szCs w:val="21"/>
          <w:highlight w:val="none"/>
        </w:rPr>
      </w:pPr>
    </w:p>
    <w:p>
      <w:pPr>
        <w:pStyle w:val="43"/>
        <w:rPr>
          <w:rFonts w:hint="eastAsia" w:ascii="宋体" w:hAnsi="宋体" w:cs="宋体"/>
          <w:color w:val="auto"/>
          <w:szCs w:val="21"/>
          <w:highlight w:val="none"/>
        </w:rPr>
      </w:pPr>
    </w:p>
    <w:p>
      <w:pPr>
        <w:rPr>
          <w:rFonts w:hint="eastAsia" w:ascii="宋体" w:hAnsi="宋体" w:cs="宋体"/>
          <w:color w:val="auto"/>
          <w:szCs w:val="21"/>
          <w:highlight w:val="none"/>
        </w:rPr>
      </w:pPr>
    </w:p>
    <w:p>
      <w:pPr>
        <w:pStyle w:val="25"/>
        <w:rPr>
          <w:rFonts w:hint="eastAsia"/>
          <w:color w:val="auto"/>
          <w:highlight w:val="none"/>
        </w:rPr>
      </w:pPr>
    </w:p>
    <w:p>
      <w:pPr>
        <w:numPr>
          <w:ilvl w:val="0"/>
          <w:numId w:val="4"/>
        </w:numPr>
        <w:spacing w:line="360" w:lineRule="auto"/>
        <w:jc w:val="cente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br w:type="page"/>
      </w:r>
      <w:r>
        <w:rPr>
          <w:rFonts w:hint="eastAsia" w:ascii="宋体" w:hAnsi="宋体" w:eastAsia="宋体" w:cs="宋体"/>
          <w:b/>
          <w:color w:val="auto"/>
          <w:sz w:val="30"/>
          <w:szCs w:val="30"/>
          <w:highlight w:val="none"/>
          <w:lang w:val="en-US" w:eastAsia="zh-CN"/>
        </w:rPr>
        <w:t>服务承诺书</w:t>
      </w:r>
    </w:p>
    <w:p>
      <w:pPr>
        <w:numPr>
          <w:ilvl w:val="0"/>
          <w:numId w:val="0"/>
        </w:numPr>
        <w:spacing w:line="360" w:lineRule="auto"/>
        <w:jc w:val="both"/>
        <w:rPr>
          <w:rFonts w:hint="eastAsia" w:ascii="宋体" w:hAnsi="宋体" w:eastAsia="宋体" w:cs="宋体"/>
          <w:b/>
          <w:color w:val="auto"/>
          <w:sz w:val="30"/>
          <w:szCs w:val="30"/>
          <w:highlight w:val="none"/>
          <w:lang w:val="en-US" w:eastAsia="zh-CN"/>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致：</w:t>
      </w:r>
      <w:r>
        <w:rPr>
          <w:rFonts w:hint="eastAsia" w:ascii="宋体" w:hAnsi="宋体" w:eastAsia="宋体" w:cs="宋体"/>
          <w:color w:val="auto"/>
          <w:kern w:val="2"/>
          <w:sz w:val="24"/>
          <w:szCs w:val="24"/>
          <w:highlight w:val="none"/>
          <w:u w:val="single"/>
          <w:lang w:val="en-US" w:eastAsia="zh-CN" w:bidi="ar"/>
        </w:rPr>
        <w:t xml:space="preserve">               （招标人）</w:t>
      </w:r>
      <w:r>
        <w:rPr>
          <w:rFonts w:hint="eastAsia" w:ascii="宋体" w:hAnsi="宋体" w:eastAsia="宋体" w:cs="宋体"/>
          <w:color w:val="auto"/>
          <w:kern w:val="2"/>
          <w:sz w:val="24"/>
          <w:szCs w:val="24"/>
          <w:highlight w:val="none"/>
          <w:lang w:val="en-US" w:eastAsia="zh-CN" w:bidi="ar"/>
        </w:rPr>
        <w:t>：</w:t>
      </w:r>
    </w:p>
    <w:p>
      <w:pPr>
        <w:keepNext w:val="0"/>
        <w:keepLines w:val="0"/>
        <w:widowControl w:val="0"/>
        <w:suppressLineNumbers w:val="0"/>
        <w:spacing w:before="0" w:beforeAutospacing="0" w:after="0" w:afterAutospacing="0" w:line="8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本承诺声明：</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（投标人名称）对本招标文件的相关要求完全响应。若有幸中标将严格按照招标文件及招标人要求进行服务。</w:t>
      </w:r>
    </w:p>
    <w:p>
      <w:pPr>
        <w:keepNext w:val="0"/>
        <w:keepLines w:val="0"/>
        <w:widowControl w:val="0"/>
        <w:suppressLineNumbers w:val="0"/>
        <w:spacing w:before="0" w:beforeAutospacing="0" w:after="0" w:afterAutospacing="0" w:line="8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特此声明。</w:t>
      </w:r>
    </w:p>
    <w:p>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highlight w:val="none"/>
        </w:rPr>
      </w:pPr>
      <w:r>
        <w:rPr>
          <w:rFonts w:hint="default" w:ascii="Times New Roman" w:hAnsi="Times New Roman" w:cs="Times New Roman"/>
          <w:color w:val="auto"/>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480" w:lineRule="auto"/>
        <w:ind w:left="0" w:right="0" w:firstLine="2880" w:firstLineChars="1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投标人名称（盖章）：</w:t>
      </w:r>
      <w:r>
        <w:rPr>
          <w:rFonts w:hint="eastAsia" w:ascii="宋体" w:hAnsi="宋体" w:eastAsia="宋体" w:cs="宋体"/>
          <w:color w:val="auto"/>
          <w:kern w:val="2"/>
          <w:sz w:val="24"/>
          <w:szCs w:val="24"/>
          <w:highlight w:val="none"/>
          <w:u w:val="single"/>
          <w:lang w:val="en-US" w:eastAsia="zh-CN" w:bidi="ar"/>
        </w:rPr>
        <w:t xml:space="preserve">                             </w:t>
      </w:r>
    </w:p>
    <w:p>
      <w:pPr>
        <w:keepNext w:val="0"/>
        <w:keepLines w:val="0"/>
        <w:widowControl w:val="0"/>
        <w:suppressLineNumbers w:val="0"/>
        <w:spacing w:before="0" w:beforeAutospacing="0" w:after="0" w:afterAutospacing="0" w:line="480" w:lineRule="auto"/>
        <w:ind w:left="0" w:right="0" w:firstLine="2880" w:firstLineChars="1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法定代表人或授权代理人(签字或盖章)：</w:t>
      </w:r>
      <w:r>
        <w:rPr>
          <w:rFonts w:hint="eastAsia" w:ascii="宋体" w:hAnsi="宋体" w:eastAsia="宋体" w:cs="宋体"/>
          <w:color w:val="auto"/>
          <w:kern w:val="2"/>
          <w:sz w:val="24"/>
          <w:szCs w:val="24"/>
          <w:highlight w:val="none"/>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 xml:space="preserve">                             日    期：</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pPr>
        <w:keepNext w:val="0"/>
        <w:keepLines w:val="0"/>
        <w:widowControl w:val="0"/>
        <w:suppressLineNumbers w:val="0"/>
        <w:spacing w:before="0" w:beforeAutospacing="0" w:after="0" w:afterAutospacing="0" w:line="360" w:lineRule="exact"/>
        <w:ind w:left="0" w:right="-512" w:rightChars="-244"/>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lang w:val="en-US" w:eastAsia="zh-CN" w:bidi="ar"/>
        </w:rPr>
        <w:t xml:space="preserve"> </w:t>
      </w:r>
    </w:p>
    <w:p>
      <w:pPr>
        <w:pStyle w:val="25"/>
        <w:ind w:left="0" w:leftChars="0" w:firstLine="0" w:firstLineChars="0"/>
        <w:rPr>
          <w:rFonts w:hint="eastAsia" w:ascii="宋体" w:hAnsi="宋体" w:cs="宋体"/>
          <w:color w:val="auto"/>
          <w:sz w:val="21"/>
          <w:szCs w:val="21"/>
          <w:highlight w:val="none"/>
          <w:lang w:val="en-US" w:eastAsia="zh-CN"/>
        </w:rPr>
      </w:pPr>
    </w:p>
    <w:p>
      <w:pPr>
        <w:pStyle w:val="25"/>
        <w:ind w:left="0" w:leftChars="0" w:firstLine="0" w:firstLineChars="0"/>
        <w:rPr>
          <w:rFonts w:hint="eastAsia" w:ascii="宋体" w:hAnsi="宋体" w:cs="宋体"/>
          <w:color w:val="auto"/>
          <w:sz w:val="21"/>
          <w:szCs w:val="21"/>
          <w:highlight w:val="none"/>
          <w:lang w:val="en-US" w:eastAsia="zh-CN"/>
        </w:rPr>
      </w:pPr>
    </w:p>
    <w:p>
      <w:pPr>
        <w:spacing w:line="360" w:lineRule="auto"/>
        <w:jc w:val="center"/>
        <w:rPr>
          <w:rFonts w:hint="eastAsia" w:ascii="宋体" w:hAnsi="宋体" w:eastAsia="宋体" w:cs="宋体"/>
          <w:b/>
          <w:color w:val="auto"/>
          <w:sz w:val="30"/>
          <w:szCs w:val="30"/>
          <w:highlight w:val="none"/>
          <w:lang w:val="en-US" w:eastAsia="zh-CN"/>
        </w:rPr>
      </w:pPr>
    </w:p>
    <w:p>
      <w:pPr>
        <w:spacing w:line="360" w:lineRule="auto"/>
        <w:jc w:val="center"/>
        <w:rPr>
          <w:rFonts w:hint="eastAsia" w:ascii="宋体" w:hAnsi="宋体" w:eastAsia="宋体" w:cs="宋体"/>
          <w:b/>
          <w:color w:val="auto"/>
          <w:sz w:val="30"/>
          <w:szCs w:val="30"/>
          <w:highlight w:val="none"/>
          <w:lang w:val="en-US" w:eastAsia="zh-CN"/>
        </w:rPr>
      </w:pPr>
    </w:p>
    <w:p>
      <w:pPr>
        <w:pStyle w:val="43"/>
        <w:ind w:left="0" w:leftChars="0" w:firstLine="0" w:firstLineChars="0"/>
        <w:rPr>
          <w:rFonts w:hint="eastAsia" w:ascii="宋体" w:hAnsi="宋体" w:cs="宋体"/>
          <w:color w:val="auto"/>
          <w:szCs w:val="21"/>
          <w:highlight w:val="none"/>
        </w:rPr>
      </w:pPr>
    </w:p>
    <w:sectPr>
      <w:footerReference r:id="rId6" w:type="default"/>
      <w:pgSz w:w="11906" w:h="16838"/>
      <w:pgMar w:top="1134" w:right="1361" w:bottom="1077" w:left="1361" w:header="680" w:footer="68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rPr>
        <w:rFonts w:hint="eastAsia"/>
        <w:kern w:val="0"/>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I26KMsBAACcAwAADgAAAGRycy9lMm9Eb2MueG1srVNLbtswEN0XyB0I&#10;7mPKLlA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DW4CJZYbHPj5+7fzj1/nn1/J&#10;snhbJoV6DxUmPnlMjcOdG1L25Ad0JuJDG0z6IiWCcdT3dNFXDpGI9KhclWWBIYGx+YI47Pm5DxDf&#10;S2dIMmoacIBZV358hDimzimpmnX3Smv080rbvxyImTws9T72mKw47Iap8Z1rTsinx9nX1OKqU6If&#10;LEqb1mQ2wmzsZuPgg9p3eY9SPfC3h4hN5N5ShRF2KoxDy+ymBUtb8ec9Zz3/VJ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SNuijLAQAAnAMAAA4AAAAAAAAAAQAgAAAAHgEAAGRycy9lMm9E&#10;b2MueG1sUEsFBgAAAAAGAAYAWQEAAFsFA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- 139 -</w:t>
                          </w:r>
                          <w: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RfAHsoBAACcAwAADgAAAGRycy9lMm9Eb2MueG1srVPNjtMwEL4j8Q6W&#10;79Rpk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rihx3OLAL9+/XX78uvz8SpbV&#10;y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RfAHsoBAACcAwAADgAAAAAAAAABACAAAAAeAQAAZHJzL2Uyb0Rv&#10;Yy54bWxQSwUGAAAAAAYABgBZAQAAWg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- 139 -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rPr>
        <w:rFonts w:hint="eastAsia"/>
        <w:kern w:val="0"/>
        <w:szCs w:val="21"/>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aJkj8cBAACaAwAADgAAAGRycy9lMm9Eb2MueG1srVNNrtMwEN4jcQfL&#10;e+q0Q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aJkj8cBAACaAwAADgAAAAAAAAABACAAAAAeAQAAZHJzL2Uyb0RvYy54&#10;bWxQSwUGAAAAAAYABgBZAQAAV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2sTMkBAACZ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zaxMyQEAAJk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AA821"/>
    <w:multiLevelType w:val="singleLevel"/>
    <w:tmpl w:val="92BAA821"/>
    <w:lvl w:ilvl="0" w:tentative="0">
      <w:start w:val="1"/>
      <w:numFmt w:val="chineseCounting"/>
      <w:suff w:val="space"/>
      <w:lvlText w:val="第%1章"/>
      <w:lvlJc w:val="left"/>
      <w:rPr>
        <w:rFonts w:hint="eastAsia"/>
      </w:rPr>
    </w:lvl>
  </w:abstractNum>
  <w:abstractNum w:abstractNumId="1">
    <w:nsid w:val="C997AE19"/>
    <w:multiLevelType w:val="singleLevel"/>
    <w:tmpl w:val="C997AE19"/>
    <w:lvl w:ilvl="0" w:tentative="0">
      <w:start w:val="1"/>
      <w:numFmt w:val="decimal"/>
      <w:suff w:val="nothing"/>
      <w:lvlText w:val="（%1）"/>
      <w:lvlJc w:val="left"/>
    </w:lvl>
  </w:abstractNum>
  <w:abstractNum w:abstractNumId="2">
    <w:nsid w:val="0F81FFA8"/>
    <w:multiLevelType w:val="singleLevel"/>
    <w:tmpl w:val="0F81FFA8"/>
    <w:lvl w:ilvl="0" w:tentative="0">
      <w:start w:val="1"/>
      <w:numFmt w:val="chineseCounting"/>
      <w:suff w:val="space"/>
      <w:lvlText w:val="第%1章"/>
      <w:lvlJc w:val="left"/>
      <w:rPr>
        <w:rFonts w:hint="eastAsia"/>
      </w:rPr>
    </w:lvl>
  </w:abstractNum>
  <w:abstractNum w:abstractNumId="3">
    <w:nsid w:val="108C4C19"/>
    <w:multiLevelType w:val="singleLevel"/>
    <w:tmpl w:val="108C4C19"/>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1MGI2NWIzOGNkOWNmNzBiZjU5OTkyZjljYWYzZDQifQ=="/>
  </w:docVars>
  <w:rsids>
    <w:rsidRoot w:val="00172A27"/>
    <w:rsid w:val="00000F03"/>
    <w:rsid w:val="0000102C"/>
    <w:rsid w:val="00002296"/>
    <w:rsid w:val="00003341"/>
    <w:rsid w:val="00006820"/>
    <w:rsid w:val="0000765B"/>
    <w:rsid w:val="000133FD"/>
    <w:rsid w:val="00013CDB"/>
    <w:rsid w:val="000149CE"/>
    <w:rsid w:val="00014BE3"/>
    <w:rsid w:val="000152EF"/>
    <w:rsid w:val="00015E33"/>
    <w:rsid w:val="000163F2"/>
    <w:rsid w:val="000164E6"/>
    <w:rsid w:val="0002000D"/>
    <w:rsid w:val="000210A3"/>
    <w:rsid w:val="00021731"/>
    <w:rsid w:val="0002303F"/>
    <w:rsid w:val="00025652"/>
    <w:rsid w:val="00027350"/>
    <w:rsid w:val="000275A3"/>
    <w:rsid w:val="00027B66"/>
    <w:rsid w:val="000301A2"/>
    <w:rsid w:val="0003022F"/>
    <w:rsid w:val="00030431"/>
    <w:rsid w:val="00031287"/>
    <w:rsid w:val="000346D8"/>
    <w:rsid w:val="00034D00"/>
    <w:rsid w:val="000369B9"/>
    <w:rsid w:val="00036E1B"/>
    <w:rsid w:val="00037222"/>
    <w:rsid w:val="00041DC0"/>
    <w:rsid w:val="00043152"/>
    <w:rsid w:val="000455A4"/>
    <w:rsid w:val="00045A6A"/>
    <w:rsid w:val="000466F8"/>
    <w:rsid w:val="0004671B"/>
    <w:rsid w:val="00047776"/>
    <w:rsid w:val="000520E9"/>
    <w:rsid w:val="000534C0"/>
    <w:rsid w:val="0005658A"/>
    <w:rsid w:val="00056830"/>
    <w:rsid w:val="00056A2D"/>
    <w:rsid w:val="00056E3D"/>
    <w:rsid w:val="00061677"/>
    <w:rsid w:val="00063BED"/>
    <w:rsid w:val="00063C44"/>
    <w:rsid w:val="0006566F"/>
    <w:rsid w:val="0006584B"/>
    <w:rsid w:val="00065940"/>
    <w:rsid w:val="00065AAB"/>
    <w:rsid w:val="00070B50"/>
    <w:rsid w:val="00071845"/>
    <w:rsid w:val="000738CE"/>
    <w:rsid w:val="00077AAD"/>
    <w:rsid w:val="00080440"/>
    <w:rsid w:val="00080971"/>
    <w:rsid w:val="000818D5"/>
    <w:rsid w:val="000826E7"/>
    <w:rsid w:val="0008469B"/>
    <w:rsid w:val="0008521D"/>
    <w:rsid w:val="00085D26"/>
    <w:rsid w:val="00086AF9"/>
    <w:rsid w:val="00087577"/>
    <w:rsid w:val="00090F13"/>
    <w:rsid w:val="0009199E"/>
    <w:rsid w:val="00091D2B"/>
    <w:rsid w:val="0009306E"/>
    <w:rsid w:val="000944D8"/>
    <w:rsid w:val="00094759"/>
    <w:rsid w:val="00096398"/>
    <w:rsid w:val="00096946"/>
    <w:rsid w:val="000A0086"/>
    <w:rsid w:val="000A1B93"/>
    <w:rsid w:val="000A2A89"/>
    <w:rsid w:val="000A3A88"/>
    <w:rsid w:val="000A4579"/>
    <w:rsid w:val="000A48D0"/>
    <w:rsid w:val="000A7358"/>
    <w:rsid w:val="000A77AA"/>
    <w:rsid w:val="000B026F"/>
    <w:rsid w:val="000B02B3"/>
    <w:rsid w:val="000B41C7"/>
    <w:rsid w:val="000B4E0B"/>
    <w:rsid w:val="000B5789"/>
    <w:rsid w:val="000B5D69"/>
    <w:rsid w:val="000B609D"/>
    <w:rsid w:val="000B734D"/>
    <w:rsid w:val="000B767F"/>
    <w:rsid w:val="000B7C36"/>
    <w:rsid w:val="000C2ACE"/>
    <w:rsid w:val="000C3844"/>
    <w:rsid w:val="000C423F"/>
    <w:rsid w:val="000C4FA9"/>
    <w:rsid w:val="000C5DC5"/>
    <w:rsid w:val="000C7A2C"/>
    <w:rsid w:val="000D069B"/>
    <w:rsid w:val="000D15D2"/>
    <w:rsid w:val="000D18C0"/>
    <w:rsid w:val="000D1BC7"/>
    <w:rsid w:val="000D2370"/>
    <w:rsid w:val="000D2998"/>
    <w:rsid w:val="000D2DEB"/>
    <w:rsid w:val="000D4F76"/>
    <w:rsid w:val="000D5B18"/>
    <w:rsid w:val="000E1E50"/>
    <w:rsid w:val="000E47C8"/>
    <w:rsid w:val="000E521D"/>
    <w:rsid w:val="000E6FF8"/>
    <w:rsid w:val="000E7021"/>
    <w:rsid w:val="000F069A"/>
    <w:rsid w:val="000F0C54"/>
    <w:rsid w:val="000F1705"/>
    <w:rsid w:val="000F195C"/>
    <w:rsid w:val="000F1B02"/>
    <w:rsid w:val="000F294F"/>
    <w:rsid w:val="000F2FFA"/>
    <w:rsid w:val="000F309A"/>
    <w:rsid w:val="000F3685"/>
    <w:rsid w:val="000F36ED"/>
    <w:rsid w:val="000F3D46"/>
    <w:rsid w:val="000F5330"/>
    <w:rsid w:val="000F5817"/>
    <w:rsid w:val="000F6B36"/>
    <w:rsid w:val="000F6D52"/>
    <w:rsid w:val="0010017C"/>
    <w:rsid w:val="00102075"/>
    <w:rsid w:val="00102231"/>
    <w:rsid w:val="00102B71"/>
    <w:rsid w:val="0010493B"/>
    <w:rsid w:val="00104F30"/>
    <w:rsid w:val="0010777D"/>
    <w:rsid w:val="001106F4"/>
    <w:rsid w:val="00113041"/>
    <w:rsid w:val="0011328D"/>
    <w:rsid w:val="0011593A"/>
    <w:rsid w:val="00116B46"/>
    <w:rsid w:val="00117639"/>
    <w:rsid w:val="001204FF"/>
    <w:rsid w:val="001205BC"/>
    <w:rsid w:val="00120BCE"/>
    <w:rsid w:val="00121F96"/>
    <w:rsid w:val="00124902"/>
    <w:rsid w:val="00124A35"/>
    <w:rsid w:val="001262D5"/>
    <w:rsid w:val="00126B13"/>
    <w:rsid w:val="00132AAF"/>
    <w:rsid w:val="0013331F"/>
    <w:rsid w:val="0013358F"/>
    <w:rsid w:val="001335D9"/>
    <w:rsid w:val="00133BE1"/>
    <w:rsid w:val="001347A9"/>
    <w:rsid w:val="00136C6C"/>
    <w:rsid w:val="001377FE"/>
    <w:rsid w:val="00140703"/>
    <w:rsid w:val="0014082E"/>
    <w:rsid w:val="0014118D"/>
    <w:rsid w:val="001423BD"/>
    <w:rsid w:val="0014526A"/>
    <w:rsid w:val="00146FE8"/>
    <w:rsid w:val="00147D17"/>
    <w:rsid w:val="00147D4A"/>
    <w:rsid w:val="00147FA3"/>
    <w:rsid w:val="00152C59"/>
    <w:rsid w:val="00153023"/>
    <w:rsid w:val="00153877"/>
    <w:rsid w:val="00153D68"/>
    <w:rsid w:val="00154567"/>
    <w:rsid w:val="00154767"/>
    <w:rsid w:val="00155483"/>
    <w:rsid w:val="0015793D"/>
    <w:rsid w:val="00161FAA"/>
    <w:rsid w:val="00164B9C"/>
    <w:rsid w:val="001653B4"/>
    <w:rsid w:val="001669A2"/>
    <w:rsid w:val="00166E69"/>
    <w:rsid w:val="00167272"/>
    <w:rsid w:val="00167E01"/>
    <w:rsid w:val="00167FF5"/>
    <w:rsid w:val="00170CC2"/>
    <w:rsid w:val="0017116A"/>
    <w:rsid w:val="00171479"/>
    <w:rsid w:val="00171A33"/>
    <w:rsid w:val="00172644"/>
    <w:rsid w:val="00176EEA"/>
    <w:rsid w:val="00177929"/>
    <w:rsid w:val="00177A7A"/>
    <w:rsid w:val="00177B8F"/>
    <w:rsid w:val="00182E57"/>
    <w:rsid w:val="00184289"/>
    <w:rsid w:val="00184ABA"/>
    <w:rsid w:val="001858BE"/>
    <w:rsid w:val="00185A56"/>
    <w:rsid w:val="001864BC"/>
    <w:rsid w:val="00187590"/>
    <w:rsid w:val="00190C31"/>
    <w:rsid w:val="00191140"/>
    <w:rsid w:val="0019139D"/>
    <w:rsid w:val="001918E9"/>
    <w:rsid w:val="00192BDE"/>
    <w:rsid w:val="00193CE6"/>
    <w:rsid w:val="00194B8E"/>
    <w:rsid w:val="00195E66"/>
    <w:rsid w:val="001961BA"/>
    <w:rsid w:val="00196D8F"/>
    <w:rsid w:val="001975C9"/>
    <w:rsid w:val="001A0716"/>
    <w:rsid w:val="001A343D"/>
    <w:rsid w:val="001A435B"/>
    <w:rsid w:val="001A4465"/>
    <w:rsid w:val="001A5FB8"/>
    <w:rsid w:val="001A6F91"/>
    <w:rsid w:val="001A7C88"/>
    <w:rsid w:val="001B1526"/>
    <w:rsid w:val="001B1BD2"/>
    <w:rsid w:val="001B3012"/>
    <w:rsid w:val="001B520E"/>
    <w:rsid w:val="001B5BEF"/>
    <w:rsid w:val="001B6816"/>
    <w:rsid w:val="001B7766"/>
    <w:rsid w:val="001C5534"/>
    <w:rsid w:val="001C6CAF"/>
    <w:rsid w:val="001C7C71"/>
    <w:rsid w:val="001D06AD"/>
    <w:rsid w:val="001D2114"/>
    <w:rsid w:val="001D2E91"/>
    <w:rsid w:val="001D318D"/>
    <w:rsid w:val="001D693B"/>
    <w:rsid w:val="001D70EE"/>
    <w:rsid w:val="001D7320"/>
    <w:rsid w:val="001D73C1"/>
    <w:rsid w:val="001D7424"/>
    <w:rsid w:val="001D750D"/>
    <w:rsid w:val="001E00E0"/>
    <w:rsid w:val="001E0EF7"/>
    <w:rsid w:val="001E191A"/>
    <w:rsid w:val="001E33F3"/>
    <w:rsid w:val="001E3C44"/>
    <w:rsid w:val="001E3DE5"/>
    <w:rsid w:val="001E452F"/>
    <w:rsid w:val="001E4B4F"/>
    <w:rsid w:val="001E535B"/>
    <w:rsid w:val="001E56A2"/>
    <w:rsid w:val="001E6B1C"/>
    <w:rsid w:val="001E6CD4"/>
    <w:rsid w:val="001E6FE6"/>
    <w:rsid w:val="001E6FFF"/>
    <w:rsid w:val="001F0084"/>
    <w:rsid w:val="001F064B"/>
    <w:rsid w:val="001F1335"/>
    <w:rsid w:val="001F16F3"/>
    <w:rsid w:val="001F1743"/>
    <w:rsid w:val="001F1CE0"/>
    <w:rsid w:val="001F2980"/>
    <w:rsid w:val="001F3B7C"/>
    <w:rsid w:val="001F403F"/>
    <w:rsid w:val="001F4495"/>
    <w:rsid w:val="001F471C"/>
    <w:rsid w:val="001F5059"/>
    <w:rsid w:val="001F50BB"/>
    <w:rsid w:val="001F7A46"/>
    <w:rsid w:val="0020030D"/>
    <w:rsid w:val="00202078"/>
    <w:rsid w:val="00202131"/>
    <w:rsid w:val="0020229E"/>
    <w:rsid w:val="002026A6"/>
    <w:rsid w:val="00203622"/>
    <w:rsid w:val="00203E74"/>
    <w:rsid w:val="002069FA"/>
    <w:rsid w:val="00207055"/>
    <w:rsid w:val="002075D4"/>
    <w:rsid w:val="00207958"/>
    <w:rsid w:val="002103CB"/>
    <w:rsid w:val="00210CEC"/>
    <w:rsid w:val="00211704"/>
    <w:rsid w:val="002125CB"/>
    <w:rsid w:val="0021262F"/>
    <w:rsid w:val="00216A82"/>
    <w:rsid w:val="00217547"/>
    <w:rsid w:val="00220B91"/>
    <w:rsid w:val="002217F8"/>
    <w:rsid w:val="00225D3C"/>
    <w:rsid w:val="00227089"/>
    <w:rsid w:val="002306F3"/>
    <w:rsid w:val="00230AE3"/>
    <w:rsid w:val="00230C04"/>
    <w:rsid w:val="002314D2"/>
    <w:rsid w:val="0023165F"/>
    <w:rsid w:val="0023272C"/>
    <w:rsid w:val="00233E6F"/>
    <w:rsid w:val="002341FC"/>
    <w:rsid w:val="00234A29"/>
    <w:rsid w:val="002361C8"/>
    <w:rsid w:val="002364B7"/>
    <w:rsid w:val="0023659C"/>
    <w:rsid w:val="00237147"/>
    <w:rsid w:val="00237352"/>
    <w:rsid w:val="002374BB"/>
    <w:rsid w:val="00237506"/>
    <w:rsid w:val="00240600"/>
    <w:rsid w:val="002417C1"/>
    <w:rsid w:val="00242BA3"/>
    <w:rsid w:val="00243C2B"/>
    <w:rsid w:val="00244312"/>
    <w:rsid w:val="00247A47"/>
    <w:rsid w:val="00247C5C"/>
    <w:rsid w:val="002500C2"/>
    <w:rsid w:val="00250167"/>
    <w:rsid w:val="00251029"/>
    <w:rsid w:val="0025449E"/>
    <w:rsid w:val="0025467B"/>
    <w:rsid w:val="002551F6"/>
    <w:rsid w:val="002554CE"/>
    <w:rsid w:val="00255771"/>
    <w:rsid w:val="00255A95"/>
    <w:rsid w:val="002572D8"/>
    <w:rsid w:val="00260EB0"/>
    <w:rsid w:val="00262F82"/>
    <w:rsid w:val="00264BBB"/>
    <w:rsid w:val="002667A5"/>
    <w:rsid w:val="00266FC3"/>
    <w:rsid w:val="002676DA"/>
    <w:rsid w:val="00270D00"/>
    <w:rsid w:val="00271288"/>
    <w:rsid w:val="00272A64"/>
    <w:rsid w:val="002731BD"/>
    <w:rsid w:val="0027387D"/>
    <w:rsid w:val="0027549B"/>
    <w:rsid w:val="00276C5E"/>
    <w:rsid w:val="00277233"/>
    <w:rsid w:val="002776CD"/>
    <w:rsid w:val="002803FA"/>
    <w:rsid w:val="00281D13"/>
    <w:rsid w:val="002827C7"/>
    <w:rsid w:val="00283A63"/>
    <w:rsid w:val="0028592E"/>
    <w:rsid w:val="002859F8"/>
    <w:rsid w:val="0028605D"/>
    <w:rsid w:val="00286788"/>
    <w:rsid w:val="0028772F"/>
    <w:rsid w:val="002905A9"/>
    <w:rsid w:val="002929A8"/>
    <w:rsid w:val="00293838"/>
    <w:rsid w:val="00293E15"/>
    <w:rsid w:val="00295785"/>
    <w:rsid w:val="00295C9B"/>
    <w:rsid w:val="00297553"/>
    <w:rsid w:val="00297DCF"/>
    <w:rsid w:val="002A0361"/>
    <w:rsid w:val="002A046B"/>
    <w:rsid w:val="002A3922"/>
    <w:rsid w:val="002A4679"/>
    <w:rsid w:val="002A47B5"/>
    <w:rsid w:val="002A47BA"/>
    <w:rsid w:val="002A65E6"/>
    <w:rsid w:val="002A7F0C"/>
    <w:rsid w:val="002B1205"/>
    <w:rsid w:val="002B16F4"/>
    <w:rsid w:val="002B1B17"/>
    <w:rsid w:val="002B3094"/>
    <w:rsid w:val="002B4D0B"/>
    <w:rsid w:val="002B651F"/>
    <w:rsid w:val="002C40AB"/>
    <w:rsid w:val="002C5707"/>
    <w:rsid w:val="002C6355"/>
    <w:rsid w:val="002D0466"/>
    <w:rsid w:val="002D21A0"/>
    <w:rsid w:val="002D3B50"/>
    <w:rsid w:val="002D500A"/>
    <w:rsid w:val="002D619C"/>
    <w:rsid w:val="002D7D16"/>
    <w:rsid w:val="002E0AA9"/>
    <w:rsid w:val="002E2295"/>
    <w:rsid w:val="002E31E3"/>
    <w:rsid w:val="002E349E"/>
    <w:rsid w:val="002E5DF0"/>
    <w:rsid w:val="002E6A21"/>
    <w:rsid w:val="002E6C2C"/>
    <w:rsid w:val="002E6EA9"/>
    <w:rsid w:val="002E74CD"/>
    <w:rsid w:val="002F04F4"/>
    <w:rsid w:val="002F0F7B"/>
    <w:rsid w:val="002F1AD0"/>
    <w:rsid w:val="002F1B12"/>
    <w:rsid w:val="002F2ADD"/>
    <w:rsid w:val="002F3CA0"/>
    <w:rsid w:val="002F4C7B"/>
    <w:rsid w:val="002F5F35"/>
    <w:rsid w:val="0030036D"/>
    <w:rsid w:val="00301E56"/>
    <w:rsid w:val="00302DA4"/>
    <w:rsid w:val="00303C49"/>
    <w:rsid w:val="003043D3"/>
    <w:rsid w:val="00304853"/>
    <w:rsid w:val="00305612"/>
    <w:rsid w:val="00306E36"/>
    <w:rsid w:val="00310228"/>
    <w:rsid w:val="00310232"/>
    <w:rsid w:val="00311D50"/>
    <w:rsid w:val="003138BA"/>
    <w:rsid w:val="003141E9"/>
    <w:rsid w:val="003158DD"/>
    <w:rsid w:val="003169B1"/>
    <w:rsid w:val="0031701A"/>
    <w:rsid w:val="0031777C"/>
    <w:rsid w:val="00320EB5"/>
    <w:rsid w:val="00321760"/>
    <w:rsid w:val="00321CF0"/>
    <w:rsid w:val="003222D9"/>
    <w:rsid w:val="00323DA3"/>
    <w:rsid w:val="00323F93"/>
    <w:rsid w:val="00324A98"/>
    <w:rsid w:val="00324C0D"/>
    <w:rsid w:val="00324D18"/>
    <w:rsid w:val="0032587D"/>
    <w:rsid w:val="00326B4A"/>
    <w:rsid w:val="003302B5"/>
    <w:rsid w:val="003302C4"/>
    <w:rsid w:val="0033132E"/>
    <w:rsid w:val="0033158A"/>
    <w:rsid w:val="00331F03"/>
    <w:rsid w:val="003342B7"/>
    <w:rsid w:val="00335113"/>
    <w:rsid w:val="0033662A"/>
    <w:rsid w:val="00337E67"/>
    <w:rsid w:val="003401B5"/>
    <w:rsid w:val="00342330"/>
    <w:rsid w:val="00344118"/>
    <w:rsid w:val="003443AF"/>
    <w:rsid w:val="0034546A"/>
    <w:rsid w:val="0034575C"/>
    <w:rsid w:val="00346627"/>
    <w:rsid w:val="00346C50"/>
    <w:rsid w:val="00346EA4"/>
    <w:rsid w:val="003475EF"/>
    <w:rsid w:val="00347664"/>
    <w:rsid w:val="003511A6"/>
    <w:rsid w:val="00351636"/>
    <w:rsid w:val="003524FA"/>
    <w:rsid w:val="003536AA"/>
    <w:rsid w:val="00355A17"/>
    <w:rsid w:val="0035744E"/>
    <w:rsid w:val="00360343"/>
    <w:rsid w:val="00364C68"/>
    <w:rsid w:val="00364E31"/>
    <w:rsid w:val="00365426"/>
    <w:rsid w:val="003663FF"/>
    <w:rsid w:val="0036743A"/>
    <w:rsid w:val="00371602"/>
    <w:rsid w:val="00371A69"/>
    <w:rsid w:val="00371DCC"/>
    <w:rsid w:val="00372DA3"/>
    <w:rsid w:val="00372FCD"/>
    <w:rsid w:val="0037516A"/>
    <w:rsid w:val="00375399"/>
    <w:rsid w:val="003761A0"/>
    <w:rsid w:val="003761C3"/>
    <w:rsid w:val="0037637D"/>
    <w:rsid w:val="00376403"/>
    <w:rsid w:val="0038095F"/>
    <w:rsid w:val="00382134"/>
    <w:rsid w:val="00383809"/>
    <w:rsid w:val="0038572D"/>
    <w:rsid w:val="00390F55"/>
    <w:rsid w:val="003937D5"/>
    <w:rsid w:val="003943F6"/>
    <w:rsid w:val="00395BBA"/>
    <w:rsid w:val="0039655F"/>
    <w:rsid w:val="00397438"/>
    <w:rsid w:val="003975C9"/>
    <w:rsid w:val="003A0B6C"/>
    <w:rsid w:val="003A0C50"/>
    <w:rsid w:val="003A19A9"/>
    <w:rsid w:val="003A1E88"/>
    <w:rsid w:val="003A20C8"/>
    <w:rsid w:val="003A262E"/>
    <w:rsid w:val="003A2D98"/>
    <w:rsid w:val="003A3492"/>
    <w:rsid w:val="003A644A"/>
    <w:rsid w:val="003A7366"/>
    <w:rsid w:val="003B04CA"/>
    <w:rsid w:val="003B0EB7"/>
    <w:rsid w:val="003B2002"/>
    <w:rsid w:val="003B2911"/>
    <w:rsid w:val="003B4EF8"/>
    <w:rsid w:val="003B5149"/>
    <w:rsid w:val="003C03B5"/>
    <w:rsid w:val="003C22A2"/>
    <w:rsid w:val="003C2A63"/>
    <w:rsid w:val="003C5296"/>
    <w:rsid w:val="003C59FB"/>
    <w:rsid w:val="003C5D63"/>
    <w:rsid w:val="003D17A0"/>
    <w:rsid w:val="003D26E9"/>
    <w:rsid w:val="003D4696"/>
    <w:rsid w:val="003D7DB9"/>
    <w:rsid w:val="003E2E02"/>
    <w:rsid w:val="003E2FF1"/>
    <w:rsid w:val="003E349E"/>
    <w:rsid w:val="003E373D"/>
    <w:rsid w:val="003E3A21"/>
    <w:rsid w:val="003E4A62"/>
    <w:rsid w:val="003E68BB"/>
    <w:rsid w:val="003E6AC9"/>
    <w:rsid w:val="003E6F9D"/>
    <w:rsid w:val="003E74A0"/>
    <w:rsid w:val="003F0472"/>
    <w:rsid w:val="003F09CD"/>
    <w:rsid w:val="003F0FFD"/>
    <w:rsid w:val="003F17A7"/>
    <w:rsid w:val="003F1C82"/>
    <w:rsid w:val="003F20F4"/>
    <w:rsid w:val="003F23CE"/>
    <w:rsid w:val="003F41C1"/>
    <w:rsid w:val="003F79A3"/>
    <w:rsid w:val="0040223B"/>
    <w:rsid w:val="004031CE"/>
    <w:rsid w:val="00403273"/>
    <w:rsid w:val="00403850"/>
    <w:rsid w:val="004041B9"/>
    <w:rsid w:val="00405D43"/>
    <w:rsid w:val="00406D2A"/>
    <w:rsid w:val="00407710"/>
    <w:rsid w:val="00407F8D"/>
    <w:rsid w:val="00410283"/>
    <w:rsid w:val="004105DD"/>
    <w:rsid w:val="00411467"/>
    <w:rsid w:val="0041233E"/>
    <w:rsid w:val="00412398"/>
    <w:rsid w:val="0041327B"/>
    <w:rsid w:val="00414D10"/>
    <w:rsid w:val="004157B9"/>
    <w:rsid w:val="00415B46"/>
    <w:rsid w:val="00416ABA"/>
    <w:rsid w:val="0041712A"/>
    <w:rsid w:val="00420B93"/>
    <w:rsid w:val="00420C62"/>
    <w:rsid w:val="00421651"/>
    <w:rsid w:val="004217BF"/>
    <w:rsid w:val="004225D0"/>
    <w:rsid w:val="00424D5D"/>
    <w:rsid w:val="004253E4"/>
    <w:rsid w:val="00426BDD"/>
    <w:rsid w:val="00427693"/>
    <w:rsid w:val="00427A07"/>
    <w:rsid w:val="004302AF"/>
    <w:rsid w:val="00430BDB"/>
    <w:rsid w:val="00432ABD"/>
    <w:rsid w:val="0043366A"/>
    <w:rsid w:val="0043376F"/>
    <w:rsid w:val="00435256"/>
    <w:rsid w:val="004353DC"/>
    <w:rsid w:val="00435B05"/>
    <w:rsid w:val="0043732A"/>
    <w:rsid w:val="004400DA"/>
    <w:rsid w:val="004416C1"/>
    <w:rsid w:val="00444AD0"/>
    <w:rsid w:val="00446296"/>
    <w:rsid w:val="004468C6"/>
    <w:rsid w:val="004468CB"/>
    <w:rsid w:val="00447841"/>
    <w:rsid w:val="00447AAA"/>
    <w:rsid w:val="0045023F"/>
    <w:rsid w:val="0045025A"/>
    <w:rsid w:val="00455DAC"/>
    <w:rsid w:val="00455DDC"/>
    <w:rsid w:val="004600E6"/>
    <w:rsid w:val="004603B0"/>
    <w:rsid w:val="0046040E"/>
    <w:rsid w:val="0046061F"/>
    <w:rsid w:val="00460DDB"/>
    <w:rsid w:val="00461843"/>
    <w:rsid w:val="00461BA1"/>
    <w:rsid w:val="00464B9D"/>
    <w:rsid w:val="004656AF"/>
    <w:rsid w:val="0046571A"/>
    <w:rsid w:val="00465895"/>
    <w:rsid w:val="0046617E"/>
    <w:rsid w:val="00466BBB"/>
    <w:rsid w:val="0047080E"/>
    <w:rsid w:val="004708F6"/>
    <w:rsid w:val="004713DB"/>
    <w:rsid w:val="0047228F"/>
    <w:rsid w:val="00472BAD"/>
    <w:rsid w:val="004736CC"/>
    <w:rsid w:val="00473B3B"/>
    <w:rsid w:val="00474761"/>
    <w:rsid w:val="00476C92"/>
    <w:rsid w:val="00476DDE"/>
    <w:rsid w:val="00480FD2"/>
    <w:rsid w:val="00484E50"/>
    <w:rsid w:val="004855C6"/>
    <w:rsid w:val="0048589A"/>
    <w:rsid w:val="004877BC"/>
    <w:rsid w:val="00487CA1"/>
    <w:rsid w:val="004901BC"/>
    <w:rsid w:val="00490C17"/>
    <w:rsid w:val="00496A03"/>
    <w:rsid w:val="00496EA9"/>
    <w:rsid w:val="0049719D"/>
    <w:rsid w:val="004975BD"/>
    <w:rsid w:val="004977AC"/>
    <w:rsid w:val="00497D2A"/>
    <w:rsid w:val="004A0266"/>
    <w:rsid w:val="004A107E"/>
    <w:rsid w:val="004A14BB"/>
    <w:rsid w:val="004A19A5"/>
    <w:rsid w:val="004A2C79"/>
    <w:rsid w:val="004A4A83"/>
    <w:rsid w:val="004A59B8"/>
    <w:rsid w:val="004A6F04"/>
    <w:rsid w:val="004A701E"/>
    <w:rsid w:val="004A7435"/>
    <w:rsid w:val="004A7F90"/>
    <w:rsid w:val="004B08FF"/>
    <w:rsid w:val="004B0D22"/>
    <w:rsid w:val="004B2239"/>
    <w:rsid w:val="004B2353"/>
    <w:rsid w:val="004B275B"/>
    <w:rsid w:val="004B3355"/>
    <w:rsid w:val="004B5590"/>
    <w:rsid w:val="004B5FC4"/>
    <w:rsid w:val="004B7C6E"/>
    <w:rsid w:val="004C09BE"/>
    <w:rsid w:val="004C10CE"/>
    <w:rsid w:val="004C22BD"/>
    <w:rsid w:val="004C244A"/>
    <w:rsid w:val="004C2E4C"/>
    <w:rsid w:val="004C37DC"/>
    <w:rsid w:val="004C4475"/>
    <w:rsid w:val="004C4B61"/>
    <w:rsid w:val="004C507C"/>
    <w:rsid w:val="004C5142"/>
    <w:rsid w:val="004D08FC"/>
    <w:rsid w:val="004D1A10"/>
    <w:rsid w:val="004D2711"/>
    <w:rsid w:val="004D3DC9"/>
    <w:rsid w:val="004D404C"/>
    <w:rsid w:val="004D42D2"/>
    <w:rsid w:val="004D4592"/>
    <w:rsid w:val="004D4B74"/>
    <w:rsid w:val="004D64ED"/>
    <w:rsid w:val="004D77BA"/>
    <w:rsid w:val="004E2450"/>
    <w:rsid w:val="004E28A4"/>
    <w:rsid w:val="004E4F3A"/>
    <w:rsid w:val="004E62B4"/>
    <w:rsid w:val="004E6950"/>
    <w:rsid w:val="004F1398"/>
    <w:rsid w:val="004F18A1"/>
    <w:rsid w:val="004F37DA"/>
    <w:rsid w:val="004F4318"/>
    <w:rsid w:val="004F449E"/>
    <w:rsid w:val="004F5D47"/>
    <w:rsid w:val="004F623E"/>
    <w:rsid w:val="004F642B"/>
    <w:rsid w:val="004F6987"/>
    <w:rsid w:val="004F6A86"/>
    <w:rsid w:val="004F7068"/>
    <w:rsid w:val="004F7369"/>
    <w:rsid w:val="004F7AC3"/>
    <w:rsid w:val="004F7E98"/>
    <w:rsid w:val="00500C1C"/>
    <w:rsid w:val="00502495"/>
    <w:rsid w:val="00502A52"/>
    <w:rsid w:val="005032B2"/>
    <w:rsid w:val="00503748"/>
    <w:rsid w:val="00503834"/>
    <w:rsid w:val="00503E36"/>
    <w:rsid w:val="00504163"/>
    <w:rsid w:val="005072D6"/>
    <w:rsid w:val="00510889"/>
    <w:rsid w:val="00510D92"/>
    <w:rsid w:val="005135C5"/>
    <w:rsid w:val="005150CB"/>
    <w:rsid w:val="005151EE"/>
    <w:rsid w:val="00515BB3"/>
    <w:rsid w:val="00516B05"/>
    <w:rsid w:val="00517F92"/>
    <w:rsid w:val="0052099E"/>
    <w:rsid w:val="0052126F"/>
    <w:rsid w:val="00521401"/>
    <w:rsid w:val="005239B8"/>
    <w:rsid w:val="005242A3"/>
    <w:rsid w:val="00525A4E"/>
    <w:rsid w:val="00525F54"/>
    <w:rsid w:val="005301F8"/>
    <w:rsid w:val="005309C6"/>
    <w:rsid w:val="00530D02"/>
    <w:rsid w:val="00531AF8"/>
    <w:rsid w:val="00531D68"/>
    <w:rsid w:val="00533534"/>
    <w:rsid w:val="00535CD7"/>
    <w:rsid w:val="00535D1E"/>
    <w:rsid w:val="00536151"/>
    <w:rsid w:val="00537E97"/>
    <w:rsid w:val="00541768"/>
    <w:rsid w:val="00541866"/>
    <w:rsid w:val="0054274E"/>
    <w:rsid w:val="005430D1"/>
    <w:rsid w:val="0054452A"/>
    <w:rsid w:val="00545C7C"/>
    <w:rsid w:val="00546D32"/>
    <w:rsid w:val="00547C0D"/>
    <w:rsid w:val="005509E2"/>
    <w:rsid w:val="00551EEF"/>
    <w:rsid w:val="00552084"/>
    <w:rsid w:val="00552AC0"/>
    <w:rsid w:val="0055306C"/>
    <w:rsid w:val="00553DAD"/>
    <w:rsid w:val="00554E3C"/>
    <w:rsid w:val="005552E6"/>
    <w:rsid w:val="0055588D"/>
    <w:rsid w:val="005565B5"/>
    <w:rsid w:val="00557CFD"/>
    <w:rsid w:val="00557E1B"/>
    <w:rsid w:val="00561D45"/>
    <w:rsid w:val="00562961"/>
    <w:rsid w:val="00562AA3"/>
    <w:rsid w:val="00564171"/>
    <w:rsid w:val="00564373"/>
    <w:rsid w:val="0056463A"/>
    <w:rsid w:val="00566D7A"/>
    <w:rsid w:val="0056759A"/>
    <w:rsid w:val="00567DAC"/>
    <w:rsid w:val="005708B7"/>
    <w:rsid w:val="00571B0F"/>
    <w:rsid w:val="00571B93"/>
    <w:rsid w:val="00571E2A"/>
    <w:rsid w:val="00572BEE"/>
    <w:rsid w:val="00574020"/>
    <w:rsid w:val="005741F7"/>
    <w:rsid w:val="005744A3"/>
    <w:rsid w:val="005749B6"/>
    <w:rsid w:val="0057517D"/>
    <w:rsid w:val="00575403"/>
    <w:rsid w:val="00577AA3"/>
    <w:rsid w:val="00581688"/>
    <w:rsid w:val="0058258E"/>
    <w:rsid w:val="0058263E"/>
    <w:rsid w:val="00583264"/>
    <w:rsid w:val="00583B5A"/>
    <w:rsid w:val="00584D4C"/>
    <w:rsid w:val="00584F8C"/>
    <w:rsid w:val="0058512E"/>
    <w:rsid w:val="00585A64"/>
    <w:rsid w:val="00585CA5"/>
    <w:rsid w:val="00586A21"/>
    <w:rsid w:val="00587C36"/>
    <w:rsid w:val="00591589"/>
    <w:rsid w:val="00593083"/>
    <w:rsid w:val="00597F8B"/>
    <w:rsid w:val="005A00B3"/>
    <w:rsid w:val="005A12A2"/>
    <w:rsid w:val="005A1DAD"/>
    <w:rsid w:val="005A29EF"/>
    <w:rsid w:val="005A2FE4"/>
    <w:rsid w:val="005A3BBC"/>
    <w:rsid w:val="005A46D0"/>
    <w:rsid w:val="005A5510"/>
    <w:rsid w:val="005A6DD8"/>
    <w:rsid w:val="005A756A"/>
    <w:rsid w:val="005A769F"/>
    <w:rsid w:val="005A796D"/>
    <w:rsid w:val="005B0436"/>
    <w:rsid w:val="005B18CB"/>
    <w:rsid w:val="005B29BA"/>
    <w:rsid w:val="005B376A"/>
    <w:rsid w:val="005B38AF"/>
    <w:rsid w:val="005B3B3A"/>
    <w:rsid w:val="005B5E46"/>
    <w:rsid w:val="005B6E96"/>
    <w:rsid w:val="005B7245"/>
    <w:rsid w:val="005C0379"/>
    <w:rsid w:val="005C0BA9"/>
    <w:rsid w:val="005C0CEA"/>
    <w:rsid w:val="005C12B1"/>
    <w:rsid w:val="005C191F"/>
    <w:rsid w:val="005C35BD"/>
    <w:rsid w:val="005C3ECE"/>
    <w:rsid w:val="005C73E4"/>
    <w:rsid w:val="005D1246"/>
    <w:rsid w:val="005D2D33"/>
    <w:rsid w:val="005D3A6E"/>
    <w:rsid w:val="005D47B3"/>
    <w:rsid w:val="005D4810"/>
    <w:rsid w:val="005D4EC1"/>
    <w:rsid w:val="005D5680"/>
    <w:rsid w:val="005E15BA"/>
    <w:rsid w:val="005E21F1"/>
    <w:rsid w:val="005E2E7D"/>
    <w:rsid w:val="005E3F07"/>
    <w:rsid w:val="005E548C"/>
    <w:rsid w:val="005E7AEA"/>
    <w:rsid w:val="005E7B30"/>
    <w:rsid w:val="005F0F4B"/>
    <w:rsid w:val="005F5D7E"/>
    <w:rsid w:val="005F66CB"/>
    <w:rsid w:val="00600161"/>
    <w:rsid w:val="00601BDC"/>
    <w:rsid w:val="00601E1B"/>
    <w:rsid w:val="00602ADB"/>
    <w:rsid w:val="00603E5B"/>
    <w:rsid w:val="006042BB"/>
    <w:rsid w:val="00604878"/>
    <w:rsid w:val="006057D0"/>
    <w:rsid w:val="006072F8"/>
    <w:rsid w:val="0060732C"/>
    <w:rsid w:val="00612246"/>
    <w:rsid w:val="006152B5"/>
    <w:rsid w:val="00615703"/>
    <w:rsid w:val="00615BCD"/>
    <w:rsid w:val="00617513"/>
    <w:rsid w:val="00620484"/>
    <w:rsid w:val="00622E88"/>
    <w:rsid w:val="00623183"/>
    <w:rsid w:val="0062395D"/>
    <w:rsid w:val="00624573"/>
    <w:rsid w:val="006268A1"/>
    <w:rsid w:val="00626ADD"/>
    <w:rsid w:val="00626DE0"/>
    <w:rsid w:val="00626F74"/>
    <w:rsid w:val="00630A6B"/>
    <w:rsid w:val="00634896"/>
    <w:rsid w:val="00634D10"/>
    <w:rsid w:val="00637ADC"/>
    <w:rsid w:val="0064323F"/>
    <w:rsid w:val="006436C9"/>
    <w:rsid w:val="006453A0"/>
    <w:rsid w:val="00645845"/>
    <w:rsid w:val="006464E3"/>
    <w:rsid w:val="006468BE"/>
    <w:rsid w:val="006532AF"/>
    <w:rsid w:val="00654C94"/>
    <w:rsid w:val="00656435"/>
    <w:rsid w:val="0065645F"/>
    <w:rsid w:val="00656C0D"/>
    <w:rsid w:val="00656C74"/>
    <w:rsid w:val="00657718"/>
    <w:rsid w:val="00660BBB"/>
    <w:rsid w:val="006615E0"/>
    <w:rsid w:val="006634B6"/>
    <w:rsid w:val="00664644"/>
    <w:rsid w:val="00664836"/>
    <w:rsid w:val="006651EA"/>
    <w:rsid w:val="0067051E"/>
    <w:rsid w:val="00670558"/>
    <w:rsid w:val="00671228"/>
    <w:rsid w:val="00671FDF"/>
    <w:rsid w:val="00673439"/>
    <w:rsid w:val="00673900"/>
    <w:rsid w:val="006749F3"/>
    <w:rsid w:val="00674EFD"/>
    <w:rsid w:val="0067543E"/>
    <w:rsid w:val="006757BA"/>
    <w:rsid w:val="00675E3C"/>
    <w:rsid w:val="00677085"/>
    <w:rsid w:val="00680234"/>
    <w:rsid w:val="006807DE"/>
    <w:rsid w:val="00680AD3"/>
    <w:rsid w:val="00680FFC"/>
    <w:rsid w:val="006812B6"/>
    <w:rsid w:val="00681ED3"/>
    <w:rsid w:val="006846D8"/>
    <w:rsid w:val="0068518B"/>
    <w:rsid w:val="00685705"/>
    <w:rsid w:val="00685A38"/>
    <w:rsid w:val="0068633D"/>
    <w:rsid w:val="00694297"/>
    <w:rsid w:val="006953DF"/>
    <w:rsid w:val="0069570F"/>
    <w:rsid w:val="00697625"/>
    <w:rsid w:val="00697A1E"/>
    <w:rsid w:val="00697A7A"/>
    <w:rsid w:val="006A0EDC"/>
    <w:rsid w:val="006A135B"/>
    <w:rsid w:val="006A19BE"/>
    <w:rsid w:val="006A1D37"/>
    <w:rsid w:val="006A2999"/>
    <w:rsid w:val="006A3680"/>
    <w:rsid w:val="006A3699"/>
    <w:rsid w:val="006A4699"/>
    <w:rsid w:val="006A520E"/>
    <w:rsid w:val="006A5DC3"/>
    <w:rsid w:val="006A621D"/>
    <w:rsid w:val="006A6696"/>
    <w:rsid w:val="006A7072"/>
    <w:rsid w:val="006A768A"/>
    <w:rsid w:val="006A7898"/>
    <w:rsid w:val="006B1F6A"/>
    <w:rsid w:val="006B2CDB"/>
    <w:rsid w:val="006B2D22"/>
    <w:rsid w:val="006B5C9D"/>
    <w:rsid w:val="006B5F07"/>
    <w:rsid w:val="006B611B"/>
    <w:rsid w:val="006B79ED"/>
    <w:rsid w:val="006C095F"/>
    <w:rsid w:val="006C1D99"/>
    <w:rsid w:val="006C1E14"/>
    <w:rsid w:val="006C1F48"/>
    <w:rsid w:val="006C2175"/>
    <w:rsid w:val="006C2335"/>
    <w:rsid w:val="006C2D83"/>
    <w:rsid w:val="006C40BB"/>
    <w:rsid w:val="006C40D2"/>
    <w:rsid w:val="006C41C4"/>
    <w:rsid w:val="006C465B"/>
    <w:rsid w:val="006C5436"/>
    <w:rsid w:val="006C5A59"/>
    <w:rsid w:val="006C7CE3"/>
    <w:rsid w:val="006D0E50"/>
    <w:rsid w:val="006D30AB"/>
    <w:rsid w:val="006D606C"/>
    <w:rsid w:val="006D6654"/>
    <w:rsid w:val="006D6DEC"/>
    <w:rsid w:val="006E0E73"/>
    <w:rsid w:val="006E3A98"/>
    <w:rsid w:val="006E465D"/>
    <w:rsid w:val="006E504F"/>
    <w:rsid w:val="006E59DA"/>
    <w:rsid w:val="006E76C8"/>
    <w:rsid w:val="006F2FE8"/>
    <w:rsid w:val="006F3628"/>
    <w:rsid w:val="006F3D66"/>
    <w:rsid w:val="006F45F4"/>
    <w:rsid w:val="006F4F0D"/>
    <w:rsid w:val="006F580F"/>
    <w:rsid w:val="006F74C9"/>
    <w:rsid w:val="007001C2"/>
    <w:rsid w:val="00700D62"/>
    <w:rsid w:val="00701808"/>
    <w:rsid w:val="00701D18"/>
    <w:rsid w:val="00704D6B"/>
    <w:rsid w:val="007070E8"/>
    <w:rsid w:val="00710D04"/>
    <w:rsid w:val="00711BDE"/>
    <w:rsid w:val="0071205D"/>
    <w:rsid w:val="00714616"/>
    <w:rsid w:val="007153D8"/>
    <w:rsid w:val="00717703"/>
    <w:rsid w:val="00717AC6"/>
    <w:rsid w:val="00717C59"/>
    <w:rsid w:val="00717E25"/>
    <w:rsid w:val="007200A1"/>
    <w:rsid w:val="00720EE1"/>
    <w:rsid w:val="00721824"/>
    <w:rsid w:val="00721D94"/>
    <w:rsid w:val="0072291C"/>
    <w:rsid w:val="00723AC9"/>
    <w:rsid w:val="00724184"/>
    <w:rsid w:val="00724FC3"/>
    <w:rsid w:val="0072542E"/>
    <w:rsid w:val="007258F5"/>
    <w:rsid w:val="00725A14"/>
    <w:rsid w:val="00725BA1"/>
    <w:rsid w:val="00725C03"/>
    <w:rsid w:val="007266A4"/>
    <w:rsid w:val="007268AE"/>
    <w:rsid w:val="00727733"/>
    <w:rsid w:val="00731E06"/>
    <w:rsid w:val="00733098"/>
    <w:rsid w:val="00735067"/>
    <w:rsid w:val="00735690"/>
    <w:rsid w:val="007405BD"/>
    <w:rsid w:val="0074065A"/>
    <w:rsid w:val="007418BD"/>
    <w:rsid w:val="007418DD"/>
    <w:rsid w:val="00742073"/>
    <w:rsid w:val="00742133"/>
    <w:rsid w:val="00742F96"/>
    <w:rsid w:val="007438BB"/>
    <w:rsid w:val="007439CB"/>
    <w:rsid w:val="0074472C"/>
    <w:rsid w:val="007457FD"/>
    <w:rsid w:val="007461C9"/>
    <w:rsid w:val="0074662A"/>
    <w:rsid w:val="0074673E"/>
    <w:rsid w:val="00746A2E"/>
    <w:rsid w:val="00746B88"/>
    <w:rsid w:val="00751074"/>
    <w:rsid w:val="0075204F"/>
    <w:rsid w:val="00753614"/>
    <w:rsid w:val="007539EB"/>
    <w:rsid w:val="00753CB2"/>
    <w:rsid w:val="00755446"/>
    <w:rsid w:val="0075655D"/>
    <w:rsid w:val="00756723"/>
    <w:rsid w:val="00756EE8"/>
    <w:rsid w:val="00757D67"/>
    <w:rsid w:val="007608CF"/>
    <w:rsid w:val="007617AB"/>
    <w:rsid w:val="00761D59"/>
    <w:rsid w:val="00761E3D"/>
    <w:rsid w:val="00762A00"/>
    <w:rsid w:val="00763F41"/>
    <w:rsid w:val="00764279"/>
    <w:rsid w:val="007645CE"/>
    <w:rsid w:val="007718D9"/>
    <w:rsid w:val="00771C55"/>
    <w:rsid w:val="007727DC"/>
    <w:rsid w:val="00772924"/>
    <w:rsid w:val="007740E7"/>
    <w:rsid w:val="007742F2"/>
    <w:rsid w:val="0077509A"/>
    <w:rsid w:val="00775258"/>
    <w:rsid w:val="007760E4"/>
    <w:rsid w:val="00777707"/>
    <w:rsid w:val="00777E42"/>
    <w:rsid w:val="00780362"/>
    <w:rsid w:val="007804C2"/>
    <w:rsid w:val="007822F8"/>
    <w:rsid w:val="00782692"/>
    <w:rsid w:val="00782E4C"/>
    <w:rsid w:val="00783A74"/>
    <w:rsid w:val="00783ED4"/>
    <w:rsid w:val="00786863"/>
    <w:rsid w:val="007879B7"/>
    <w:rsid w:val="007904D3"/>
    <w:rsid w:val="00790EF3"/>
    <w:rsid w:val="00791C31"/>
    <w:rsid w:val="00793378"/>
    <w:rsid w:val="00793B2F"/>
    <w:rsid w:val="0079540A"/>
    <w:rsid w:val="00796AA5"/>
    <w:rsid w:val="00797AC5"/>
    <w:rsid w:val="007A0590"/>
    <w:rsid w:val="007A1353"/>
    <w:rsid w:val="007A1D36"/>
    <w:rsid w:val="007A2739"/>
    <w:rsid w:val="007A446C"/>
    <w:rsid w:val="007A479A"/>
    <w:rsid w:val="007A699A"/>
    <w:rsid w:val="007A7280"/>
    <w:rsid w:val="007A7600"/>
    <w:rsid w:val="007A7B59"/>
    <w:rsid w:val="007B0591"/>
    <w:rsid w:val="007B070B"/>
    <w:rsid w:val="007B1597"/>
    <w:rsid w:val="007B16B9"/>
    <w:rsid w:val="007B1C08"/>
    <w:rsid w:val="007B21B3"/>
    <w:rsid w:val="007B3869"/>
    <w:rsid w:val="007B5297"/>
    <w:rsid w:val="007B5E1E"/>
    <w:rsid w:val="007B6240"/>
    <w:rsid w:val="007B6AF6"/>
    <w:rsid w:val="007C100C"/>
    <w:rsid w:val="007C3517"/>
    <w:rsid w:val="007C40C9"/>
    <w:rsid w:val="007C5870"/>
    <w:rsid w:val="007C6B82"/>
    <w:rsid w:val="007C6CA1"/>
    <w:rsid w:val="007C7D44"/>
    <w:rsid w:val="007D19D5"/>
    <w:rsid w:val="007D353E"/>
    <w:rsid w:val="007D5307"/>
    <w:rsid w:val="007D642B"/>
    <w:rsid w:val="007D6827"/>
    <w:rsid w:val="007D6A3D"/>
    <w:rsid w:val="007D6E9F"/>
    <w:rsid w:val="007D75A3"/>
    <w:rsid w:val="007D7750"/>
    <w:rsid w:val="007D7CC1"/>
    <w:rsid w:val="007E115D"/>
    <w:rsid w:val="007E195E"/>
    <w:rsid w:val="007E45BC"/>
    <w:rsid w:val="007E742D"/>
    <w:rsid w:val="007E7C3A"/>
    <w:rsid w:val="007F0B8F"/>
    <w:rsid w:val="007F0CDB"/>
    <w:rsid w:val="007F0FEE"/>
    <w:rsid w:val="007F16BE"/>
    <w:rsid w:val="007F2CB0"/>
    <w:rsid w:val="007F4D77"/>
    <w:rsid w:val="007F68FA"/>
    <w:rsid w:val="00800AA5"/>
    <w:rsid w:val="008019A2"/>
    <w:rsid w:val="008025AA"/>
    <w:rsid w:val="00802AA3"/>
    <w:rsid w:val="00803D62"/>
    <w:rsid w:val="00803D69"/>
    <w:rsid w:val="00803F30"/>
    <w:rsid w:val="00803F4D"/>
    <w:rsid w:val="00804BB8"/>
    <w:rsid w:val="00805D51"/>
    <w:rsid w:val="00806ED0"/>
    <w:rsid w:val="008072C4"/>
    <w:rsid w:val="00807816"/>
    <w:rsid w:val="008102F1"/>
    <w:rsid w:val="00810845"/>
    <w:rsid w:val="00811A4E"/>
    <w:rsid w:val="00811B14"/>
    <w:rsid w:val="00812C6B"/>
    <w:rsid w:val="0081302E"/>
    <w:rsid w:val="00813B68"/>
    <w:rsid w:val="008152F4"/>
    <w:rsid w:val="00815D46"/>
    <w:rsid w:val="0082132C"/>
    <w:rsid w:val="00822ADF"/>
    <w:rsid w:val="00824EBF"/>
    <w:rsid w:val="00830C08"/>
    <w:rsid w:val="00832103"/>
    <w:rsid w:val="008346D4"/>
    <w:rsid w:val="008360AA"/>
    <w:rsid w:val="0083752C"/>
    <w:rsid w:val="00841390"/>
    <w:rsid w:val="008427BE"/>
    <w:rsid w:val="00842E23"/>
    <w:rsid w:val="00843DD3"/>
    <w:rsid w:val="00846315"/>
    <w:rsid w:val="00847A35"/>
    <w:rsid w:val="00847E3C"/>
    <w:rsid w:val="008502E3"/>
    <w:rsid w:val="008513E1"/>
    <w:rsid w:val="00852177"/>
    <w:rsid w:val="00852490"/>
    <w:rsid w:val="00853388"/>
    <w:rsid w:val="008540F4"/>
    <w:rsid w:val="0085435A"/>
    <w:rsid w:val="0085436C"/>
    <w:rsid w:val="0085479A"/>
    <w:rsid w:val="0085566F"/>
    <w:rsid w:val="00855726"/>
    <w:rsid w:val="008571DA"/>
    <w:rsid w:val="008608B9"/>
    <w:rsid w:val="00861E2A"/>
    <w:rsid w:val="008649AA"/>
    <w:rsid w:val="008657A8"/>
    <w:rsid w:val="008662E0"/>
    <w:rsid w:val="008670EB"/>
    <w:rsid w:val="00867B45"/>
    <w:rsid w:val="008701D6"/>
    <w:rsid w:val="00870C16"/>
    <w:rsid w:val="00872B85"/>
    <w:rsid w:val="00874E64"/>
    <w:rsid w:val="008772D8"/>
    <w:rsid w:val="0087734D"/>
    <w:rsid w:val="00877A42"/>
    <w:rsid w:val="00880451"/>
    <w:rsid w:val="008828FA"/>
    <w:rsid w:val="00883ECC"/>
    <w:rsid w:val="008850BA"/>
    <w:rsid w:val="00885DBC"/>
    <w:rsid w:val="00886656"/>
    <w:rsid w:val="008868B6"/>
    <w:rsid w:val="00886F05"/>
    <w:rsid w:val="0088726B"/>
    <w:rsid w:val="00887B47"/>
    <w:rsid w:val="00890AC6"/>
    <w:rsid w:val="00890FDA"/>
    <w:rsid w:val="00891D2C"/>
    <w:rsid w:val="008935BC"/>
    <w:rsid w:val="00893C10"/>
    <w:rsid w:val="00893CD8"/>
    <w:rsid w:val="00893E19"/>
    <w:rsid w:val="00894DED"/>
    <w:rsid w:val="00895BD6"/>
    <w:rsid w:val="00895CDD"/>
    <w:rsid w:val="008A004B"/>
    <w:rsid w:val="008A19E4"/>
    <w:rsid w:val="008A25C5"/>
    <w:rsid w:val="008A3234"/>
    <w:rsid w:val="008A4655"/>
    <w:rsid w:val="008A4B33"/>
    <w:rsid w:val="008A4CCA"/>
    <w:rsid w:val="008A5BE8"/>
    <w:rsid w:val="008A6556"/>
    <w:rsid w:val="008A6672"/>
    <w:rsid w:val="008A6EB3"/>
    <w:rsid w:val="008A7342"/>
    <w:rsid w:val="008A7D31"/>
    <w:rsid w:val="008A7EC1"/>
    <w:rsid w:val="008B05E0"/>
    <w:rsid w:val="008B272F"/>
    <w:rsid w:val="008B3F10"/>
    <w:rsid w:val="008B45F0"/>
    <w:rsid w:val="008B4C41"/>
    <w:rsid w:val="008B5A51"/>
    <w:rsid w:val="008B5DD4"/>
    <w:rsid w:val="008B5DD5"/>
    <w:rsid w:val="008B6DCB"/>
    <w:rsid w:val="008B7144"/>
    <w:rsid w:val="008C04D4"/>
    <w:rsid w:val="008C1894"/>
    <w:rsid w:val="008C29BF"/>
    <w:rsid w:val="008C6033"/>
    <w:rsid w:val="008D0A4B"/>
    <w:rsid w:val="008D1071"/>
    <w:rsid w:val="008D11A5"/>
    <w:rsid w:val="008D1A13"/>
    <w:rsid w:val="008D31E5"/>
    <w:rsid w:val="008D4A0B"/>
    <w:rsid w:val="008D5DEB"/>
    <w:rsid w:val="008D6B33"/>
    <w:rsid w:val="008D7835"/>
    <w:rsid w:val="008E0064"/>
    <w:rsid w:val="008E0448"/>
    <w:rsid w:val="008E0818"/>
    <w:rsid w:val="008E12A4"/>
    <w:rsid w:val="008E2413"/>
    <w:rsid w:val="008E2D08"/>
    <w:rsid w:val="008E3227"/>
    <w:rsid w:val="008E38E2"/>
    <w:rsid w:val="008E4876"/>
    <w:rsid w:val="008E51D1"/>
    <w:rsid w:val="008F39E4"/>
    <w:rsid w:val="008F4224"/>
    <w:rsid w:val="008F6A8A"/>
    <w:rsid w:val="008F7C44"/>
    <w:rsid w:val="009012C8"/>
    <w:rsid w:val="009015F6"/>
    <w:rsid w:val="0090539D"/>
    <w:rsid w:val="00910F20"/>
    <w:rsid w:val="00911704"/>
    <w:rsid w:val="0091363E"/>
    <w:rsid w:val="00914016"/>
    <w:rsid w:val="00914551"/>
    <w:rsid w:val="0091660C"/>
    <w:rsid w:val="0092108B"/>
    <w:rsid w:val="009211B2"/>
    <w:rsid w:val="00921A5C"/>
    <w:rsid w:val="00922315"/>
    <w:rsid w:val="00923218"/>
    <w:rsid w:val="00923F57"/>
    <w:rsid w:val="00924180"/>
    <w:rsid w:val="009245FC"/>
    <w:rsid w:val="00925375"/>
    <w:rsid w:val="00925887"/>
    <w:rsid w:val="00927312"/>
    <w:rsid w:val="009330A4"/>
    <w:rsid w:val="009340B8"/>
    <w:rsid w:val="00934534"/>
    <w:rsid w:val="00934732"/>
    <w:rsid w:val="00934E35"/>
    <w:rsid w:val="009373EB"/>
    <w:rsid w:val="0094209E"/>
    <w:rsid w:val="00942C94"/>
    <w:rsid w:val="00944548"/>
    <w:rsid w:val="009454AA"/>
    <w:rsid w:val="00945CD8"/>
    <w:rsid w:val="00946731"/>
    <w:rsid w:val="009471E0"/>
    <w:rsid w:val="00950140"/>
    <w:rsid w:val="009513E7"/>
    <w:rsid w:val="00951517"/>
    <w:rsid w:val="00951775"/>
    <w:rsid w:val="00951E68"/>
    <w:rsid w:val="0095200B"/>
    <w:rsid w:val="009544E5"/>
    <w:rsid w:val="009549EF"/>
    <w:rsid w:val="009558C2"/>
    <w:rsid w:val="00955B49"/>
    <w:rsid w:val="00955DBA"/>
    <w:rsid w:val="009560FD"/>
    <w:rsid w:val="009561AF"/>
    <w:rsid w:val="00960639"/>
    <w:rsid w:val="00960DAB"/>
    <w:rsid w:val="00961EDE"/>
    <w:rsid w:val="009626CF"/>
    <w:rsid w:val="00962AC0"/>
    <w:rsid w:val="0097231C"/>
    <w:rsid w:val="00972519"/>
    <w:rsid w:val="00972835"/>
    <w:rsid w:val="00973169"/>
    <w:rsid w:val="0097364E"/>
    <w:rsid w:val="009736C5"/>
    <w:rsid w:val="00974260"/>
    <w:rsid w:val="00974598"/>
    <w:rsid w:val="00975072"/>
    <w:rsid w:val="009764EE"/>
    <w:rsid w:val="009765B8"/>
    <w:rsid w:val="009775D6"/>
    <w:rsid w:val="009808AD"/>
    <w:rsid w:val="00980C18"/>
    <w:rsid w:val="00981CEE"/>
    <w:rsid w:val="009824BD"/>
    <w:rsid w:val="00982BA1"/>
    <w:rsid w:val="00983575"/>
    <w:rsid w:val="009849EF"/>
    <w:rsid w:val="00985176"/>
    <w:rsid w:val="00986703"/>
    <w:rsid w:val="00986D91"/>
    <w:rsid w:val="00990A46"/>
    <w:rsid w:val="009913A5"/>
    <w:rsid w:val="00991678"/>
    <w:rsid w:val="00992639"/>
    <w:rsid w:val="00993654"/>
    <w:rsid w:val="00994B6F"/>
    <w:rsid w:val="009958C4"/>
    <w:rsid w:val="00995D95"/>
    <w:rsid w:val="00997965"/>
    <w:rsid w:val="00997EA3"/>
    <w:rsid w:val="009A05F4"/>
    <w:rsid w:val="009A1197"/>
    <w:rsid w:val="009A22FE"/>
    <w:rsid w:val="009A2492"/>
    <w:rsid w:val="009A27D1"/>
    <w:rsid w:val="009A3F43"/>
    <w:rsid w:val="009A4237"/>
    <w:rsid w:val="009A4671"/>
    <w:rsid w:val="009A514D"/>
    <w:rsid w:val="009A55E9"/>
    <w:rsid w:val="009A666A"/>
    <w:rsid w:val="009A6B7D"/>
    <w:rsid w:val="009A6BA0"/>
    <w:rsid w:val="009A6F8A"/>
    <w:rsid w:val="009B06F4"/>
    <w:rsid w:val="009B427C"/>
    <w:rsid w:val="009B5FC2"/>
    <w:rsid w:val="009C0917"/>
    <w:rsid w:val="009C282C"/>
    <w:rsid w:val="009C2FFD"/>
    <w:rsid w:val="009C3B97"/>
    <w:rsid w:val="009C3FEE"/>
    <w:rsid w:val="009C6E20"/>
    <w:rsid w:val="009C79B7"/>
    <w:rsid w:val="009D0C76"/>
    <w:rsid w:val="009D0E0C"/>
    <w:rsid w:val="009D1121"/>
    <w:rsid w:val="009D1440"/>
    <w:rsid w:val="009D1F58"/>
    <w:rsid w:val="009D5584"/>
    <w:rsid w:val="009D623A"/>
    <w:rsid w:val="009D6A23"/>
    <w:rsid w:val="009E26A3"/>
    <w:rsid w:val="009E34E0"/>
    <w:rsid w:val="009E6222"/>
    <w:rsid w:val="009F020D"/>
    <w:rsid w:val="009F3B47"/>
    <w:rsid w:val="009F45E1"/>
    <w:rsid w:val="009F4A7F"/>
    <w:rsid w:val="009F4CC3"/>
    <w:rsid w:val="00A020A3"/>
    <w:rsid w:val="00A02D76"/>
    <w:rsid w:val="00A03E16"/>
    <w:rsid w:val="00A050AF"/>
    <w:rsid w:val="00A05700"/>
    <w:rsid w:val="00A06DE8"/>
    <w:rsid w:val="00A06FF2"/>
    <w:rsid w:val="00A07105"/>
    <w:rsid w:val="00A07B99"/>
    <w:rsid w:val="00A07E93"/>
    <w:rsid w:val="00A1003F"/>
    <w:rsid w:val="00A10FA2"/>
    <w:rsid w:val="00A11377"/>
    <w:rsid w:val="00A114D8"/>
    <w:rsid w:val="00A11932"/>
    <w:rsid w:val="00A11A83"/>
    <w:rsid w:val="00A12983"/>
    <w:rsid w:val="00A12BFA"/>
    <w:rsid w:val="00A12F46"/>
    <w:rsid w:val="00A134B6"/>
    <w:rsid w:val="00A13737"/>
    <w:rsid w:val="00A139A6"/>
    <w:rsid w:val="00A13BF1"/>
    <w:rsid w:val="00A1596A"/>
    <w:rsid w:val="00A20282"/>
    <w:rsid w:val="00A21F13"/>
    <w:rsid w:val="00A22342"/>
    <w:rsid w:val="00A23E8C"/>
    <w:rsid w:val="00A24378"/>
    <w:rsid w:val="00A249BC"/>
    <w:rsid w:val="00A250B0"/>
    <w:rsid w:val="00A269BA"/>
    <w:rsid w:val="00A26AF6"/>
    <w:rsid w:val="00A26E06"/>
    <w:rsid w:val="00A27338"/>
    <w:rsid w:val="00A334D3"/>
    <w:rsid w:val="00A340DC"/>
    <w:rsid w:val="00A34BF7"/>
    <w:rsid w:val="00A34D15"/>
    <w:rsid w:val="00A3583F"/>
    <w:rsid w:val="00A35BE1"/>
    <w:rsid w:val="00A36839"/>
    <w:rsid w:val="00A36B32"/>
    <w:rsid w:val="00A37FC0"/>
    <w:rsid w:val="00A407DB"/>
    <w:rsid w:val="00A40CCD"/>
    <w:rsid w:val="00A41417"/>
    <w:rsid w:val="00A42EB2"/>
    <w:rsid w:val="00A44F0B"/>
    <w:rsid w:val="00A4507F"/>
    <w:rsid w:val="00A45877"/>
    <w:rsid w:val="00A46D49"/>
    <w:rsid w:val="00A478CF"/>
    <w:rsid w:val="00A5059B"/>
    <w:rsid w:val="00A539BF"/>
    <w:rsid w:val="00A54E02"/>
    <w:rsid w:val="00A564AB"/>
    <w:rsid w:val="00A57619"/>
    <w:rsid w:val="00A57735"/>
    <w:rsid w:val="00A57EFA"/>
    <w:rsid w:val="00A606FE"/>
    <w:rsid w:val="00A60914"/>
    <w:rsid w:val="00A60E71"/>
    <w:rsid w:val="00A63045"/>
    <w:rsid w:val="00A63E8E"/>
    <w:rsid w:val="00A65558"/>
    <w:rsid w:val="00A65EB0"/>
    <w:rsid w:val="00A670D5"/>
    <w:rsid w:val="00A67664"/>
    <w:rsid w:val="00A67ADE"/>
    <w:rsid w:val="00A67EBC"/>
    <w:rsid w:val="00A70F16"/>
    <w:rsid w:val="00A72750"/>
    <w:rsid w:val="00A7795C"/>
    <w:rsid w:val="00A81FF0"/>
    <w:rsid w:val="00A8302D"/>
    <w:rsid w:val="00A8408D"/>
    <w:rsid w:val="00A8471F"/>
    <w:rsid w:val="00A85218"/>
    <w:rsid w:val="00A858C1"/>
    <w:rsid w:val="00A901AC"/>
    <w:rsid w:val="00A921B3"/>
    <w:rsid w:val="00A92FAA"/>
    <w:rsid w:val="00A93FFA"/>
    <w:rsid w:val="00A94C6F"/>
    <w:rsid w:val="00A958A5"/>
    <w:rsid w:val="00A963F3"/>
    <w:rsid w:val="00A96438"/>
    <w:rsid w:val="00A97618"/>
    <w:rsid w:val="00A9794D"/>
    <w:rsid w:val="00AA1D1A"/>
    <w:rsid w:val="00AA232C"/>
    <w:rsid w:val="00AA26AA"/>
    <w:rsid w:val="00AA431E"/>
    <w:rsid w:val="00AA511A"/>
    <w:rsid w:val="00AA58FF"/>
    <w:rsid w:val="00AA5FE1"/>
    <w:rsid w:val="00AA61A1"/>
    <w:rsid w:val="00AA7100"/>
    <w:rsid w:val="00AB13AE"/>
    <w:rsid w:val="00AB2E6C"/>
    <w:rsid w:val="00AB3523"/>
    <w:rsid w:val="00AB4136"/>
    <w:rsid w:val="00AB475F"/>
    <w:rsid w:val="00AB518C"/>
    <w:rsid w:val="00AB69B8"/>
    <w:rsid w:val="00AB7CE0"/>
    <w:rsid w:val="00AB7E8A"/>
    <w:rsid w:val="00AC0FA4"/>
    <w:rsid w:val="00AC1D8B"/>
    <w:rsid w:val="00AC3AC0"/>
    <w:rsid w:val="00AC589C"/>
    <w:rsid w:val="00AC661F"/>
    <w:rsid w:val="00AC6A21"/>
    <w:rsid w:val="00AC7295"/>
    <w:rsid w:val="00AC7F66"/>
    <w:rsid w:val="00AD124B"/>
    <w:rsid w:val="00AD1B2A"/>
    <w:rsid w:val="00AD1B43"/>
    <w:rsid w:val="00AD2630"/>
    <w:rsid w:val="00AD2E6D"/>
    <w:rsid w:val="00AD2F5A"/>
    <w:rsid w:val="00AD70A0"/>
    <w:rsid w:val="00AD7E77"/>
    <w:rsid w:val="00AD7FFD"/>
    <w:rsid w:val="00AE072C"/>
    <w:rsid w:val="00AE0734"/>
    <w:rsid w:val="00AE1018"/>
    <w:rsid w:val="00AE2E50"/>
    <w:rsid w:val="00AE31AF"/>
    <w:rsid w:val="00AE58B8"/>
    <w:rsid w:val="00AE5948"/>
    <w:rsid w:val="00AF00C1"/>
    <w:rsid w:val="00AF0B91"/>
    <w:rsid w:val="00AF0B93"/>
    <w:rsid w:val="00AF0E09"/>
    <w:rsid w:val="00AF381F"/>
    <w:rsid w:val="00AF38BF"/>
    <w:rsid w:val="00AF522C"/>
    <w:rsid w:val="00AF5297"/>
    <w:rsid w:val="00AF584E"/>
    <w:rsid w:val="00AF6B87"/>
    <w:rsid w:val="00AF6D59"/>
    <w:rsid w:val="00B00230"/>
    <w:rsid w:val="00B00AF0"/>
    <w:rsid w:val="00B01FDC"/>
    <w:rsid w:val="00B02546"/>
    <w:rsid w:val="00B0400E"/>
    <w:rsid w:val="00B053D1"/>
    <w:rsid w:val="00B11306"/>
    <w:rsid w:val="00B11FE9"/>
    <w:rsid w:val="00B12433"/>
    <w:rsid w:val="00B1287F"/>
    <w:rsid w:val="00B13C03"/>
    <w:rsid w:val="00B14B4F"/>
    <w:rsid w:val="00B14C46"/>
    <w:rsid w:val="00B14D75"/>
    <w:rsid w:val="00B15FA8"/>
    <w:rsid w:val="00B16067"/>
    <w:rsid w:val="00B16AD8"/>
    <w:rsid w:val="00B17516"/>
    <w:rsid w:val="00B20265"/>
    <w:rsid w:val="00B20E9B"/>
    <w:rsid w:val="00B220D1"/>
    <w:rsid w:val="00B22550"/>
    <w:rsid w:val="00B23830"/>
    <w:rsid w:val="00B24BA3"/>
    <w:rsid w:val="00B252DB"/>
    <w:rsid w:val="00B3008F"/>
    <w:rsid w:val="00B304CC"/>
    <w:rsid w:val="00B309E5"/>
    <w:rsid w:val="00B311AF"/>
    <w:rsid w:val="00B31322"/>
    <w:rsid w:val="00B32963"/>
    <w:rsid w:val="00B32B8F"/>
    <w:rsid w:val="00B338D0"/>
    <w:rsid w:val="00B34748"/>
    <w:rsid w:val="00B347CD"/>
    <w:rsid w:val="00B35D1E"/>
    <w:rsid w:val="00B364C5"/>
    <w:rsid w:val="00B37B56"/>
    <w:rsid w:val="00B37C5E"/>
    <w:rsid w:val="00B407FF"/>
    <w:rsid w:val="00B43532"/>
    <w:rsid w:val="00B44B34"/>
    <w:rsid w:val="00B4665F"/>
    <w:rsid w:val="00B46F06"/>
    <w:rsid w:val="00B52115"/>
    <w:rsid w:val="00B52806"/>
    <w:rsid w:val="00B566BD"/>
    <w:rsid w:val="00B5687E"/>
    <w:rsid w:val="00B57605"/>
    <w:rsid w:val="00B600F4"/>
    <w:rsid w:val="00B60F2F"/>
    <w:rsid w:val="00B61818"/>
    <w:rsid w:val="00B61F22"/>
    <w:rsid w:val="00B632B1"/>
    <w:rsid w:val="00B64656"/>
    <w:rsid w:val="00B64B16"/>
    <w:rsid w:val="00B65881"/>
    <w:rsid w:val="00B65B5E"/>
    <w:rsid w:val="00B66FFB"/>
    <w:rsid w:val="00B67FF5"/>
    <w:rsid w:val="00B704E1"/>
    <w:rsid w:val="00B7098D"/>
    <w:rsid w:val="00B7138B"/>
    <w:rsid w:val="00B720BF"/>
    <w:rsid w:val="00B735A7"/>
    <w:rsid w:val="00B735D1"/>
    <w:rsid w:val="00B744C7"/>
    <w:rsid w:val="00B74B7B"/>
    <w:rsid w:val="00B76106"/>
    <w:rsid w:val="00B765D5"/>
    <w:rsid w:val="00B769C1"/>
    <w:rsid w:val="00B76B5E"/>
    <w:rsid w:val="00B77F5D"/>
    <w:rsid w:val="00B806C9"/>
    <w:rsid w:val="00B81D85"/>
    <w:rsid w:val="00B81F66"/>
    <w:rsid w:val="00B8388E"/>
    <w:rsid w:val="00B85724"/>
    <w:rsid w:val="00B86867"/>
    <w:rsid w:val="00B86FCE"/>
    <w:rsid w:val="00B87F94"/>
    <w:rsid w:val="00B901EB"/>
    <w:rsid w:val="00B907CA"/>
    <w:rsid w:val="00B9208B"/>
    <w:rsid w:val="00B9221A"/>
    <w:rsid w:val="00B936C1"/>
    <w:rsid w:val="00B946B3"/>
    <w:rsid w:val="00B94B45"/>
    <w:rsid w:val="00B9502E"/>
    <w:rsid w:val="00B95527"/>
    <w:rsid w:val="00B9599F"/>
    <w:rsid w:val="00B96673"/>
    <w:rsid w:val="00B97999"/>
    <w:rsid w:val="00BA0936"/>
    <w:rsid w:val="00BA217D"/>
    <w:rsid w:val="00BA26EA"/>
    <w:rsid w:val="00BA3CD4"/>
    <w:rsid w:val="00BA4277"/>
    <w:rsid w:val="00BB61AA"/>
    <w:rsid w:val="00BB692C"/>
    <w:rsid w:val="00BC0A51"/>
    <w:rsid w:val="00BC0A55"/>
    <w:rsid w:val="00BC0B0C"/>
    <w:rsid w:val="00BC1696"/>
    <w:rsid w:val="00BC2D37"/>
    <w:rsid w:val="00BC3B48"/>
    <w:rsid w:val="00BC3E38"/>
    <w:rsid w:val="00BC5473"/>
    <w:rsid w:val="00BC549F"/>
    <w:rsid w:val="00BC5B03"/>
    <w:rsid w:val="00BC7AFC"/>
    <w:rsid w:val="00BD00E8"/>
    <w:rsid w:val="00BD130F"/>
    <w:rsid w:val="00BD182B"/>
    <w:rsid w:val="00BD1A2F"/>
    <w:rsid w:val="00BD2493"/>
    <w:rsid w:val="00BD43DE"/>
    <w:rsid w:val="00BD4FD4"/>
    <w:rsid w:val="00BD5575"/>
    <w:rsid w:val="00BD5969"/>
    <w:rsid w:val="00BE0A69"/>
    <w:rsid w:val="00BE2F1C"/>
    <w:rsid w:val="00BE3470"/>
    <w:rsid w:val="00BE348A"/>
    <w:rsid w:val="00BE487F"/>
    <w:rsid w:val="00BE6850"/>
    <w:rsid w:val="00BF4F2A"/>
    <w:rsid w:val="00BF5431"/>
    <w:rsid w:val="00BF5702"/>
    <w:rsid w:val="00BF6DD9"/>
    <w:rsid w:val="00C001DE"/>
    <w:rsid w:val="00C00309"/>
    <w:rsid w:val="00C00BCC"/>
    <w:rsid w:val="00C00F80"/>
    <w:rsid w:val="00C01552"/>
    <w:rsid w:val="00C0308C"/>
    <w:rsid w:val="00C0439B"/>
    <w:rsid w:val="00C04D7C"/>
    <w:rsid w:val="00C04EC9"/>
    <w:rsid w:val="00C052E4"/>
    <w:rsid w:val="00C06E39"/>
    <w:rsid w:val="00C07541"/>
    <w:rsid w:val="00C12619"/>
    <w:rsid w:val="00C1338E"/>
    <w:rsid w:val="00C15742"/>
    <w:rsid w:val="00C16C62"/>
    <w:rsid w:val="00C20032"/>
    <w:rsid w:val="00C20121"/>
    <w:rsid w:val="00C21E98"/>
    <w:rsid w:val="00C22DC2"/>
    <w:rsid w:val="00C23A19"/>
    <w:rsid w:val="00C23B0D"/>
    <w:rsid w:val="00C2496D"/>
    <w:rsid w:val="00C26D09"/>
    <w:rsid w:val="00C30A43"/>
    <w:rsid w:val="00C3247F"/>
    <w:rsid w:val="00C324C4"/>
    <w:rsid w:val="00C3289D"/>
    <w:rsid w:val="00C332C5"/>
    <w:rsid w:val="00C33F56"/>
    <w:rsid w:val="00C378A4"/>
    <w:rsid w:val="00C406FE"/>
    <w:rsid w:val="00C4272B"/>
    <w:rsid w:val="00C43A24"/>
    <w:rsid w:val="00C445B3"/>
    <w:rsid w:val="00C46637"/>
    <w:rsid w:val="00C47389"/>
    <w:rsid w:val="00C507B6"/>
    <w:rsid w:val="00C50A40"/>
    <w:rsid w:val="00C524FD"/>
    <w:rsid w:val="00C533EC"/>
    <w:rsid w:val="00C53DA6"/>
    <w:rsid w:val="00C54861"/>
    <w:rsid w:val="00C5498D"/>
    <w:rsid w:val="00C564A2"/>
    <w:rsid w:val="00C577BF"/>
    <w:rsid w:val="00C57B3C"/>
    <w:rsid w:val="00C6036A"/>
    <w:rsid w:val="00C60A5B"/>
    <w:rsid w:val="00C60F14"/>
    <w:rsid w:val="00C61EEF"/>
    <w:rsid w:val="00C629EB"/>
    <w:rsid w:val="00C63F46"/>
    <w:rsid w:val="00C64375"/>
    <w:rsid w:val="00C64E69"/>
    <w:rsid w:val="00C65102"/>
    <w:rsid w:val="00C65198"/>
    <w:rsid w:val="00C65B17"/>
    <w:rsid w:val="00C66142"/>
    <w:rsid w:val="00C6635A"/>
    <w:rsid w:val="00C66693"/>
    <w:rsid w:val="00C6683B"/>
    <w:rsid w:val="00C67E7C"/>
    <w:rsid w:val="00C67FC3"/>
    <w:rsid w:val="00C70069"/>
    <w:rsid w:val="00C7185C"/>
    <w:rsid w:val="00C74F31"/>
    <w:rsid w:val="00C76EB7"/>
    <w:rsid w:val="00C77353"/>
    <w:rsid w:val="00C77854"/>
    <w:rsid w:val="00C82016"/>
    <w:rsid w:val="00C8212B"/>
    <w:rsid w:val="00C85BA0"/>
    <w:rsid w:val="00C87CEA"/>
    <w:rsid w:val="00C90067"/>
    <w:rsid w:val="00C90F61"/>
    <w:rsid w:val="00C9183F"/>
    <w:rsid w:val="00C92203"/>
    <w:rsid w:val="00C94759"/>
    <w:rsid w:val="00C95E13"/>
    <w:rsid w:val="00C96C6F"/>
    <w:rsid w:val="00CA0D47"/>
    <w:rsid w:val="00CA0FAB"/>
    <w:rsid w:val="00CA1800"/>
    <w:rsid w:val="00CA19E5"/>
    <w:rsid w:val="00CA24C1"/>
    <w:rsid w:val="00CA26C4"/>
    <w:rsid w:val="00CA29E3"/>
    <w:rsid w:val="00CA40E1"/>
    <w:rsid w:val="00CA4566"/>
    <w:rsid w:val="00CA4C96"/>
    <w:rsid w:val="00CA58FC"/>
    <w:rsid w:val="00CA6EB7"/>
    <w:rsid w:val="00CA757A"/>
    <w:rsid w:val="00CA7AFE"/>
    <w:rsid w:val="00CB0075"/>
    <w:rsid w:val="00CB4CC7"/>
    <w:rsid w:val="00CB6A55"/>
    <w:rsid w:val="00CB7BB7"/>
    <w:rsid w:val="00CB7BCE"/>
    <w:rsid w:val="00CC2B0B"/>
    <w:rsid w:val="00CC2C50"/>
    <w:rsid w:val="00CC2C94"/>
    <w:rsid w:val="00CC2F60"/>
    <w:rsid w:val="00CC3983"/>
    <w:rsid w:val="00CC67A1"/>
    <w:rsid w:val="00CC78BD"/>
    <w:rsid w:val="00CD0EE9"/>
    <w:rsid w:val="00CD22E8"/>
    <w:rsid w:val="00CD3365"/>
    <w:rsid w:val="00CD44EF"/>
    <w:rsid w:val="00CD5BC4"/>
    <w:rsid w:val="00CD731A"/>
    <w:rsid w:val="00CE2941"/>
    <w:rsid w:val="00CE294E"/>
    <w:rsid w:val="00CE4107"/>
    <w:rsid w:val="00CE44B3"/>
    <w:rsid w:val="00CE61F1"/>
    <w:rsid w:val="00CE6B67"/>
    <w:rsid w:val="00CF0DE0"/>
    <w:rsid w:val="00CF11AD"/>
    <w:rsid w:val="00CF3E31"/>
    <w:rsid w:val="00CF4E88"/>
    <w:rsid w:val="00CF4E8D"/>
    <w:rsid w:val="00CF56A3"/>
    <w:rsid w:val="00CF6E08"/>
    <w:rsid w:val="00CF6F02"/>
    <w:rsid w:val="00D006E3"/>
    <w:rsid w:val="00D01592"/>
    <w:rsid w:val="00D01860"/>
    <w:rsid w:val="00D02681"/>
    <w:rsid w:val="00D04CB5"/>
    <w:rsid w:val="00D04FD6"/>
    <w:rsid w:val="00D051C2"/>
    <w:rsid w:val="00D06276"/>
    <w:rsid w:val="00D07243"/>
    <w:rsid w:val="00D123BA"/>
    <w:rsid w:val="00D1278F"/>
    <w:rsid w:val="00D14DAA"/>
    <w:rsid w:val="00D1644D"/>
    <w:rsid w:val="00D165A4"/>
    <w:rsid w:val="00D16D23"/>
    <w:rsid w:val="00D16DDF"/>
    <w:rsid w:val="00D1783B"/>
    <w:rsid w:val="00D206AF"/>
    <w:rsid w:val="00D20CE4"/>
    <w:rsid w:val="00D21F8C"/>
    <w:rsid w:val="00D221AC"/>
    <w:rsid w:val="00D22ACA"/>
    <w:rsid w:val="00D26070"/>
    <w:rsid w:val="00D26489"/>
    <w:rsid w:val="00D27353"/>
    <w:rsid w:val="00D30D0F"/>
    <w:rsid w:val="00D3177B"/>
    <w:rsid w:val="00D31D54"/>
    <w:rsid w:val="00D33F73"/>
    <w:rsid w:val="00D35A5C"/>
    <w:rsid w:val="00D36F8F"/>
    <w:rsid w:val="00D37AF5"/>
    <w:rsid w:val="00D40E0F"/>
    <w:rsid w:val="00D421B3"/>
    <w:rsid w:val="00D42CC9"/>
    <w:rsid w:val="00D42E35"/>
    <w:rsid w:val="00D4319C"/>
    <w:rsid w:val="00D446D6"/>
    <w:rsid w:val="00D47964"/>
    <w:rsid w:val="00D47CD9"/>
    <w:rsid w:val="00D50DDE"/>
    <w:rsid w:val="00D514D0"/>
    <w:rsid w:val="00D515BF"/>
    <w:rsid w:val="00D51B52"/>
    <w:rsid w:val="00D53B17"/>
    <w:rsid w:val="00D53BF3"/>
    <w:rsid w:val="00D53FD3"/>
    <w:rsid w:val="00D54716"/>
    <w:rsid w:val="00D60174"/>
    <w:rsid w:val="00D61F30"/>
    <w:rsid w:val="00D624DF"/>
    <w:rsid w:val="00D634E7"/>
    <w:rsid w:val="00D662C0"/>
    <w:rsid w:val="00D70B66"/>
    <w:rsid w:val="00D70F97"/>
    <w:rsid w:val="00D72D4B"/>
    <w:rsid w:val="00D73A0B"/>
    <w:rsid w:val="00D758E9"/>
    <w:rsid w:val="00D762A4"/>
    <w:rsid w:val="00D762ED"/>
    <w:rsid w:val="00D800CA"/>
    <w:rsid w:val="00D80CCD"/>
    <w:rsid w:val="00D80D20"/>
    <w:rsid w:val="00D81620"/>
    <w:rsid w:val="00D830A1"/>
    <w:rsid w:val="00D8340E"/>
    <w:rsid w:val="00D84752"/>
    <w:rsid w:val="00D84A5A"/>
    <w:rsid w:val="00D902CF"/>
    <w:rsid w:val="00D9040C"/>
    <w:rsid w:val="00D90D51"/>
    <w:rsid w:val="00D91806"/>
    <w:rsid w:val="00D91980"/>
    <w:rsid w:val="00D92E99"/>
    <w:rsid w:val="00D948E5"/>
    <w:rsid w:val="00D959CF"/>
    <w:rsid w:val="00D95D51"/>
    <w:rsid w:val="00D975A6"/>
    <w:rsid w:val="00D97CB7"/>
    <w:rsid w:val="00DA0812"/>
    <w:rsid w:val="00DA328F"/>
    <w:rsid w:val="00DA449E"/>
    <w:rsid w:val="00DA4A4F"/>
    <w:rsid w:val="00DA5983"/>
    <w:rsid w:val="00DA6556"/>
    <w:rsid w:val="00DA680B"/>
    <w:rsid w:val="00DB37DC"/>
    <w:rsid w:val="00DB59D0"/>
    <w:rsid w:val="00DB7A14"/>
    <w:rsid w:val="00DB7ADD"/>
    <w:rsid w:val="00DC072B"/>
    <w:rsid w:val="00DC1D6A"/>
    <w:rsid w:val="00DC253B"/>
    <w:rsid w:val="00DC4F8B"/>
    <w:rsid w:val="00DC686D"/>
    <w:rsid w:val="00DC7659"/>
    <w:rsid w:val="00DC7C5F"/>
    <w:rsid w:val="00DD031B"/>
    <w:rsid w:val="00DD178F"/>
    <w:rsid w:val="00DD1ED5"/>
    <w:rsid w:val="00DD34A2"/>
    <w:rsid w:val="00DD3637"/>
    <w:rsid w:val="00DD3CDA"/>
    <w:rsid w:val="00DD535A"/>
    <w:rsid w:val="00DD67A7"/>
    <w:rsid w:val="00DD6D38"/>
    <w:rsid w:val="00DD6E3C"/>
    <w:rsid w:val="00DE19B8"/>
    <w:rsid w:val="00DE481C"/>
    <w:rsid w:val="00DE4C3C"/>
    <w:rsid w:val="00DE4CF6"/>
    <w:rsid w:val="00DE5AA5"/>
    <w:rsid w:val="00DE688E"/>
    <w:rsid w:val="00DE6A86"/>
    <w:rsid w:val="00DE78D2"/>
    <w:rsid w:val="00DF0F61"/>
    <w:rsid w:val="00DF1A76"/>
    <w:rsid w:val="00DF3479"/>
    <w:rsid w:val="00DF4358"/>
    <w:rsid w:val="00DF4E1A"/>
    <w:rsid w:val="00DF53C7"/>
    <w:rsid w:val="00DF53EA"/>
    <w:rsid w:val="00DF5DE0"/>
    <w:rsid w:val="00E000D7"/>
    <w:rsid w:val="00E04C64"/>
    <w:rsid w:val="00E04D56"/>
    <w:rsid w:val="00E060BD"/>
    <w:rsid w:val="00E06C02"/>
    <w:rsid w:val="00E07352"/>
    <w:rsid w:val="00E10365"/>
    <w:rsid w:val="00E14B85"/>
    <w:rsid w:val="00E1586A"/>
    <w:rsid w:val="00E159F0"/>
    <w:rsid w:val="00E15E84"/>
    <w:rsid w:val="00E16351"/>
    <w:rsid w:val="00E21ABC"/>
    <w:rsid w:val="00E21F40"/>
    <w:rsid w:val="00E22186"/>
    <w:rsid w:val="00E246A0"/>
    <w:rsid w:val="00E24CB6"/>
    <w:rsid w:val="00E2735F"/>
    <w:rsid w:val="00E30181"/>
    <w:rsid w:val="00E306C5"/>
    <w:rsid w:val="00E32D1C"/>
    <w:rsid w:val="00E3345C"/>
    <w:rsid w:val="00E335F6"/>
    <w:rsid w:val="00E33F8A"/>
    <w:rsid w:val="00E37512"/>
    <w:rsid w:val="00E37693"/>
    <w:rsid w:val="00E377EA"/>
    <w:rsid w:val="00E408CC"/>
    <w:rsid w:val="00E41463"/>
    <w:rsid w:val="00E42826"/>
    <w:rsid w:val="00E4564A"/>
    <w:rsid w:val="00E46487"/>
    <w:rsid w:val="00E47285"/>
    <w:rsid w:val="00E47771"/>
    <w:rsid w:val="00E51A68"/>
    <w:rsid w:val="00E52DE6"/>
    <w:rsid w:val="00E52FC4"/>
    <w:rsid w:val="00E55A8D"/>
    <w:rsid w:val="00E6097D"/>
    <w:rsid w:val="00E6239F"/>
    <w:rsid w:val="00E6393B"/>
    <w:rsid w:val="00E64131"/>
    <w:rsid w:val="00E648EF"/>
    <w:rsid w:val="00E6572E"/>
    <w:rsid w:val="00E65AA3"/>
    <w:rsid w:val="00E6755C"/>
    <w:rsid w:val="00E676AC"/>
    <w:rsid w:val="00E7257B"/>
    <w:rsid w:val="00E72FAF"/>
    <w:rsid w:val="00E74001"/>
    <w:rsid w:val="00E7425D"/>
    <w:rsid w:val="00E74676"/>
    <w:rsid w:val="00E75C4C"/>
    <w:rsid w:val="00E801F3"/>
    <w:rsid w:val="00E80666"/>
    <w:rsid w:val="00E8070D"/>
    <w:rsid w:val="00E830EC"/>
    <w:rsid w:val="00E832D8"/>
    <w:rsid w:val="00E8348D"/>
    <w:rsid w:val="00E83955"/>
    <w:rsid w:val="00E83A56"/>
    <w:rsid w:val="00E84E4C"/>
    <w:rsid w:val="00E8500D"/>
    <w:rsid w:val="00E86F2F"/>
    <w:rsid w:val="00E8705D"/>
    <w:rsid w:val="00E90FEF"/>
    <w:rsid w:val="00E9105E"/>
    <w:rsid w:val="00E91DC7"/>
    <w:rsid w:val="00E92E8E"/>
    <w:rsid w:val="00E9314B"/>
    <w:rsid w:val="00E95131"/>
    <w:rsid w:val="00E960B9"/>
    <w:rsid w:val="00E969F7"/>
    <w:rsid w:val="00E97A33"/>
    <w:rsid w:val="00EA0544"/>
    <w:rsid w:val="00EA140D"/>
    <w:rsid w:val="00EA6C98"/>
    <w:rsid w:val="00EA6D69"/>
    <w:rsid w:val="00EA7143"/>
    <w:rsid w:val="00EA7F03"/>
    <w:rsid w:val="00EB0EE0"/>
    <w:rsid w:val="00EB1062"/>
    <w:rsid w:val="00EB1AC9"/>
    <w:rsid w:val="00EB2342"/>
    <w:rsid w:val="00EB26F0"/>
    <w:rsid w:val="00EB2BD0"/>
    <w:rsid w:val="00EB2FAF"/>
    <w:rsid w:val="00EB6F83"/>
    <w:rsid w:val="00EB7127"/>
    <w:rsid w:val="00EC068F"/>
    <w:rsid w:val="00EC0972"/>
    <w:rsid w:val="00EC140B"/>
    <w:rsid w:val="00EC44FB"/>
    <w:rsid w:val="00EC53F2"/>
    <w:rsid w:val="00EC6CA0"/>
    <w:rsid w:val="00EC6E8B"/>
    <w:rsid w:val="00ED08E4"/>
    <w:rsid w:val="00ED0AF3"/>
    <w:rsid w:val="00ED0F36"/>
    <w:rsid w:val="00ED182A"/>
    <w:rsid w:val="00ED2323"/>
    <w:rsid w:val="00ED4080"/>
    <w:rsid w:val="00ED409A"/>
    <w:rsid w:val="00ED40D6"/>
    <w:rsid w:val="00ED4275"/>
    <w:rsid w:val="00ED4306"/>
    <w:rsid w:val="00ED43B5"/>
    <w:rsid w:val="00ED448F"/>
    <w:rsid w:val="00ED4745"/>
    <w:rsid w:val="00ED5533"/>
    <w:rsid w:val="00ED6597"/>
    <w:rsid w:val="00ED7D7E"/>
    <w:rsid w:val="00EE067B"/>
    <w:rsid w:val="00EE0C2F"/>
    <w:rsid w:val="00EE1E7B"/>
    <w:rsid w:val="00EE200B"/>
    <w:rsid w:val="00EE24DA"/>
    <w:rsid w:val="00EE3A5C"/>
    <w:rsid w:val="00EE461F"/>
    <w:rsid w:val="00EE4B94"/>
    <w:rsid w:val="00EE5689"/>
    <w:rsid w:val="00EE7BF6"/>
    <w:rsid w:val="00EF0311"/>
    <w:rsid w:val="00EF1968"/>
    <w:rsid w:val="00EF227E"/>
    <w:rsid w:val="00EF240C"/>
    <w:rsid w:val="00EF2532"/>
    <w:rsid w:val="00EF2E18"/>
    <w:rsid w:val="00EF2FEB"/>
    <w:rsid w:val="00EF38B9"/>
    <w:rsid w:val="00EF4B29"/>
    <w:rsid w:val="00EF530A"/>
    <w:rsid w:val="00EF6843"/>
    <w:rsid w:val="00EF71C6"/>
    <w:rsid w:val="00EF747F"/>
    <w:rsid w:val="00EF79FC"/>
    <w:rsid w:val="00F00840"/>
    <w:rsid w:val="00F025EB"/>
    <w:rsid w:val="00F02E2D"/>
    <w:rsid w:val="00F034D5"/>
    <w:rsid w:val="00F03F26"/>
    <w:rsid w:val="00F0423B"/>
    <w:rsid w:val="00F05E19"/>
    <w:rsid w:val="00F07D3C"/>
    <w:rsid w:val="00F07DD0"/>
    <w:rsid w:val="00F07DD5"/>
    <w:rsid w:val="00F10368"/>
    <w:rsid w:val="00F10C9E"/>
    <w:rsid w:val="00F10D63"/>
    <w:rsid w:val="00F118EF"/>
    <w:rsid w:val="00F13025"/>
    <w:rsid w:val="00F1356E"/>
    <w:rsid w:val="00F15515"/>
    <w:rsid w:val="00F15693"/>
    <w:rsid w:val="00F16B58"/>
    <w:rsid w:val="00F2103B"/>
    <w:rsid w:val="00F22708"/>
    <w:rsid w:val="00F230D9"/>
    <w:rsid w:val="00F24639"/>
    <w:rsid w:val="00F26A74"/>
    <w:rsid w:val="00F26DB7"/>
    <w:rsid w:val="00F27001"/>
    <w:rsid w:val="00F30D0D"/>
    <w:rsid w:val="00F31863"/>
    <w:rsid w:val="00F31E13"/>
    <w:rsid w:val="00F33145"/>
    <w:rsid w:val="00F33CAF"/>
    <w:rsid w:val="00F35EF7"/>
    <w:rsid w:val="00F35F57"/>
    <w:rsid w:val="00F40A80"/>
    <w:rsid w:val="00F42100"/>
    <w:rsid w:val="00F42449"/>
    <w:rsid w:val="00F45003"/>
    <w:rsid w:val="00F5160C"/>
    <w:rsid w:val="00F51A5C"/>
    <w:rsid w:val="00F528B5"/>
    <w:rsid w:val="00F5481A"/>
    <w:rsid w:val="00F54823"/>
    <w:rsid w:val="00F554F4"/>
    <w:rsid w:val="00F568A1"/>
    <w:rsid w:val="00F56DA1"/>
    <w:rsid w:val="00F57516"/>
    <w:rsid w:val="00F61C85"/>
    <w:rsid w:val="00F62699"/>
    <w:rsid w:val="00F63FD6"/>
    <w:rsid w:val="00F64494"/>
    <w:rsid w:val="00F659B7"/>
    <w:rsid w:val="00F67E41"/>
    <w:rsid w:val="00F67EBD"/>
    <w:rsid w:val="00F70D23"/>
    <w:rsid w:val="00F70EA7"/>
    <w:rsid w:val="00F70F53"/>
    <w:rsid w:val="00F71F04"/>
    <w:rsid w:val="00F72110"/>
    <w:rsid w:val="00F72244"/>
    <w:rsid w:val="00F723CD"/>
    <w:rsid w:val="00F72986"/>
    <w:rsid w:val="00F74DF7"/>
    <w:rsid w:val="00F75BD3"/>
    <w:rsid w:val="00F76371"/>
    <w:rsid w:val="00F80060"/>
    <w:rsid w:val="00F800E1"/>
    <w:rsid w:val="00F80F3E"/>
    <w:rsid w:val="00F83332"/>
    <w:rsid w:val="00F83DAA"/>
    <w:rsid w:val="00F856C4"/>
    <w:rsid w:val="00F8716F"/>
    <w:rsid w:val="00F873EF"/>
    <w:rsid w:val="00F906E1"/>
    <w:rsid w:val="00F91D0A"/>
    <w:rsid w:val="00F92021"/>
    <w:rsid w:val="00F92616"/>
    <w:rsid w:val="00F92814"/>
    <w:rsid w:val="00F93A96"/>
    <w:rsid w:val="00F94AA3"/>
    <w:rsid w:val="00F952F8"/>
    <w:rsid w:val="00F957C3"/>
    <w:rsid w:val="00F95BC5"/>
    <w:rsid w:val="00F97BD0"/>
    <w:rsid w:val="00FA06F3"/>
    <w:rsid w:val="00FA0A4E"/>
    <w:rsid w:val="00FA1312"/>
    <w:rsid w:val="00FA2A46"/>
    <w:rsid w:val="00FA4F28"/>
    <w:rsid w:val="00FA60D2"/>
    <w:rsid w:val="00FA6428"/>
    <w:rsid w:val="00FA6974"/>
    <w:rsid w:val="00FA78D8"/>
    <w:rsid w:val="00FA79E5"/>
    <w:rsid w:val="00FB1190"/>
    <w:rsid w:val="00FB12C8"/>
    <w:rsid w:val="00FB1E4F"/>
    <w:rsid w:val="00FB27DD"/>
    <w:rsid w:val="00FB335D"/>
    <w:rsid w:val="00FB33E1"/>
    <w:rsid w:val="00FB3456"/>
    <w:rsid w:val="00FB4354"/>
    <w:rsid w:val="00FB4565"/>
    <w:rsid w:val="00FB52C5"/>
    <w:rsid w:val="00FB6CBE"/>
    <w:rsid w:val="00FB7CE0"/>
    <w:rsid w:val="00FC029D"/>
    <w:rsid w:val="00FC3EBC"/>
    <w:rsid w:val="00FC3FB6"/>
    <w:rsid w:val="00FC49AE"/>
    <w:rsid w:val="00FC4D19"/>
    <w:rsid w:val="00FC4F62"/>
    <w:rsid w:val="00FD0357"/>
    <w:rsid w:val="00FD32AD"/>
    <w:rsid w:val="00FD343E"/>
    <w:rsid w:val="00FD4A50"/>
    <w:rsid w:val="00FD524C"/>
    <w:rsid w:val="00FD69E8"/>
    <w:rsid w:val="00FE19D7"/>
    <w:rsid w:val="00FE26EC"/>
    <w:rsid w:val="00FE39B5"/>
    <w:rsid w:val="00FE68A4"/>
    <w:rsid w:val="00FF0820"/>
    <w:rsid w:val="00FF0908"/>
    <w:rsid w:val="00FF1185"/>
    <w:rsid w:val="00FF376D"/>
    <w:rsid w:val="00FF59A0"/>
    <w:rsid w:val="00FF6211"/>
    <w:rsid w:val="010016D4"/>
    <w:rsid w:val="01323CE1"/>
    <w:rsid w:val="014F4893"/>
    <w:rsid w:val="017C4743"/>
    <w:rsid w:val="018E53BB"/>
    <w:rsid w:val="01A71FD9"/>
    <w:rsid w:val="01AC75F0"/>
    <w:rsid w:val="01F1268E"/>
    <w:rsid w:val="02063A29"/>
    <w:rsid w:val="0231755B"/>
    <w:rsid w:val="025873A0"/>
    <w:rsid w:val="02697F75"/>
    <w:rsid w:val="026B3007"/>
    <w:rsid w:val="028B35C1"/>
    <w:rsid w:val="02A55E35"/>
    <w:rsid w:val="02E80AFB"/>
    <w:rsid w:val="02FA76D2"/>
    <w:rsid w:val="031117C8"/>
    <w:rsid w:val="031901AE"/>
    <w:rsid w:val="03206AAA"/>
    <w:rsid w:val="033D5878"/>
    <w:rsid w:val="035717DD"/>
    <w:rsid w:val="035B1CE5"/>
    <w:rsid w:val="03604B36"/>
    <w:rsid w:val="036068E4"/>
    <w:rsid w:val="03685798"/>
    <w:rsid w:val="036C4296"/>
    <w:rsid w:val="037759DB"/>
    <w:rsid w:val="037B3412"/>
    <w:rsid w:val="03F11C32"/>
    <w:rsid w:val="04101BB7"/>
    <w:rsid w:val="043F474B"/>
    <w:rsid w:val="04473845"/>
    <w:rsid w:val="0449381C"/>
    <w:rsid w:val="04602913"/>
    <w:rsid w:val="04854128"/>
    <w:rsid w:val="048E51A9"/>
    <w:rsid w:val="049727D9"/>
    <w:rsid w:val="04AE367F"/>
    <w:rsid w:val="04C74740"/>
    <w:rsid w:val="04E317D6"/>
    <w:rsid w:val="04E86B91"/>
    <w:rsid w:val="05023F6F"/>
    <w:rsid w:val="05241B93"/>
    <w:rsid w:val="05A62124"/>
    <w:rsid w:val="05C223EE"/>
    <w:rsid w:val="061A5470"/>
    <w:rsid w:val="0622161E"/>
    <w:rsid w:val="06257970"/>
    <w:rsid w:val="06341DFC"/>
    <w:rsid w:val="064424ED"/>
    <w:rsid w:val="0648365F"/>
    <w:rsid w:val="06880DD1"/>
    <w:rsid w:val="069B602A"/>
    <w:rsid w:val="06B07B82"/>
    <w:rsid w:val="06B62F00"/>
    <w:rsid w:val="06BD229F"/>
    <w:rsid w:val="06C947A0"/>
    <w:rsid w:val="06E96BF0"/>
    <w:rsid w:val="06FD08ED"/>
    <w:rsid w:val="07100621"/>
    <w:rsid w:val="07541337"/>
    <w:rsid w:val="079B438E"/>
    <w:rsid w:val="07A022D1"/>
    <w:rsid w:val="07A06BBD"/>
    <w:rsid w:val="07DB10FB"/>
    <w:rsid w:val="07F25F78"/>
    <w:rsid w:val="07FC2953"/>
    <w:rsid w:val="080F2686"/>
    <w:rsid w:val="085D1644"/>
    <w:rsid w:val="088E7A4F"/>
    <w:rsid w:val="08A234FA"/>
    <w:rsid w:val="08B915BE"/>
    <w:rsid w:val="08E91129"/>
    <w:rsid w:val="090146C5"/>
    <w:rsid w:val="09176551"/>
    <w:rsid w:val="09187C60"/>
    <w:rsid w:val="092678FB"/>
    <w:rsid w:val="09293C1C"/>
    <w:rsid w:val="09442803"/>
    <w:rsid w:val="09516E1B"/>
    <w:rsid w:val="095A3DD5"/>
    <w:rsid w:val="095D56DA"/>
    <w:rsid w:val="0961574F"/>
    <w:rsid w:val="096477B1"/>
    <w:rsid w:val="0976720A"/>
    <w:rsid w:val="097E5D15"/>
    <w:rsid w:val="09976DD7"/>
    <w:rsid w:val="099C263F"/>
    <w:rsid w:val="09D65B51"/>
    <w:rsid w:val="09FA032F"/>
    <w:rsid w:val="0A23066B"/>
    <w:rsid w:val="0A36319C"/>
    <w:rsid w:val="0A3F2CC4"/>
    <w:rsid w:val="0A486323"/>
    <w:rsid w:val="0A4A0473"/>
    <w:rsid w:val="0A4B072B"/>
    <w:rsid w:val="0A4D4223"/>
    <w:rsid w:val="0A533A27"/>
    <w:rsid w:val="0A5F11FA"/>
    <w:rsid w:val="0A801619"/>
    <w:rsid w:val="0A8D6111"/>
    <w:rsid w:val="0A8E1F88"/>
    <w:rsid w:val="0AA3740E"/>
    <w:rsid w:val="0AB539B9"/>
    <w:rsid w:val="0AB756ED"/>
    <w:rsid w:val="0AC4770A"/>
    <w:rsid w:val="0AD40FB1"/>
    <w:rsid w:val="0AEF0818"/>
    <w:rsid w:val="0AF12517"/>
    <w:rsid w:val="0B1F52D6"/>
    <w:rsid w:val="0B1F5376"/>
    <w:rsid w:val="0B26707E"/>
    <w:rsid w:val="0B6D4294"/>
    <w:rsid w:val="0B6E3131"/>
    <w:rsid w:val="0B723658"/>
    <w:rsid w:val="0B7A42BB"/>
    <w:rsid w:val="0B974A8D"/>
    <w:rsid w:val="0BCC6076"/>
    <w:rsid w:val="0BF51ABF"/>
    <w:rsid w:val="0C1B3CF0"/>
    <w:rsid w:val="0C3D1AC7"/>
    <w:rsid w:val="0C5D73C6"/>
    <w:rsid w:val="0C660EC7"/>
    <w:rsid w:val="0C673C16"/>
    <w:rsid w:val="0C6F6E83"/>
    <w:rsid w:val="0C9476AD"/>
    <w:rsid w:val="0CA86EA2"/>
    <w:rsid w:val="0CBB595F"/>
    <w:rsid w:val="0CE8513B"/>
    <w:rsid w:val="0CF9568B"/>
    <w:rsid w:val="0CFA3905"/>
    <w:rsid w:val="0D3037CB"/>
    <w:rsid w:val="0D5D20E6"/>
    <w:rsid w:val="0D755681"/>
    <w:rsid w:val="0D8E229F"/>
    <w:rsid w:val="0DAE2303"/>
    <w:rsid w:val="0DC33B5A"/>
    <w:rsid w:val="0DCE08EE"/>
    <w:rsid w:val="0DF93BBD"/>
    <w:rsid w:val="0DFC6D88"/>
    <w:rsid w:val="0E1A1D85"/>
    <w:rsid w:val="0E26697C"/>
    <w:rsid w:val="0E3A4EAF"/>
    <w:rsid w:val="0E3E3CC5"/>
    <w:rsid w:val="0E466FCE"/>
    <w:rsid w:val="0E4F5ED2"/>
    <w:rsid w:val="0E6D45AA"/>
    <w:rsid w:val="0EA52395"/>
    <w:rsid w:val="0EA66FBD"/>
    <w:rsid w:val="0EC53826"/>
    <w:rsid w:val="0ED44466"/>
    <w:rsid w:val="0EF97BEC"/>
    <w:rsid w:val="0F4075C9"/>
    <w:rsid w:val="0F4470B9"/>
    <w:rsid w:val="0F5526B4"/>
    <w:rsid w:val="0F583BD9"/>
    <w:rsid w:val="0F64150A"/>
    <w:rsid w:val="0F670FFA"/>
    <w:rsid w:val="0F857FF2"/>
    <w:rsid w:val="0FAB538A"/>
    <w:rsid w:val="0FCB492A"/>
    <w:rsid w:val="0FDD6D17"/>
    <w:rsid w:val="0FE10DAC"/>
    <w:rsid w:val="0FEA5BC3"/>
    <w:rsid w:val="0FFE3D74"/>
    <w:rsid w:val="10221EE0"/>
    <w:rsid w:val="102D2243"/>
    <w:rsid w:val="104B17E4"/>
    <w:rsid w:val="10757746"/>
    <w:rsid w:val="10B97633"/>
    <w:rsid w:val="10C42FEA"/>
    <w:rsid w:val="10D61D5D"/>
    <w:rsid w:val="11023B11"/>
    <w:rsid w:val="1122342A"/>
    <w:rsid w:val="116752E1"/>
    <w:rsid w:val="11750FCE"/>
    <w:rsid w:val="11842BCF"/>
    <w:rsid w:val="1188307C"/>
    <w:rsid w:val="118C15CB"/>
    <w:rsid w:val="11B7101A"/>
    <w:rsid w:val="12045226"/>
    <w:rsid w:val="12303925"/>
    <w:rsid w:val="12323B41"/>
    <w:rsid w:val="12374CB3"/>
    <w:rsid w:val="124277E4"/>
    <w:rsid w:val="12443874"/>
    <w:rsid w:val="12A165D1"/>
    <w:rsid w:val="12B02CB8"/>
    <w:rsid w:val="12EB4349"/>
    <w:rsid w:val="13261758"/>
    <w:rsid w:val="134071BC"/>
    <w:rsid w:val="137A7122"/>
    <w:rsid w:val="13E62E35"/>
    <w:rsid w:val="14096B23"/>
    <w:rsid w:val="140F5C31"/>
    <w:rsid w:val="142B4CEC"/>
    <w:rsid w:val="14456E02"/>
    <w:rsid w:val="1461426A"/>
    <w:rsid w:val="14812B5E"/>
    <w:rsid w:val="148D505F"/>
    <w:rsid w:val="149E54BE"/>
    <w:rsid w:val="14AB7BDB"/>
    <w:rsid w:val="14AE38BE"/>
    <w:rsid w:val="1523448C"/>
    <w:rsid w:val="15393995"/>
    <w:rsid w:val="154A73F4"/>
    <w:rsid w:val="15507A0D"/>
    <w:rsid w:val="1562190F"/>
    <w:rsid w:val="15687FFA"/>
    <w:rsid w:val="15777DD4"/>
    <w:rsid w:val="15B605E5"/>
    <w:rsid w:val="15D45C9E"/>
    <w:rsid w:val="15F07F9B"/>
    <w:rsid w:val="15FA1829"/>
    <w:rsid w:val="16117F11"/>
    <w:rsid w:val="16163B6C"/>
    <w:rsid w:val="164479E5"/>
    <w:rsid w:val="164A4628"/>
    <w:rsid w:val="166C5006"/>
    <w:rsid w:val="16777D74"/>
    <w:rsid w:val="168118E4"/>
    <w:rsid w:val="16924BAE"/>
    <w:rsid w:val="16933EA0"/>
    <w:rsid w:val="169F6688"/>
    <w:rsid w:val="16A02C0C"/>
    <w:rsid w:val="16BE59A3"/>
    <w:rsid w:val="16DE1BA1"/>
    <w:rsid w:val="16E01DBD"/>
    <w:rsid w:val="16F2564D"/>
    <w:rsid w:val="17161CA2"/>
    <w:rsid w:val="171833A6"/>
    <w:rsid w:val="17265553"/>
    <w:rsid w:val="17273547"/>
    <w:rsid w:val="172B3E8E"/>
    <w:rsid w:val="175D340E"/>
    <w:rsid w:val="17604CAC"/>
    <w:rsid w:val="17674E22"/>
    <w:rsid w:val="176F4EEF"/>
    <w:rsid w:val="17834838"/>
    <w:rsid w:val="178A3AD7"/>
    <w:rsid w:val="179523B6"/>
    <w:rsid w:val="179E7583"/>
    <w:rsid w:val="17BE66B3"/>
    <w:rsid w:val="17DA2BE0"/>
    <w:rsid w:val="17E104FE"/>
    <w:rsid w:val="17E92EF4"/>
    <w:rsid w:val="1800023D"/>
    <w:rsid w:val="180970F2"/>
    <w:rsid w:val="1833416F"/>
    <w:rsid w:val="183664F7"/>
    <w:rsid w:val="183B3024"/>
    <w:rsid w:val="18427A2F"/>
    <w:rsid w:val="184A552D"/>
    <w:rsid w:val="185309CF"/>
    <w:rsid w:val="187025A1"/>
    <w:rsid w:val="187B091F"/>
    <w:rsid w:val="191267CF"/>
    <w:rsid w:val="191E0D79"/>
    <w:rsid w:val="1945415A"/>
    <w:rsid w:val="19D8758D"/>
    <w:rsid w:val="19F618F8"/>
    <w:rsid w:val="1A3B246E"/>
    <w:rsid w:val="1A4563DB"/>
    <w:rsid w:val="1A5E03B7"/>
    <w:rsid w:val="1AA650CC"/>
    <w:rsid w:val="1AB1581F"/>
    <w:rsid w:val="1AF35E37"/>
    <w:rsid w:val="1AF71B85"/>
    <w:rsid w:val="1AF727D8"/>
    <w:rsid w:val="1B1A7868"/>
    <w:rsid w:val="1B46065D"/>
    <w:rsid w:val="1B466FDC"/>
    <w:rsid w:val="1B6F52C1"/>
    <w:rsid w:val="1B7B0307"/>
    <w:rsid w:val="1B812E7F"/>
    <w:rsid w:val="1BCE21DA"/>
    <w:rsid w:val="1BD01610"/>
    <w:rsid w:val="1C007D91"/>
    <w:rsid w:val="1C145E41"/>
    <w:rsid w:val="1C3109C5"/>
    <w:rsid w:val="1C430859"/>
    <w:rsid w:val="1C5E18E8"/>
    <w:rsid w:val="1C762014"/>
    <w:rsid w:val="1CCC6940"/>
    <w:rsid w:val="1CD557F5"/>
    <w:rsid w:val="1CFF6AA9"/>
    <w:rsid w:val="1D0260E1"/>
    <w:rsid w:val="1D116F81"/>
    <w:rsid w:val="1D20523A"/>
    <w:rsid w:val="1D2D3883"/>
    <w:rsid w:val="1D596426"/>
    <w:rsid w:val="1DA76F7C"/>
    <w:rsid w:val="1DB64506"/>
    <w:rsid w:val="1DCB4E4A"/>
    <w:rsid w:val="1E0D0FBE"/>
    <w:rsid w:val="1E4A32D1"/>
    <w:rsid w:val="1E5E7A6C"/>
    <w:rsid w:val="1E605592"/>
    <w:rsid w:val="1E912BAE"/>
    <w:rsid w:val="1EBD29E4"/>
    <w:rsid w:val="1ECD4970"/>
    <w:rsid w:val="1ED63AA6"/>
    <w:rsid w:val="1EDF6D85"/>
    <w:rsid w:val="1EE15C31"/>
    <w:rsid w:val="1EE61961"/>
    <w:rsid w:val="1EEE7042"/>
    <w:rsid w:val="1F044A3F"/>
    <w:rsid w:val="1F153F2D"/>
    <w:rsid w:val="1F2C467B"/>
    <w:rsid w:val="1F2C66A0"/>
    <w:rsid w:val="1F3955A2"/>
    <w:rsid w:val="1F5D7D23"/>
    <w:rsid w:val="1F933A28"/>
    <w:rsid w:val="1F9C084C"/>
    <w:rsid w:val="200D1B95"/>
    <w:rsid w:val="202D6FD9"/>
    <w:rsid w:val="20481F95"/>
    <w:rsid w:val="20FB4157"/>
    <w:rsid w:val="20FD7003"/>
    <w:rsid w:val="210A7A37"/>
    <w:rsid w:val="213D1BBA"/>
    <w:rsid w:val="21622BCA"/>
    <w:rsid w:val="21675403"/>
    <w:rsid w:val="21703D3E"/>
    <w:rsid w:val="217A272F"/>
    <w:rsid w:val="217D666C"/>
    <w:rsid w:val="219F73B4"/>
    <w:rsid w:val="21BD3BC6"/>
    <w:rsid w:val="21D536EF"/>
    <w:rsid w:val="21E32762"/>
    <w:rsid w:val="21E36440"/>
    <w:rsid w:val="21E726F9"/>
    <w:rsid w:val="21E861CC"/>
    <w:rsid w:val="21ED565C"/>
    <w:rsid w:val="22010E3A"/>
    <w:rsid w:val="22097CEF"/>
    <w:rsid w:val="2212104F"/>
    <w:rsid w:val="22130DF1"/>
    <w:rsid w:val="22396826"/>
    <w:rsid w:val="223E5BEA"/>
    <w:rsid w:val="22421AC7"/>
    <w:rsid w:val="226B1FDC"/>
    <w:rsid w:val="22723AE6"/>
    <w:rsid w:val="227F018D"/>
    <w:rsid w:val="22804455"/>
    <w:rsid w:val="22F56BF1"/>
    <w:rsid w:val="23110FE2"/>
    <w:rsid w:val="23203542"/>
    <w:rsid w:val="2376637F"/>
    <w:rsid w:val="238B4C82"/>
    <w:rsid w:val="239B29B6"/>
    <w:rsid w:val="239E04F4"/>
    <w:rsid w:val="23AD7CC4"/>
    <w:rsid w:val="23C50158"/>
    <w:rsid w:val="23F634C2"/>
    <w:rsid w:val="240B5FA0"/>
    <w:rsid w:val="24134576"/>
    <w:rsid w:val="24145500"/>
    <w:rsid w:val="243160B0"/>
    <w:rsid w:val="2453425F"/>
    <w:rsid w:val="24637B8A"/>
    <w:rsid w:val="2483647E"/>
    <w:rsid w:val="249266C1"/>
    <w:rsid w:val="24AA57B9"/>
    <w:rsid w:val="24CA19B7"/>
    <w:rsid w:val="24DB0068"/>
    <w:rsid w:val="24DD02C0"/>
    <w:rsid w:val="24E8008F"/>
    <w:rsid w:val="25396B3D"/>
    <w:rsid w:val="25767B5C"/>
    <w:rsid w:val="25887D3A"/>
    <w:rsid w:val="258F065A"/>
    <w:rsid w:val="25BA7C7E"/>
    <w:rsid w:val="25D13FD5"/>
    <w:rsid w:val="260333D3"/>
    <w:rsid w:val="26245A22"/>
    <w:rsid w:val="26583CFB"/>
    <w:rsid w:val="266320C3"/>
    <w:rsid w:val="268A665F"/>
    <w:rsid w:val="26E66850"/>
    <w:rsid w:val="26E94BFE"/>
    <w:rsid w:val="270311B0"/>
    <w:rsid w:val="27096BC8"/>
    <w:rsid w:val="278B601D"/>
    <w:rsid w:val="2796694C"/>
    <w:rsid w:val="27A07774"/>
    <w:rsid w:val="27AB3D22"/>
    <w:rsid w:val="27C34EED"/>
    <w:rsid w:val="27D01665"/>
    <w:rsid w:val="27F5742F"/>
    <w:rsid w:val="283261F1"/>
    <w:rsid w:val="284B2E0F"/>
    <w:rsid w:val="28537F15"/>
    <w:rsid w:val="287271B3"/>
    <w:rsid w:val="288A1B89"/>
    <w:rsid w:val="28965108"/>
    <w:rsid w:val="28C547D3"/>
    <w:rsid w:val="28F434A6"/>
    <w:rsid w:val="28F90ABD"/>
    <w:rsid w:val="29000594"/>
    <w:rsid w:val="29175DF0"/>
    <w:rsid w:val="2944442E"/>
    <w:rsid w:val="29791BFE"/>
    <w:rsid w:val="297E7214"/>
    <w:rsid w:val="297F777F"/>
    <w:rsid w:val="29B6075C"/>
    <w:rsid w:val="29BD5F8E"/>
    <w:rsid w:val="29CB5E3C"/>
    <w:rsid w:val="29F55728"/>
    <w:rsid w:val="2A174D51"/>
    <w:rsid w:val="2A181AF0"/>
    <w:rsid w:val="2A194F23"/>
    <w:rsid w:val="2A246447"/>
    <w:rsid w:val="2A3F69A3"/>
    <w:rsid w:val="2A4A2EC1"/>
    <w:rsid w:val="2A4E4E38"/>
    <w:rsid w:val="2A554419"/>
    <w:rsid w:val="2A5C7555"/>
    <w:rsid w:val="2A7A2160"/>
    <w:rsid w:val="2AEB4B49"/>
    <w:rsid w:val="2AF34289"/>
    <w:rsid w:val="2AF53506"/>
    <w:rsid w:val="2B226845"/>
    <w:rsid w:val="2B381D70"/>
    <w:rsid w:val="2B3B360F"/>
    <w:rsid w:val="2B5D17D7"/>
    <w:rsid w:val="2B730675"/>
    <w:rsid w:val="2B7733E2"/>
    <w:rsid w:val="2B9D74E7"/>
    <w:rsid w:val="2C1F083A"/>
    <w:rsid w:val="2C3D5164"/>
    <w:rsid w:val="2C5724E3"/>
    <w:rsid w:val="2C574478"/>
    <w:rsid w:val="2C5875CB"/>
    <w:rsid w:val="2C78619D"/>
    <w:rsid w:val="2CA77CCD"/>
    <w:rsid w:val="2CF77A09"/>
    <w:rsid w:val="2CF9108B"/>
    <w:rsid w:val="2D1F13E6"/>
    <w:rsid w:val="2D377E06"/>
    <w:rsid w:val="2D3A1246"/>
    <w:rsid w:val="2D46629B"/>
    <w:rsid w:val="2D682F9D"/>
    <w:rsid w:val="2D8C5315"/>
    <w:rsid w:val="2D95643B"/>
    <w:rsid w:val="2D9D235F"/>
    <w:rsid w:val="2DA336ED"/>
    <w:rsid w:val="2DC07DFB"/>
    <w:rsid w:val="2DCE2518"/>
    <w:rsid w:val="2DE106C9"/>
    <w:rsid w:val="2DF92FDF"/>
    <w:rsid w:val="2E064941"/>
    <w:rsid w:val="2E136236"/>
    <w:rsid w:val="2E1B7727"/>
    <w:rsid w:val="2E25064B"/>
    <w:rsid w:val="2E385BE3"/>
    <w:rsid w:val="2E3C7A87"/>
    <w:rsid w:val="2E497DF1"/>
    <w:rsid w:val="2E5844D8"/>
    <w:rsid w:val="2E652751"/>
    <w:rsid w:val="2E8D23D3"/>
    <w:rsid w:val="2E951288"/>
    <w:rsid w:val="2EAC6191"/>
    <w:rsid w:val="2ECB4CA9"/>
    <w:rsid w:val="2F2148C9"/>
    <w:rsid w:val="2F570B40"/>
    <w:rsid w:val="2F7B047E"/>
    <w:rsid w:val="2F7E3ACA"/>
    <w:rsid w:val="2F841A5E"/>
    <w:rsid w:val="2F8F34EA"/>
    <w:rsid w:val="2FE51D9B"/>
    <w:rsid w:val="2FF730B2"/>
    <w:rsid w:val="304E7940"/>
    <w:rsid w:val="306058C5"/>
    <w:rsid w:val="3067136E"/>
    <w:rsid w:val="306B0EDD"/>
    <w:rsid w:val="307B4478"/>
    <w:rsid w:val="307F5D4C"/>
    <w:rsid w:val="309A2B85"/>
    <w:rsid w:val="30B84806"/>
    <w:rsid w:val="30B87DC2"/>
    <w:rsid w:val="30F911F5"/>
    <w:rsid w:val="31055E4B"/>
    <w:rsid w:val="31374878"/>
    <w:rsid w:val="314B20D2"/>
    <w:rsid w:val="314C23D2"/>
    <w:rsid w:val="314E4291"/>
    <w:rsid w:val="31740B9D"/>
    <w:rsid w:val="318A49A8"/>
    <w:rsid w:val="31A55C86"/>
    <w:rsid w:val="31B613ED"/>
    <w:rsid w:val="31D60AC4"/>
    <w:rsid w:val="31DF06F6"/>
    <w:rsid w:val="32002A73"/>
    <w:rsid w:val="3202210A"/>
    <w:rsid w:val="322F1676"/>
    <w:rsid w:val="32474F4A"/>
    <w:rsid w:val="324E4B13"/>
    <w:rsid w:val="32671593"/>
    <w:rsid w:val="326C1CAC"/>
    <w:rsid w:val="327A771B"/>
    <w:rsid w:val="329F26D5"/>
    <w:rsid w:val="32A321D9"/>
    <w:rsid w:val="32B648DF"/>
    <w:rsid w:val="32BF53D9"/>
    <w:rsid w:val="32D5102E"/>
    <w:rsid w:val="3319216C"/>
    <w:rsid w:val="332538EF"/>
    <w:rsid w:val="33292AF7"/>
    <w:rsid w:val="3353526D"/>
    <w:rsid w:val="336D1887"/>
    <w:rsid w:val="336D27D3"/>
    <w:rsid w:val="338B5AD1"/>
    <w:rsid w:val="33933330"/>
    <w:rsid w:val="339774DA"/>
    <w:rsid w:val="339D46F8"/>
    <w:rsid w:val="33A67A93"/>
    <w:rsid w:val="33A8793A"/>
    <w:rsid w:val="33B34145"/>
    <w:rsid w:val="33C41BE7"/>
    <w:rsid w:val="341E7629"/>
    <w:rsid w:val="343155AF"/>
    <w:rsid w:val="343B1E3D"/>
    <w:rsid w:val="34497D80"/>
    <w:rsid w:val="345C0152"/>
    <w:rsid w:val="3490195A"/>
    <w:rsid w:val="34A00986"/>
    <w:rsid w:val="34C00A3D"/>
    <w:rsid w:val="34C53F49"/>
    <w:rsid w:val="35037002"/>
    <w:rsid w:val="351D1FD7"/>
    <w:rsid w:val="354F1987"/>
    <w:rsid w:val="359C114E"/>
    <w:rsid w:val="35A90EA2"/>
    <w:rsid w:val="35CA0050"/>
    <w:rsid w:val="35DA1FD3"/>
    <w:rsid w:val="35F745D6"/>
    <w:rsid w:val="360216FC"/>
    <w:rsid w:val="36142FEF"/>
    <w:rsid w:val="36154A5C"/>
    <w:rsid w:val="36211653"/>
    <w:rsid w:val="36400CEB"/>
    <w:rsid w:val="3640650F"/>
    <w:rsid w:val="366D1A51"/>
    <w:rsid w:val="366F0610"/>
    <w:rsid w:val="368C4D1E"/>
    <w:rsid w:val="36913B8F"/>
    <w:rsid w:val="36A858D0"/>
    <w:rsid w:val="36AD301F"/>
    <w:rsid w:val="36C409FD"/>
    <w:rsid w:val="36C721FA"/>
    <w:rsid w:val="36C97CBE"/>
    <w:rsid w:val="36D16B63"/>
    <w:rsid w:val="371B2546"/>
    <w:rsid w:val="372C4753"/>
    <w:rsid w:val="37537A3A"/>
    <w:rsid w:val="37AD5028"/>
    <w:rsid w:val="37E40B8A"/>
    <w:rsid w:val="37EF1A09"/>
    <w:rsid w:val="37EF75CE"/>
    <w:rsid w:val="37F81A2D"/>
    <w:rsid w:val="38274CF5"/>
    <w:rsid w:val="383218F5"/>
    <w:rsid w:val="38357E64"/>
    <w:rsid w:val="38451629"/>
    <w:rsid w:val="384C458D"/>
    <w:rsid w:val="386A5533"/>
    <w:rsid w:val="38784F2C"/>
    <w:rsid w:val="388A208A"/>
    <w:rsid w:val="38946FDB"/>
    <w:rsid w:val="38A30A45"/>
    <w:rsid w:val="38AF73EA"/>
    <w:rsid w:val="38C32995"/>
    <w:rsid w:val="38E452E6"/>
    <w:rsid w:val="390211C1"/>
    <w:rsid w:val="391F7478"/>
    <w:rsid w:val="39395B1F"/>
    <w:rsid w:val="395064D7"/>
    <w:rsid w:val="397D4DF2"/>
    <w:rsid w:val="39A97BD8"/>
    <w:rsid w:val="39BC2320"/>
    <w:rsid w:val="39C11183"/>
    <w:rsid w:val="39C96289"/>
    <w:rsid w:val="39E60BE9"/>
    <w:rsid w:val="39E87306"/>
    <w:rsid w:val="3A053765"/>
    <w:rsid w:val="3A086DB2"/>
    <w:rsid w:val="3A186C52"/>
    <w:rsid w:val="3A565DD3"/>
    <w:rsid w:val="3A5B4006"/>
    <w:rsid w:val="3A5C5CB9"/>
    <w:rsid w:val="3A830B2E"/>
    <w:rsid w:val="3A920D71"/>
    <w:rsid w:val="3AB8455E"/>
    <w:rsid w:val="3AEF1D20"/>
    <w:rsid w:val="3B091033"/>
    <w:rsid w:val="3B297A4D"/>
    <w:rsid w:val="3B3D2A8B"/>
    <w:rsid w:val="3B3E7EBE"/>
    <w:rsid w:val="3B722A21"/>
    <w:rsid w:val="3BB05953"/>
    <w:rsid w:val="3BBF6DB5"/>
    <w:rsid w:val="3BC1190E"/>
    <w:rsid w:val="3BC30ABC"/>
    <w:rsid w:val="3BDB4052"/>
    <w:rsid w:val="3BE25EDD"/>
    <w:rsid w:val="3BF24BAF"/>
    <w:rsid w:val="3C335C3C"/>
    <w:rsid w:val="3C4537E2"/>
    <w:rsid w:val="3C495460"/>
    <w:rsid w:val="3C5462DE"/>
    <w:rsid w:val="3C5C570A"/>
    <w:rsid w:val="3C743476"/>
    <w:rsid w:val="3C801BC8"/>
    <w:rsid w:val="3CB11983"/>
    <w:rsid w:val="3CD37CB4"/>
    <w:rsid w:val="3D1E02F6"/>
    <w:rsid w:val="3D424900"/>
    <w:rsid w:val="3D532A3A"/>
    <w:rsid w:val="3D695DB9"/>
    <w:rsid w:val="3D6B1BA2"/>
    <w:rsid w:val="3D797273"/>
    <w:rsid w:val="3D8B21D4"/>
    <w:rsid w:val="3D9D7E4E"/>
    <w:rsid w:val="3DB45BF2"/>
    <w:rsid w:val="3DBB19E2"/>
    <w:rsid w:val="3DEC2546"/>
    <w:rsid w:val="3E0D1D04"/>
    <w:rsid w:val="3E111FAD"/>
    <w:rsid w:val="3E2B66CE"/>
    <w:rsid w:val="3E4405D4"/>
    <w:rsid w:val="3E537A45"/>
    <w:rsid w:val="3E55214F"/>
    <w:rsid w:val="3E653535"/>
    <w:rsid w:val="3E70332A"/>
    <w:rsid w:val="3EB63280"/>
    <w:rsid w:val="3EC62C18"/>
    <w:rsid w:val="3EE6168C"/>
    <w:rsid w:val="3F010F71"/>
    <w:rsid w:val="3F1461F9"/>
    <w:rsid w:val="3F165ACD"/>
    <w:rsid w:val="3F195722"/>
    <w:rsid w:val="3F485EA2"/>
    <w:rsid w:val="3F577E93"/>
    <w:rsid w:val="3F6F342F"/>
    <w:rsid w:val="3F747261"/>
    <w:rsid w:val="3F9335C1"/>
    <w:rsid w:val="3F99566E"/>
    <w:rsid w:val="3FA05CDE"/>
    <w:rsid w:val="3FC6067B"/>
    <w:rsid w:val="3FC7675F"/>
    <w:rsid w:val="3FCC4E39"/>
    <w:rsid w:val="3FCE63A8"/>
    <w:rsid w:val="3FCF3820"/>
    <w:rsid w:val="3FEB4594"/>
    <w:rsid w:val="3FF658FE"/>
    <w:rsid w:val="3FFA0F65"/>
    <w:rsid w:val="401E545D"/>
    <w:rsid w:val="40577F27"/>
    <w:rsid w:val="40582115"/>
    <w:rsid w:val="408625E5"/>
    <w:rsid w:val="40B76E3C"/>
    <w:rsid w:val="40DD0AA9"/>
    <w:rsid w:val="40EB11DB"/>
    <w:rsid w:val="40F4048C"/>
    <w:rsid w:val="411029F0"/>
    <w:rsid w:val="411457FC"/>
    <w:rsid w:val="413D1001"/>
    <w:rsid w:val="413E57AF"/>
    <w:rsid w:val="4142704D"/>
    <w:rsid w:val="41614FF9"/>
    <w:rsid w:val="416E5152"/>
    <w:rsid w:val="4171348E"/>
    <w:rsid w:val="417F0CD2"/>
    <w:rsid w:val="41DB1250"/>
    <w:rsid w:val="41DF7B1C"/>
    <w:rsid w:val="41F26E27"/>
    <w:rsid w:val="42416F43"/>
    <w:rsid w:val="427F1BDB"/>
    <w:rsid w:val="428843C1"/>
    <w:rsid w:val="42C03BF5"/>
    <w:rsid w:val="42D27F5D"/>
    <w:rsid w:val="42F56341"/>
    <w:rsid w:val="43086F00"/>
    <w:rsid w:val="4321426F"/>
    <w:rsid w:val="432D7889"/>
    <w:rsid w:val="433E4180"/>
    <w:rsid w:val="43477C30"/>
    <w:rsid w:val="436F0DD0"/>
    <w:rsid w:val="43805C0B"/>
    <w:rsid w:val="43844A8D"/>
    <w:rsid w:val="43965D2B"/>
    <w:rsid w:val="439E6827"/>
    <w:rsid w:val="43C5782B"/>
    <w:rsid w:val="43D91F84"/>
    <w:rsid w:val="43E65416"/>
    <w:rsid w:val="440305EA"/>
    <w:rsid w:val="440A1978"/>
    <w:rsid w:val="44121145"/>
    <w:rsid w:val="441A605F"/>
    <w:rsid w:val="443951ED"/>
    <w:rsid w:val="443B611F"/>
    <w:rsid w:val="4454377A"/>
    <w:rsid w:val="446B5375"/>
    <w:rsid w:val="44740E09"/>
    <w:rsid w:val="44761B1B"/>
    <w:rsid w:val="44784B34"/>
    <w:rsid w:val="44807DD3"/>
    <w:rsid w:val="449B0822"/>
    <w:rsid w:val="44C90796"/>
    <w:rsid w:val="44D04970"/>
    <w:rsid w:val="44F8426C"/>
    <w:rsid w:val="44F91387"/>
    <w:rsid w:val="450D7972"/>
    <w:rsid w:val="45120AE5"/>
    <w:rsid w:val="45687946"/>
    <w:rsid w:val="45A81449"/>
    <w:rsid w:val="45BB73CE"/>
    <w:rsid w:val="45CE5353"/>
    <w:rsid w:val="45EA1019"/>
    <w:rsid w:val="45EA7371"/>
    <w:rsid w:val="45FA0D0B"/>
    <w:rsid w:val="45FC257D"/>
    <w:rsid w:val="46310F9E"/>
    <w:rsid w:val="464C395C"/>
    <w:rsid w:val="46537607"/>
    <w:rsid w:val="465B295F"/>
    <w:rsid w:val="466716DF"/>
    <w:rsid w:val="466C691A"/>
    <w:rsid w:val="466E680B"/>
    <w:rsid w:val="46842982"/>
    <w:rsid w:val="46A460B4"/>
    <w:rsid w:val="46B310A6"/>
    <w:rsid w:val="46C10A14"/>
    <w:rsid w:val="46C978C9"/>
    <w:rsid w:val="46DD15C6"/>
    <w:rsid w:val="46F21269"/>
    <w:rsid w:val="46F954C9"/>
    <w:rsid w:val="46FA2178"/>
    <w:rsid w:val="470A1BEA"/>
    <w:rsid w:val="47266AC9"/>
    <w:rsid w:val="474451A1"/>
    <w:rsid w:val="47703CF4"/>
    <w:rsid w:val="477912EF"/>
    <w:rsid w:val="47AE33F3"/>
    <w:rsid w:val="47C562E2"/>
    <w:rsid w:val="47F33590"/>
    <w:rsid w:val="4831274A"/>
    <w:rsid w:val="485350A5"/>
    <w:rsid w:val="485A2984"/>
    <w:rsid w:val="485D651B"/>
    <w:rsid w:val="48844C6D"/>
    <w:rsid w:val="489650B8"/>
    <w:rsid w:val="48965ED0"/>
    <w:rsid w:val="489874CF"/>
    <w:rsid w:val="48AB2599"/>
    <w:rsid w:val="48AD5029"/>
    <w:rsid w:val="48B1464B"/>
    <w:rsid w:val="48D64CE2"/>
    <w:rsid w:val="49382AE4"/>
    <w:rsid w:val="495401E1"/>
    <w:rsid w:val="498D72D3"/>
    <w:rsid w:val="49997A26"/>
    <w:rsid w:val="499A5A39"/>
    <w:rsid w:val="499F2B63"/>
    <w:rsid w:val="49AA023D"/>
    <w:rsid w:val="49C61CC3"/>
    <w:rsid w:val="49FA49E9"/>
    <w:rsid w:val="4A1368BF"/>
    <w:rsid w:val="4A1E617D"/>
    <w:rsid w:val="4A4554B8"/>
    <w:rsid w:val="4A4D25BF"/>
    <w:rsid w:val="4A7162AD"/>
    <w:rsid w:val="4A7F3599"/>
    <w:rsid w:val="4A8A0D65"/>
    <w:rsid w:val="4A8F2BD7"/>
    <w:rsid w:val="4AC07235"/>
    <w:rsid w:val="4AC44477"/>
    <w:rsid w:val="4AC72371"/>
    <w:rsid w:val="4AD752E2"/>
    <w:rsid w:val="4ADF76BB"/>
    <w:rsid w:val="4B2969B8"/>
    <w:rsid w:val="4B321EE0"/>
    <w:rsid w:val="4B5951AD"/>
    <w:rsid w:val="4B657077"/>
    <w:rsid w:val="4B75001F"/>
    <w:rsid w:val="4B977F95"/>
    <w:rsid w:val="4BF54CBC"/>
    <w:rsid w:val="4C043151"/>
    <w:rsid w:val="4C462EE1"/>
    <w:rsid w:val="4C534154"/>
    <w:rsid w:val="4C724216"/>
    <w:rsid w:val="4C8B6AA1"/>
    <w:rsid w:val="4CC04E52"/>
    <w:rsid w:val="4CDA552C"/>
    <w:rsid w:val="4CF71B25"/>
    <w:rsid w:val="4D041E67"/>
    <w:rsid w:val="4D087F02"/>
    <w:rsid w:val="4D27359B"/>
    <w:rsid w:val="4D35779C"/>
    <w:rsid w:val="4D3A32CE"/>
    <w:rsid w:val="4D5E0A52"/>
    <w:rsid w:val="4D7302FC"/>
    <w:rsid w:val="4D7B566F"/>
    <w:rsid w:val="4D8207D1"/>
    <w:rsid w:val="4D8409ED"/>
    <w:rsid w:val="4D866514"/>
    <w:rsid w:val="4D8B58D8"/>
    <w:rsid w:val="4D8E53C8"/>
    <w:rsid w:val="4D9329DF"/>
    <w:rsid w:val="4D9C7767"/>
    <w:rsid w:val="4DCB2178"/>
    <w:rsid w:val="4DDF5C24"/>
    <w:rsid w:val="4DE70B18"/>
    <w:rsid w:val="4E004491"/>
    <w:rsid w:val="4E22162D"/>
    <w:rsid w:val="4E6D1482"/>
    <w:rsid w:val="4E8D38D2"/>
    <w:rsid w:val="4E9234C3"/>
    <w:rsid w:val="4EA90541"/>
    <w:rsid w:val="4EB15812"/>
    <w:rsid w:val="4EBE1CDD"/>
    <w:rsid w:val="4EC7443D"/>
    <w:rsid w:val="4EFA0F67"/>
    <w:rsid w:val="4F05790C"/>
    <w:rsid w:val="4F0C35A4"/>
    <w:rsid w:val="4F2558B8"/>
    <w:rsid w:val="4F4641AC"/>
    <w:rsid w:val="4F675ED1"/>
    <w:rsid w:val="4F7C7F39"/>
    <w:rsid w:val="4F942EA0"/>
    <w:rsid w:val="4FBC5C8E"/>
    <w:rsid w:val="4FE55A96"/>
    <w:rsid w:val="50005BAF"/>
    <w:rsid w:val="50135A9E"/>
    <w:rsid w:val="504479E3"/>
    <w:rsid w:val="50487B81"/>
    <w:rsid w:val="50505EE5"/>
    <w:rsid w:val="5060661A"/>
    <w:rsid w:val="50643737"/>
    <w:rsid w:val="506D13B1"/>
    <w:rsid w:val="506E3F5A"/>
    <w:rsid w:val="507F7B5F"/>
    <w:rsid w:val="50972C80"/>
    <w:rsid w:val="50BD6C53"/>
    <w:rsid w:val="50F6575E"/>
    <w:rsid w:val="51295B34"/>
    <w:rsid w:val="515432E6"/>
    <w:rsid w:val="51A96C75"/>
    <w:rsid w:val="51B003BE"/>
    <w:rsid w:val="51CE2237"/>
    <w:rsid w:val="51E370CA"/>
    <w:rsid w:val="51FC4FF6"/>
    <w:rsid w:val="520F7DF0"/>
    <w:rsid w:val="523E6BBC"/>
    <w:rsid w:val="523F6CB3"/>
    <w:rsid w:val="5268268C"/>
    <w:rsid w:val="52805A0A"/>
    <w:rsid w:val="52974D1F"/>
    <w:rsid w:val="52D55B8C"/>
    <w:rsid w:val="52E92249"/>
    <w:rsid w:val="52FD1E55"/>
    <w:rsid w:val="530F33D5"/>
    <w:rsid w:val="53133149"/>
    <w:rsid w:val="531448E8"/>
    <w:rsid w:val="53146370"/>
    <w:rsid w:val="5329192D"/>
    <w:rsid w:val="532A16EF"/>
    <w:rsid w:val="53405EA3"/>
    <w:rsid w:val="53422EDD"/>
    <w:rsid w:val="536969B1"/>
    <w:rsid w:val="539354E6"/>
    <w:rsid w:val="539E77D2"/>
    <w:rsid w:val="53DD0E57"/>
    <w:rsid w:val="53F35F85"/>
    <w:rsid w:val="5415239F"/>
    <w:rsid w:val="54196DC8"/>
    <w:rsid w:val="541C6180"/>
    <w:rsid w:val="54271C7C"/>
    <w:rsid w:val="544B546F"/>
    <w:rsid w:val="546E385E"/>
    <w:rsid w:val="54D87473"/>
    <w:rsid w:val="54EE2A5A"/>
    <w:rsid w:val="550151F6"/>
    <w:rsid w:val="55376345"/>
    <w:rsid w:val="5545417D"/>
    <w:rsid w:val="555F3DC2"/>
    <w:rsid w:val="55733821"/>
    <w:rsid w:val="55B55BE8"/>
    <w:rsid w:val="55CF657E"/>
    <w:rsid w:val="560C1580"/>
    <w:rsid w:val="5642720A"/>
    <w:rsid w:val="56771FD1"/>
    <w:rsid w:val="567B00FB"/>
    <w:rsid w:val="569E238C"/>
    <w:rsid w:val="56A56F96"/>
    <w:rsid w:val="56A8574D"/>
    <w:rsid w:val="56B30171"/>
    <w:rsid w:val="56D27474"/>
    <w:rsid w:val="56D41079"/>
    <w:rsid w:val="56E60023"/>
    <w:rsid w:val="56E61DD1"/>
    <w:rsid w:val="56F444EE"/>
    <w:rsid w:val="56F63A10"/>
    <w:rsid w:val="571D5BC5"/>
    <w:rsid w:val="574A6804"/>
    <w:rsid w:val="5750429E"/>
    <w:rsid w:val="575D6537"/>
    <w:rsid w:val="57626E74"/>
    <w:rsid w:val="57931F59"/>
    <w:rsid w:val="5820511C"/>
    <w:rsid w:val="583F79EB"/>
    <w:rsid w:val="585039A6"/>
    <w:rsid w:val="585D3E03"/>
    <w:rsid w:val="587326BB"/>
    <w:rsid w:val="58BB77EF"/>
    <w:rsid w:val="58DA5965"/>
    <w:rsid w:val="58DE1F85"/>
    <w:rsid w:val="59125B89"/>
    <w:rsid w:val="59181E06"/>
    <w:rsid w:val="59306928"/>
    <w:rsid w:val="59340387"/>
    <w:rsid w:val="593530F2"/>
    <w:rsid w:val="594D25DB"/>
    <w:rsid w:val="59637709"/>
    <w:rsid w:val="59CF4D9E"/>
    <w:rsid w:val="59ED0D05"/>
    <w:rsid w:val="5A150D5F"/>
    <w:rsid w:val="5A2C21F1"/>
    <w:rsid w:val="5A2F2CCE"/>
    <w:rsid w:val="5A35022A"/>
    <w:rsid w:val="5A6B2D19"/>
    <w:rsid w:val="5A89319F"/>
    <w:rsid w:val="5AAF3F4B"/>
    <w:rsid w:val="5ADA1C4D"/>
    <w:rsid w:val="5B0942E0"/>
    <w:rsid w:val="5B1909C7"/>
    <w:rsid w:val="5B253BAA"/>
    <w:rsid w:val="5B264E92"/>
    <w:rsid w:val="5B307FE1"/>
    <w:rsid w:val="5B475D03"/>
    <w:rsid w:val="5B4E7E5B"/>
    <w:rsid w:val="5B7E082A"/>
    <w:rsid w:val="5BD32D51"/>
    <w:rsid w:val="5C052CF9"/>
    <w:rsid w:val="5C0623D8"/>
    <w:rsid w:val="5C126583"/>
    <w:rsid w:val="5C3F26AF"/>
    <w:rsid w:val="5C507ED6"/>
    <w:rsid w:val="5C736248"/>
    <w:rsid w:val="5C7A26E4"/>
    <w:rsid w:val="5C844566"/>
    <w:rsid w:val="5C960C7A"/>
    <w:rsid w:val="5CA6507F"/>
    <w:rsid w:val="5D122F33"/>
    <w:rsid w:val="5D535CE6"/>
    <w:rsid w:val="5D757B4D"/>
    <w:rsid w:val="5DB96EB6"/>
    <w:rsid w:val="5DC67D61"/>
    <w:rsid w:val="5DC855E3"/>
    <w:rsid w:val="5DCF7A63"/>
    <w:rsid w:val="5DE60FED"/>
    <w:rsid w:val="5DF254FF"/>
    <w:rsid w:val="5DFB4464"/>
    <w:rsid w:val="5E010F3E"/>
    <w:rsid w:val="5E1016DA"/>
    <w:rsid w:val="5E1D07CE"/>
    <w:rsid w:val="5E3A30FA"/>
    <w:rsid w:val="5E48579B"/>
    <w:rsid w:val="5E5A241C"/>
    <w:rsid w:val="5E6A778C"/>
    <w:rsid w:val="5E7062EB"/>
    <w:rsid w:val="5E713FFA"/>
    <w:rsid w:val="5E96232F"/>
    <w:rsid w:val="5E9D1993"/>
    <w:rsid w:val="5ECB647C"/>
    <w:rsid w:val="5ED879CC"/>
    <w:rsid w:val="5F077F61"/>
    <w:rsid w:val="5F221E14"/>
    <w:rsid w:val="5F463D55"/>
    <w:rsid w:val="5F517FEB"/>
    <w:rsid w:val="5F5C5326"/>
    <w:rsid w:val="5F75487E"/>
    <w:rsid w:val="5FDB26EF"/>
    <w:rsid w:val="5FE63CFA"/>
    <w:rsid w:val="5FEC1F0A"/>
    <w:rsid w:val="5FFE462F"/>
    <w:rsid w:val="602B6AA7"/>
    <w:rsid w:val="606A1F45"/>
    <w:rsid w:val="60A81128"/>
    <w:rsid w:val="60D07D7A"/>
    <w:rsid w:val="60E27AAD"/>
    <w:rsid w:val="60FB422E"/>
    <w:rsid w:val="611D2893"/>
    <w:rsid w:val="61202383"/>
    <w:rsid w:val="61227EAA"/>
    <w:rsid w:val="61336843"/>
    <w:rsid w:val="613D4CE3"/>
    <w:rsid w:val="61946FF9"/>
    <w:rsid w:val="61F25ACE"/>
    <w:rsid w:val="61F555BE"/>
    <w:rsid w:val="61F769DC"/>
    <w:rsid w:val="6204509B"/>
    <w:rsid w:val="625D388F"/>
    <w:rsid w:val="62662018"/>
    <w:rsid w:val="626A0DA2"/>
    <w:rsid w:val="626C5880"/>
    <w:rsid w:val="629D1EDE"/>
    <w:rsid w:val="62A13F4D"/>
    <w:rsid w:val="62E278F0"/>
    <w:rsid w:val="62E573E1"/>
    <w:rsid w:val="62F173B7"/>
    <w:rsid w:val="62FC74AA"/>
    <w:rsid w:val="635C2835"/>
    <w:rsid w:val="635F7193"/>
    <w:rsid w:val="639F6592"/>
    <w:rsid w:val="63A27AA9"/>
    <w:rsid w:val="63B52246"/>
    <w:rsid w:val="63BD1701"/>
    <w:rsid w:val="63CF1338"/>
    <w:rsid w:val="63D01E3F"/>
    <w:rsid w:val="63DE2FA8"/>
    <w:rsid w:val="63E53870"/>
    <w:rsid w:val="63FC7E40"/>
    <w:rsid w:val="63FF4B70"/>
    <w:rsid w:val="64726F43"/>
    <w:rsid w:val="648124F1"/>
    <w:rsid w:val="64AD03D2"/>
    <w:rsid w:val="64C37BF6"/>
    <w:rsid w:val="64D3579B"/>
    <w:rsid w:val="64DD35B1"/>
    <w:rsid w:val="65030030"/>
    <w:rsid w:val="650E0E71"/>
    <w:rsid w:val="650F4BE9"/>
    <w:rsid w:val="65161B75"/>
    <w:rsid w:val="6558033E"/>
    <w:rsid w:val="65680AED"/>
    <w:rsid w:val="656A5114"/>
    <w:rsid w:val="658161C6"/>
    <w:rsid w:val="65AE7F5E"/>
    <w:rsid w:val="65BD394B"/>
    <w:rsid w:val="65DC4ACB"/>
    <w:rsid w:val="65DF2BFC"/>
    <w:rsid w:val="65DF6369"/>
    <w:rsid w:val="661A4B91"/>
    <w:rsid w:val="66291CDA"/>
    <w:rsid w:val="665C5C0C"/>
    <w:rsid w:val="66A15C9B"/>
    <w:rsid w:val="66A82024"/>
    <w:rsid w:val="66F45E44"/>
    <w:rsid w:val="66F61BAB"/>
    <w:rsid w:val="670C65D6"/>
    <w:rsid w:val="67177D85"/>
    <w:rsid w:val="67242BCD"/>
    <w:rsid w:val="67300122"/>
    <w:rsid w:val="6736645D"/>
    <w:rsid w:val="67670D0C"/>
    <w:rsid w:val="67705236"/>
    <w:rsid w:val="6779495F"/>
    <w:rsid w:val="67982C74"/>
    <w:rsid w:val="67A04E3D"/>
    <w:rsid w:val="67C036F4"/>
    <w:rsid w:val="68064081"/>
    <w:rsid w:val="681A18DB"/>
    <w:rsid w:val="682727FB"/>
    <w:rsid w:val="682C3AD4"/>
    <w:rsid w:val="683B2EFE"/>
    <w:rsid w:val="684E18C4"/>
    <w:rsid w:val="68613679"/>
    <w:rsid w:val="68760E89"/>
    <w:rsid w:val="68C36416"/>
    <w:rsid w:val="68DA20B8"/>
    <w:rsid w:val="68EA28F0"/>
    <w:rsid w:val="68F71C1C"/>
    <w:rsid w:val="69001972"/>
    <w:rsid w:val="69236EB5"/>
    <w:rsid w:val="695452C0"/>
    <w:rsid w:val="696A4AE4"/>
    <w:rsid w:val="697A6C1E"/>
    <w:rsid w:val="69821E2D"/>
    <w:rsid w:val="69AE0C9B"/>
    <w:rsid w:val="69B80720"/>
    <w:rsid w:val="69D21ABB"/>
    <w:rsid w:val="69E76134"/>
    <w:rsid w:val="6A5A4B58"/>
    <w:rsid w:val="6A5C442C"/>
    <w:rsid w:val="6A843983"/>
    <w:rsid w:val="6A8614A9"/>
    <w:rsid w:val="6A915DF3"/>
    <w:rsid w:val="6AC20EA1"/>
    <w:rsid w:val="6ACD70D8"/>
    <w:rsid w:val="6AF24D91"/>
    <w:rsid w:val="6B4A0729"/>
    <w:rsid w:val="6B6A2B79"/>
    <w:rsid w:val="6B6D4417"/>
    <w:rsid w:val="6B826114"/>
    <w:rsid w:val="6B87372B"/>
    <w:rsid w:val="6BA3608B"/>
    <w:rsid w:val="6BC56001"/>
    <w:rsid w:val="6BCA3618"/>
    <w:rsid w:val="6BDE14FD"/>
    <w:rsid w:val="6BE741CA"/>
    <w:rsid w:val="6BEF307E"/>
    <w:rsid w:val="6BF6265F"/>
    <w:rsid w:val="6C054650"/>
    <w:rsid w:val="6C0B643D"/>
    <w:rsid w:val="6C270A6A"/>
    <w:rsid w:val="6C3118E9"/>
    <w:rsid w:val="6CB467A2"/>
    <w:rsid w:val="6CBF6EF4"/>
    <w:rsid w:val="6CDE3BD9"/>
    <w:rsid w:val="6CF92AB3"/>
    <w:rsid w:val="6D2356D5"/>
    <w:rsid w:val="6D254FA9"/>
    <w:rsid w:val="6D2C0311"/>
    <w:rsid w:val="6D4D22D2"/>
    <w:rsid w:val="6D5533B5"/>
    <w:rsid w:val="6D605FE2"/>
    <w:rsid w:val="6D61130D"/>
    <w:rsid w:val="6D940381"/>
    <w:rsid w:val="6DB91B96"/>
    <w:rsid w:val="6DBD1686"/>
    <w:rsid w:val="6DBD3434"/>
    <w:rsid w:val="6DC021CA"/>
    <w:rsid w:val="6DDD7632"/>
    <w:rsid w:val="6DEC218A"/>
    <w:rsid w:val="6DEC2CF6"/>
    <w:rsid w:val="6E217E67"/>
    <w:rsid w:val="6E2B0B07"/>
    <w:rsid w:val="6E377600"/>
    <w:rsid w:val="6E4542A4"/>
    <w:rsid w:val="6E477FDA"/>
    <w:rsid w:val="6E867DC2"/>
    <w:rsid w:val="6E881CA6"/>
    <w:rsid w:val="6E906D9A"/>
    <w:rsid w:val="6E986EF3"/>
    <w:rsid w:val="6EA25B6B"/>
    <w:rsid w:val="6EA32620"/>
    <w:rsid w:val="6EAC37E1"/>
    <w:rsid w:val="6EB32A89"/>
    <w:rsid w:val="6EE7766E"/>
    <w:rsid w:val="6F0840A6"/>
    <w:rsid w:val="6F086931"/>
    <w:rsid w:val="6F136B3D"/>
    <w:rsid w:val="6F3449A7"/>
    <w:rsid w:val="6F3746D6"/>
    <w:rsid w:val="6F4656AB"/>
    <w:rsid w:val="6F4B0F13"/>
    <w:rsid w:val="6F5558EE"/>
    <w:rsid w:val="6F571666"/>
    <w:rsid w:val="6F8E2857"/>
    <w:rsid w:val="6F9309C3"/>
    <w:rsid w:val="6FC52A74"/>
    <w:rsid w:val="6FC85EDD"/>
    <w:rsid w:val="6FCE11F7"/>
    <w:rsid w:val="6FDC2BA3"/>
    <w:rsid w:val="70820965"/>
    <w:rsid w:val="70BC077B"/>
    <w:rsid w:val="70C40F7D"/>
    <w:rsid w:val="70C6670F"/>
    <w:rsid w:val="70F353BF"/>
    <w:rsid w:val="711041C2"/>
    <w:rsid w:val="71153587"/>
    <w:rsid w:val="711E3447"/>
    <w:rsid w:val="71235CA4"/>
    <w:rsid w:val="714300F4"/>
    <w:rsid w:val="716F0EE9"/>
    <w:rsid w:val="71860D86"/>
    <w:rsid w:val="71B61295"/>
    <w:rsid w:val="71BC1C54"/>
    <w:rsid w:val="71CA0B9B"/>
    <w:rsid w:val="71E73175"/>
    <w:rsid w:val="71F96A05"/>
    <w:rsid w:val="71FA5E12"/>
    <w:rsid w:val="72024CCB"/>
    <w:rsid w:val="72141A90"/>
    <w:rsid w:val="72215134"/>
    <w:rsid w:val="72513B7B"/>
    <w:rsid w:val="72813FAE"/>
    <w:rsid w:val="72907369"/>
    <w:rsid w:val="729130E1"/>
    <w:rsid w:val="72AC1CC9"/>
    <w:rsid w:val="72D22688"/>
    <w:rsid w:val="72EC6777"/>
    <w:rsid w:val="72F0391D"/>
    <w:rsid w:val="73104006"/>
    <w:rsid w:val="7318110C"/>
    <w:rsid w:val="732B52E4"/>
    <w:rsid w:val="732D5B07"/>
    <w:rsid w:val="733A434A"/>
    <w:rsid w:val="733D210C"/>
    <w:rsid w:val="733D3D46"/>
    <w:rsid w:val="735E7467"/>
    <w:rsid w:val="73614861"/>
    <w:rsid w:val="73860E12"/>
    <w:rsid w:val="73AC344F"/>
    <w:rsid w:val="73E5267A"/>
    <w:rsid w:val="743D4BD4"/>
    <w:rsid w:val="744B4275"/>
    <w:rsid w:val="749271F3"/>
    <w:rsid w:val="74BF602F"/>
    <w:rsid w:val="74C8055A"/>
    <w:rsid w:val="74CA6436"/>
    <w:rsid w:val="750A2CD7"/>
    <w:rsid w:val="750E27C7"/>
    <w:rsid w:val="752B15CB"/>
    <w:rsid w:val="7539091C"/>
    <w:rsid w:val="75530B22"/>
    <w:rsid w:val="75614FED"/>
    <w:rsid w:val="757C5B2B"/>
    <w:rsid w:val="75840CDB"/>
    <w:rsid w:val="75A03D67"/>
    <w:rsid w:val="75A90742"/>
    <w:rsid w:val="75B93A47"/>
    <w:rsid w:val="75D752AF"/>
    <w:rsid w:val="7608190C"/>
    <w:rsid w:val="761B33ED"/>
    <w:rsid w:val="76227727"/>
    <w:rsid w:val="762B2267"/>
    <w:rsid w:val="76571F4C"/>
    <w:rsid w:val="76832D41"/>
    <w:rsid w:val="769720E3"/>
    <w:rsid w:val="769E7B7B"/>
    <w:rsid w:val="76AE0369"/>
    <w:rsid w:val="76B01217"/>
    <w:rsid w:val="76C466D6"/>
    <w:rsid w:val="76D43965"/>
    <w:rsid w:val="76E53424"/>
    <w:rsid w:val="770E33DB"/>
    <w:rsid w:val="775A1CF3"/>
    <w:rsid w:val="778E7BEF"/>
    <w:rsid w:val="77A21895"/>
    <w:rsid w:val="77CD4BBB"/>
    <w:rsid w:val="77E048EF"/>
    <w:rsid w:val="77EE17B1"/>
    <w:rsid w:val="78485FF0"/>
    <w:rsid w:val="784A02E9"/>
    <w:rsid w:val="784B5AE0"/>
    <w:rsid w:val="786D1EFA"/>
    <w:rsid w:val="7878529E"/>
    <w:rsid w:val="78917997"/>
    <w:rsid w:val="78CA4C57"/>
    <w:rsid w:val="78D21D5D"/>
    <w:rsid w:val="78EF46BD"/>
    <w:rsid w:val="79022643"/>
    <w:rsid w:val="79376388"/>
    <w:rsid w:val="79456B36"/>
    <w:rsid w:val="794A5D98"/>
    <w:rsid w:val="795E31C8"/>
    <w:rsid w:val="79604D22"/>
    <w:rsid w:val="79627585"/>
    <w:rsid w:val="79683F26"/>
    <w:rsid w:val="79703A50"/>
    <w:rsid w:val="797352EE"/>
    <w:rsid w:val="79856DD0"/>
    <w:rsid w:val="79935991"/>
    <w:rsid w:val="79A96B72"/>
    <w:rsid w:val="79B31B8F"/>
    <w:rsid w:val="79DC10E6"/>
    <w:rsid w:val="7A0D1989"/>
    <w:rsid w:val="7A1C14E2"/>
    <w:rsid w:val="7A94376E"/>
    <w:rsid w:val="7A9726FE"/>
    <w:rsid w:val="7A995229"/>
    <w:rsid w:val="7AB44136"/>
    <w:rsid w:val="7AC1208A"/>
    <w:rsid w:val="7B0A778B"/>
    <w:rsid w:val="7B2E5971"/>
    <w:rsid w:val="7B445021"/>
    <w:rsid w:val="7B5C5D8A"/>
    <w:rsid w:val="7B881AD9"/>
    <w:rsid w:val="7BA9342F"/>
    <w:rsid w:val="7C2154D6"/>
    <w:rsid w:val="7C4056A4"/>
    <w:rsid w:val="7C4C685F"/>
    <w:rsid w:val="7C580C2D"/>
    <w:rsid w:val="7C5F1B52"/>
    <w:rsid w:val="7C7F3FAA"/>
    <w:rsid w:val="7C9D34C4"/>
    <w:rsid w:val="7CA8633A"/>
    <w:rsid w:val="7CA96A74"/>
    <w:rsid w:val="7CCC3693"/>
    <w:rsid w:val="7CD10CAA"/>
    <w:rsid w:val="7CD335AB"/>
    <w:rsid w:val="7CE56503"/>
    <w:rsid w:val="7D1312C2"/>
    <w:rsid w:val="7D346391"/>
    <w:rsid w:val="7D417C89"/>
    <w:rsid w:val="7D7B648E"/>
    <w:rsid w:val="7D9D7D1F"/>
    <w:rsid w:val="7DB7337B"/>
    <w:rsid w:val="7DC66335"/>
    <w:rsid w:val="7DEB5D9B"/>
    <w:rsid w:val="7DEC38C1"/>
    <w:rsid w:val="7DF332FF"/>
    <w:rsid w:val="7DF76897"/>
    <w:rsid w:val="7E1D1BAF"/>
    <w:rsid w:val="7E7E37DC"/>
    <w:rsid w:val="7E9667CF"/>
    <w:rsid w:val="7EA65570"/>
    <w:rsid w:val="7EE27B6D"/>
    <w:rsid w:val="7F030EC3"/>
    <w:rsid w:val="7F17569E"/>
    <w:rsid w:val="7F1816E2"/>
    <w:rsid w:val="7F7D483E"/>
    <w:rsid w:val="7F7D6EC7"/>
    <w:rsid w:val="7F89586C"/>
    <w:rsid w:val="7FAB20C8"/>
    <w:rsid w:val="7FB46BB3"/>
    <w:rsid w:val="7FD44C9D"/>
    <w:rsid w:val="7FFA40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autoRedefine/>
    <w:qFormat/>
    <w:uiPriority w:val="0"/>
    <w:pPr>
      <w:keepNext/>
      <w:keepLines/>
      <w:spacing w:before="340" w:beforeLines="0" w:after="330" w:afterLines="0" w:line="360" w:lineRule="auto"/>
      <w:jc w:val="center"/>
      <w:outlineLvl w:val="0"/>
    </w:pPr>
    <w:rPr>
      <w:rFonts w:ascii="Times New Roman" w:hAnsi="Times New Roman"/>
      <w:b/>
      <w:bCs/>
      <w:kern w:val="44"/>
      <w:sz w:val="24"/>
      <w:szCs w:val="44"/>
    </w:rPr>
  </w:style>
  <w:style w:type="paragraph" w:styleId="3">
    <w:name w:val="heading 2"/>
    <w:basedOn w:val="1"/>
    <w:next w:val="1"/>
    <w:autoRedefine/>
    <w:qFormat/>
    <w:uiPriority w:val="0"/>
    <w:pPr>
      <w:keepNext/>
      <w:keepLines/>
      <w:spacing w:before="260" w:beforeLines="0" w:after="260" w:afterLines="0" w:line="240" w:lineRule="auto"/>
      <w:jc w:val="left"/>
      <w:outlineLvl w:val="1"/>
    </w:pPr>
    <w:rPr>
      <w:rFonts w:ascii="Arial" w:hAnsi="Arial" w:eastAsia="宋体"/>
      <w:b/>
      <w:bCs/>
      <w:sz w:val="24"/>
      <w:szCs w:val="32"/>
    </w:rPr>
  </w:style>
  <w:style w:type="paragraph" w:styleId="4">
    <w:name w:val="heading 3"/>
    <w:basedOn w:val="1"/>
    <w:next w:val="1"/>
    <w:autoRedefine/>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link w:val="63"/>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4"/>
    <w:autoRedefine/>
    <w:qFormat/>
    <w:uiPriority w:val="0"/>
    <w:pPr>
      <w:keepNext/>
      <w:keepLines/>
      <w:spacing w:before="280" w:after="290" w:line="376" w:lineRule="auto"/>
      <w:outlineLvl w:val="4"/>
    </w:pPr>
    <w:rPr>
      <w:rFonts w:ascii="Calibri" w:hAnsi="Calibri"/>
      <w:b/>
      <w:bCs/>
      <w:sz w:val="28"/>
      <w:szCs w:val="28"/>
    </w:rPr>
  </w:style>
  <w:style w:type="paragraph" w:styleId="7">
    <w:name w:val="heading 6"/>
    <w:basedOn w:val="1"/>
    <w:next w:val="1"/>
    <w:link w:val="65"/>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66"/>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67"/>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68"/>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5">
    <w:name w:val="Default Paragraph Font"/>
    <w:autoRedefine/>
    <w:qFormat/>
    <w:uiPriority w:val="0"/>
    <w:rPr>
      <w:rFonts w:ascii="Verdana" w:hAnsi="Verdana"/>
      <w:kern w:val="0"/>
      <w:sz w:val="30"/>
      <w:szCs w:val="30"/>
      <w:lang w:eastAsia="en-US"/>
    </w:rPr>
  </w:style>
  <w:style w:type="table" w:default="1" w:styleId="44">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autoRedefine/>
    <w:qFormat/>
    <w:uiPriority w:val="0"/>
    <w:pPr>
      <w:ind w:left="1260"/>
      <w:jc w:val="left"/>
    </w:pPr>
    <w:rPr>
      <w:sz w:val="18"/>
      <w:szCs w:val="18"/>
    </w:rPr>
  </w:style>
  <w:style w:type="paragraph" w:styleId="12">
    <w:name w:val="Normal Indent"/>
    <w:basedOn w:val="1"/>
    <w:autoRedefine/>
    <w:qFormat/>
    <w:uiPriority w:val="0"/>
    <w:pPr>
      <w:ind w:firstLine="420" w:firstLineChars="200"/>
    </w:pPr>
  </w:style>
  <w:style w:type="paragraph" w:styleId="13">
    <w:name w:val="Document Map"/>
    <w:basedOn w:val="1"/>
    <w:link w:val="69"/>
    <w:autoRedefine/>
    <w:qFormat/>
    <w:uiPriority w:val="0"/>
    <w:pPr>
      <w:shd w:val="clear" w:color="auto" w:fill="000080"/>
    </w:pPr>
  </w:style>
  <w:style w:type="paragraph" w:styleId="14">
    <w:name w:val="annotation text"/>
    <w:basedOn w:val="1"/>
    <w:link w:val="70"/>
    <w:autoRedefine/>
    <w:qFormat/>
    <w:uiPriority w:val="0"/>
    <w:pPr>
      <w:jc w:val="left"/>
    </w:pPr>
  </w:style>
  <w:style w:type="paragraph" w:styleId="15">
    <w:name w:val="Body Text 3"/>
    <w:basedOn w:val="1"/>
    <w:link w:val="71"/>
    <w:autoRedefine/>
    <w:qFormat/>
    <w:uiPriority w:val="0"/>
    <w:rPr>
      <w:rFonts w:ascii="宋体"/>
      <w:sz w:val="24"/>
      <w:szCs w:val="20"/>
    </w:rPr>
  </w:style>
  <w:style w:type="paragraph" w:styleId="16">
    <w:name w:val="Body Text"/>
    <w:basedOn w:val="1"/>
    <w:link w:val="72"/>
    <w:autoRedefine/>
    <w:qFormat/>
    <w:uiPriority w:val="0"/>
    <w:pPr>
      <w:jc w:val="center"/>
    </w:pPr>
    <w:rPr>
      <w:b/>
      <w:bCs/>
      <w:sz w:val="44"/>
      <w:szCs w:val="20"/>
    </w:rPr>
  </w:style>
  <w:style w:type="paragraph" w:styleId="17">
    <w:name w:val="Body Text Indent"/>
    <w:basedOn w:val="1"/>
    <w:next w:val="18"/>
    <w:link w:val="73"/>
    <w:autoRedefine/>
    <w:qFormat/>
    <w:uiPriority w:val="0"/>
    <w:pPr>
      <w:spacing w:line="500" w:lineRule="exact"/>
      <w:ind w:firstLine="538"/>
    </w:pPr>
    <w:rPr>
      <w:sz w:val="28"/>
    </w:rPr>
  </w:style>
  <w:style w:type="paragraph" w:styleId="18">
    <w:name w:val="envelope return"/>
    <w:basedOn w:val="1"/>
    <w:next w:val="11"/>
    <w:autoRedefine/>
    <w:qFormat/>
    <w:uiPriority w:val="0"/>
    <w:pPr>
      <w:snapToGrid w:val="0"/>
    </w:pPr>
    <w:rPr>
      <w:rFonts w:ascii="Arial" w:hAnsi="Arial"/>
    </w:rPr>
  </w:style>
  <w:style w:type="paragraph" w:styleId="19">
    <w:name w:val="Block Text"/>
    <w:basedOn w:val="1"/>
    <w:autoRedefine/>
    <w:qFormat/>
    <w:uiPriority w:val="0"/>
    <w:pPr>
      <w:spacing w:line="400" w:lineRule="exact"/>
      <w:ind w:left="-359" w:leftChars="-171" w:right="31" w:rightChars="15" w:firstLine="980" w:firstLineChars="350"/>
    </w:pPr>
    <w:rPr>
      <w:rFonts w:ascii="宋体" w:hAnsi="宋体"/>
      <w:sz w:val="28"/>
      <w:szCs w:val="32"/>
    </w:rPr>
  </w:style>
  <w:style w:type="paragraph" w:styleId="20">
    <w:name w:val="toc 5"/>
    <w:basedOn w:val="1"/>
    <w:next w:val="1"/>
    <w:autoRedefine/>
    <w:qFormat/>
    <w:uiPriority w:val="0"/>
    <w:pPr>
      <w:ind w:left="840"/>
      <w:jc w:val="left"/>
    </w:pPr>
    <w:rPr>
      <w:sz w:val="18"/>
      <w:szCs w:val="18"/>
    </w:rPr>
  </w:style>
  <w:style w:type="paragraph" w:styleId="21">
    <w:name w:val="toc 3"/>
    <w:basedOn w:val="1"/>
    <w:next w:val="1"/>
    <w:autoRedefine/>
    <w:qFormat/>
    <w:uiPriority w:val="0"/>
    <w:pPr>
      <w:ind w:left="420"/>
      <w:jc w:val="left"/>
    </w:pPr>
    <w:rPr>
      <w:i/>
      <w:iCs/>
      <w:sz w:val="20"/>
      <w:szCs w:val="20"/>
    </w:rPr>
  </w:style>
  <w:style w:type="paragraph" w:styleId="22">
    <w:name w:val="Plain Text"/>
    <w:basedOn w:val="1"/>
    <w:next w:val="1"/>
    <w:link w:val="74"/>
    <w:autoRedefine/>
    <w:qFormat/>
    <w:uiPriority w:val="0"/>
    <w:rPr>
      <w:rFonts w:ascii="Courier New" w:hAnsi="Courier New"/>
      <w:szCs w:val="20"/>
    </w:rPr>
  </w:style>
  <w:style w:type="paragraph" w:styleId="23">
    <w:name w:val="toc 8"/>
    <w:basedOn w:val="1"/>
    <w:next w:val="1"/>
    <w:autoRedefine/>
    <w:qFormat/>
    <w:uiPriority w:val="0"/>
    <w:pPr>
      <w:ind w:left="1470"/>
      <w:jc w:val="left"/>
    </w:pPr>
    <w:rPr>
      <w:sz w:val="18"/>
      <w:szCs w:val="18"/>
    </w:rPr>
  </w:style>
  <w:style w:type="paragraph" w:styleId="24">
    <w:name w:val="Date"/>
    <w:basedOn w:val="1"/>
    <w:next w:val="1"/>
    <w:link w:val="75"/>
    <w:autoRedefine/>
    <w:qFormat/>
    <w:uiPriority w:val="0"/>
    <w:rPr>
      <w:rFonts w:ascii="仿宋_GB2312" w:eastAsia="仿宋_GB2312"/>
      <w:kern w:val="2"/>
      <w:sz w:val="30"/>
      <w:lang w:val="en-US" w:eastAsia="zh-CN" w:bidi="ar-SA"/>
    </w:rPr>
  </w:style>
  <w:style w:type="paragraph" w:styleId="25">
    <w:name w:val="Body Text Indent 2"/>
    <w:basedOn w:val="1"/>
    <w:autoRedefine/>
    <w:qFormat/>
    <w:uiPriority w:val="0"/>
    <w:pPr>
      <w:spacing w:line="360" w:lineRule="exact"/>
      <w:ind w:firstLine="600" w:firstLineChars="250"/>
      <w:jc w:val="left"/>
    </w:pPr>
    <w:rPr>
      <w:sz w:val="24"/>
    </w:rPr>
  </w:style>
  <w:style w:type="paragraph" w:styleId="26">
    <w:name w:val="Balloon Text"/>
    <w:basedOn w:val="1"/>
    <w:link w:val="76"/>
    <w:autoRedefine/>
    <w:qFormat/>
    <w:uiPriority w:val="0"/>
    <w:rPr>
      <w:sz w:val="18"/>
      <w:szCs w:val="18"/>
    </w:rPr>
  </w:style>
  <w:style w:type="paragraph" w:styleId="27">
    <w:name w:val="footer"/>
    <w:basedOn w:val="1"/>
    <w:link w:val="77"/>
    <w:autoRedefine/>
    <w:qFormat/>
    <w:uiPriority w:val="0"/>
    <w:pPr>
      <w:tabs>
        <w:tab w:val="center" w:pos="4153"/>
        <w:tab w:val="right" w:pos="8306"/>
      </w:tabs>
      <w:snapToGrid w:val="0"/>
      <w:jc w:val="left"/>
    </w:pPr>
    <w:rPr>
      <w:sz w:val="18"/>
      <w:szCs w:val="18"/>
    </w:rPr>
  </w:style>
  <w:style w:type="paragraph" w:styleId="28">
    <w:name w:val="header"/>
    <w:basedOn w:val="1"/>
    <w:link w:val="78"/>
    <w:autoRedefine/>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0"/>
    <w:pPr>
      <w:spacing w:before="120" w:after="120"/>
      <w:jc w:val="left"/>
    </w:pPr>
    <w:rPr>
      <w:b/>
      <w:bCs/>
      <w:caps/>
      <w:sz w:val="20"/>
      <w:szCs w:val="20"/>
    </w:rPr>
  </w:style>
  <w:style w:type="paragraph" w:styleId="30">
    <w:name w:val="toc 4"/>
    <w:basedOn w:val="1"/>
    <w:next w:val="1"/>
    <w:autoRedefine/>
    <w:qFormat/>
    <w:uiPriority w:val="0"/>
    <w:pPr>
      <w:ind w:left="630"/>
      <w:jc w:val="left"/>
    </w:pPr>
    <w:rPr>
      <w:sz w:val="18"/>
      <w:szCs w:val="18"/>
    </w:rPr>
  </w:style>
  <w:style w:type="paragraph" w:styleId="31">
    <w:name w:val="List"/>
    <w:basedOn w:val="1"/>
    <w:autoRedefine/>
    <w:qFormat/>
    <w:uiPriority w:val="0"/>
    <w:pPr>
      <w:ind w:left="420" w:hanging="420"/>
    </w:pPr>
    <w:rPr>
      <w:rFonts w:ascii="Arial" w:hAnsi="Arial" w:eastAsia="楷体_GB2312"/>
      <w:sz w:val="28"/>
      <w:szCs w:val="20"/>
    </w:rPr>
  </w:style>
  <w:style w:type="paragraph" w:styleId="32">
    <w:name w:val="footnote text"/>
    <w:basedOn w:val="1"/>
    <w:link w:val="79"/>
    <w:autoRedefine/>
    <w:qFormat/>
    <w:uiPriority w:val="0"/>
    <w:rPr>
      <w:sz w:val="20"/>
      <w:szCs w:val="20"/>
    </w:rPr>
  </w:style>
  <w:style w:type="paragraph" w:styleId="33">
    <w:name w:val="toc 6"/>
    <w:basedOn w:val="1"/>
    <w:next w:val="1"/>
    <w:autoRedefine/>
    <w:qFormat/>
    <w:uiPriority w:val="0"/>
    <w:pPr>
      <w:ind w:left="1050"/>
      <w:jc w:val="left"/>
    </w:pPr>
    <w:rPr>
      <w:sz w:val="18"/>
      <w:szCs w:val="18"/>
    </w:rPr>
  </w:style>
  <w:style w:type="paragraph" w:styleId="34">
    <w:name w:val="Body Text Indent 3"/>
    <w:basedOn w:val="1"/>
    <w:link w:val="80"/>
    <w:autoRedefine/>
    <w:qFormat/>
    <w:uiPriority w:val="0"/>
    <w:pPr>
      <w:spacing w:after="120"/>
      <w:ind w:left="420" w:leftChars="200"/>
    </w:pPr>
    <w:rPr>
      <w:sz w:val="16"/>
      <w:szCs w:val="16"/>
    </w:rPr>
  </w:style>
  <w:style w:type="paragraph" w:styleId="35">
    <w:name w:val="table of figures"/>
    <w:basedOn w:val="1"/>
    <w:next w:val="1"/>
    <w:autoRedefine/>
    <w:qFormat/>
    <w:uiPriority w:val="0"/>
    <w:pPr>
      <w:ind w:leftChars="200" w:hanging="200" w:hangingChars="200"/>
    </w:pPr>
  </w:style>
  <w:style w:type="paragraph" w:styleId="36">
    <w:name w:val="toc 2"/>
    <w:basedOn w:val="1"/>
    <w:next w:val="1"/>
    <w:autoRedefine/>
    <w:qFormat/>
    <w:uiPriority w:val="0"/>
    <w:pPr>
      <w:ind w:left="210"/>
      <w:jc w:val="left"/>
    </w:pPr>
    <w:rPr>
      <w:smallCaps/>
      <w:sz w:val="20"/>
      <w:szCs w:val="20"/>
    </w:rPr>
  </w:style>
  <w:style w:type="paragraph" w:styleId="37">
    <w:name w:val="toc 9"/>
    <w:basedOn w:val="1"/>
    <w:next w:val="1"/>
    <w:autoRedefine/>
    <w:qFormat/>
    <w:uiPriority w:val="0"/>
    <w:pPr>
      <w:ind w:left="1680"/>
      <w:jc w:val="left"/>
    </w:pPr>
    <w:rPr>
      <w:sz w:val="18"/>
      <w:szCs w:val="18"/>
    </w:rPr>
  </w:style>
  <w:style w:type="paragraph" w:styleId="38">
    <w:name w:val="Body Text 2"/>
    <w:basedOn w:val="1"/>
    <w:autoRedefine/>
    <w:qFormat/>
    <w:uiPriority w:val="0"/>
    <w:pPr>
      <w:spacing w:line="440" w:lineRule="exact"/>
    </w:pPr>
    <w:rPr>
      <w:sz w:val="28"/>
    </w:rPr>
  </w:style>
  <w:style w:type="paragraph" w:styleId="39">
    <w:name w:val="HTML Preformatted"/>
    <w:basedOn w:val="1"/>
    <w:link w:val="8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Calibri"/>
      <w:kern w:val="0"/>
      <w:sz w:val="24"/>
    </w:rPr>
  </w:style>
  <w:style w:type="paragraph" w:styleId="40">
    <w:name w:val="Normal (Web)"/>
    <w:basedOn w:val="1"/>
    <w:autoRedefine/>
    <w:qFormat/>
    <w:uiPriority w:val="0"/>
    <w:pPr>
      <w:widowControl/>
      <w:jc w:val="left"/>
    </w:pPr>
    <w:rPr>
      <w:rFonts w:ascii="宋体" w:hAnsi="宋体" w:cs="宋体"/>
      <w:kern w:val="0"/>
      <w:sz w:val="18"/>
      <w:szCs w:val="18"/>
    </w:rPr>
  </w:style>
  <w:style w:type="paragraph" w:styleId="41">
    <w:name w:val="Title"/>
    <w:basedOn w:val="1"/>
    <w:link w:val="82"/>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2">
    <w:name w:val="annotation subject"/>
    <w:basedOn w:val="14"/>
    <w:next w:val="14"/>
    <w:link w:val="83"/>
    <w:autoRedefine/>
    <w:qFormat/>
    <w:uiPriority w:val="0"/>
    <w:rPr>
      <w:b/>
      <w:bCs/>
    </w:rPr>
  </w:style>
  <w:style w:type="paragraph" w:styleId="43">
    <w:name w:val="Body Text First Indent 2"/>
    <w:basedOn w:val="17"/>
    <w:next w:val="1"/>
    <w:link w:val="84"/>
    <w:autoRedefine/>
    <w:qFormat/>
    <w:uiPriority w:val="0"/>
    <w:pPr>
      <w:spacing w:after="120" w:line="240" w:lineRule="auto"/>
      <w:ind w:left="420" w:leftChars="200" w:firstLine="420" w:firstLineChars="200"/>
    </w:pPr>
    <w:rPr>
      <w:sz w:val="21"/>
    </w:rPr>
  </w:style>
  <w:style w:type="character" w:styleId="46">
    <w:name w:val="Strong"/>
    <w:basedOn w:val="45"/>
    <w:autoRedefine/>
    <w:qFormat/>
    <w:uiPriority w:val="0"/>
    <w:rPr>
      <w:b/>
    </w:rPr>
  </w:style>
  <w:style w:type="character" w:styleId="47">
    <w:name w:val="page number"/>
    <w:basedOn w:val="45"/>
    <w:autoRedefine/>
    <w:qFormat/>
    <w:uiPriority w:val="0"/>
  </w:style>
  <w:style w:type="character" w:styleId="48">
    <w:name w:val="FollowedHyperlink"/>
    <w:basedOn w:val="45"/>
    <w:autoRedefine/>
    <w:unhideWhenUsed/>
    <w:qFormat/>
    <w:uiPriority w:val="0"/>
    <w:rPr>
      <w:color w:val="800080"/>
      <w:u w:val="none"/>
    </w:rPr>
  </w:style>
  <w:style w:type="character" w:styleId="49">
    <w:name w:val="Emphasis"/>
    <w:autoRedefine/>
    <w:qFormat/>
    <w:uiPriority w:val="0"/>
    <w:rPr>
      <w:color w:val="CC0033"/>
    </w:rPr>
  </w:style>
  <w:style w:type="character" w:styleId="50">
    <w:name w:val="HTML Definition"/>
    <w:autoRedefine/>
    <w:qFormat/>
    <w:uiPriority w:val="0"/>
  </w:style>
  <w:style w:type="character" w:styleId="51">
    <w:name w:val="HTML Typewriter"/>
    <w:autoRedefine/>
    <w:qFormat/>
    <w:uiPriority w:val="0"/>
    <w:rPr>
      <w:rFonts w:ascii="monospace" w:hAnsi="monospace" w:eastAsia="monospace" w:cs="monospace"/>
      <w:sz w:val="20"/>
      <w:lang w:bidi="ar-SA"/>
    </w:rPr>
  </w:style>
  <w:style w:type="character" w:styleId="52">
    <w:name w:val="HTML Acronym"/>
    <w:basedOn w:val="45"/>
    <w:autoRedefine/>
    <w:qFormat/>
    <w:uiPriority w:val="0"/>
  </w:style>
  <w:style w:type="character" w:styleId="53">
    <w:name w:val="HTML Variable"/>
    <w:autoRedefine/>
    <w:qFormat/>
    <w:uiPriority w:val="0"/>
  </w:style>
  <w:style w:type="character" w:styleId="54">
    <w:name w:val="Hyperlink"/>
    <w:basedOn w:val="45"/>
    <w:autoRedefine/>
    <w:qFormat/>
    <w:uiPriority w:val="0"/>
    <w:rPr>
      <w:color w:val="333333"/>
      <w:u w:val="none"/>
    </w:rPr>
  </w:style>
  <w:style w:type="character" w:styleId="55">
    <w:name w:val="HTML Code"/>
    <w:autoRedefine/>
    <w:qFormat/>
    <w:uiPriority w:val="0"/>
    <w:rPr>
      <w:rFonts w:ascii="monospace" w:hAnsi="monospace" w:eastAsia="monospace" w:cs="monospace"/>
      <w:sz w:val="20"/>
      <w:lang w:bidi="ar-SA"/>
    </w:rPr>
  </w:style>
  <w:style w:type="character" w:styleId="56">
    <w:name w:val="annotation reference"/>
    <w:autoRedefine/>
    <w:qFormat/>
    <w:uiPriority w:val="0"/>
    <w:rPr>
      <w:sz w:val="21"/>
      <w:szCs w:val="21"/>
    </w:rPr>
  </w:style>
  <w:style w:type="character" w:styleId="57">
    <w:name w:val="HTML Cite"/>
    <w:autoRedefine/>
    <w:qFormat/>
    <w:uiPriority w:val="0"/>
  </w:style>
  <w:style w:type="character" w:styleId="58">
    <w:name w:val="footnote reference"/>
    <w:autoRedefine/>
    <w:qFormat/>
    <w:uiPriority w:val="0"/>
    <w:rPr>
      <w:vertAlign w:val="superscript"/>
    </w:rPr>
  </w:style>
  <w:style w:type="character" w:styleId="59">
    <w:name w:val="HTML Keyboard"/>
    <w:autoRedefine/>
    <w:qFormat/>
    <w:uiPriority w:val="0"/>
    <w:rPr>
      <w:rFonts w:ascii="monospace" w:hAnsi="monospace" w:eastAsia="monospace" w:cs="monospace"/>
      <w:sz w:val="20"/>
      <w:lang w:bidi="ar-SA"/>
    </w:rPr>
  </w:style>
  <w:style w:type="character" w:styleId="60">
    <w:name w:val="HTML Sample"/>
    <w:autoRedefine/>
    <w:qFormat/>
    <w:uiPriority w:val="0"/>
    <w:rPr>
      <w:rFonts w:ascii="monospace" w:hAnsi="monospace" w:eastAsia="monospace" w:cs="monospace"/>
      <w:lang w:bidi="ar-SA"/>
    </w:rPr>
  </w:style>
  <w:style w:type="character" w:customStyle="1" w:styleId="61">
    <w:name w:val="标题 1 Char"/>
    <w:link w:val="2"/>
    <w:autoRedefine/>
    <w:qFormat/>
    <w:uiPriority w:val="0"/>
    <w:rPr>
      <w:rFonts w:ascii="Times New Roman" w:hAnsi="Times New Roman" w:eastAsia="宋体"/>
      <w:b/>
      <w:bCs/>
      <w:kern w:val="44"/>
      <w:sz w:val="24"/>
      <w:szCs w:val="44"/>
    </w:rPr>
  </w:style>
  <w:style w:type="character" w:customStyle="1" w:styleId="62">
    <w:name w:val="标题 2 Char"/>
    <w:autoRedefine/>
    <w:qFormat/>
    <w:uiPriority w:val="0"/>
    <w:rPr>
      <w:rFonts w:eastAsia="宋体"/>
      <w:sz w:val="24"/>
      <w:lang w:val="en-US" w:eastAsia="zh-CN" w:bidi="ar-SA"/>
    </w:rPr>
  </w:style>
  <w:style w:type="character" w:customStyle="1" w:styleId="63">
    <w:name w:val="标题 4 Char"/>
    <w:basedOn w:val="45"/>
    <w:link w:val="5"/>
    <w:autoRedefine/>
    <w:qFormat/>
    <w:uiPriority w:val="0"/>
    <w:rPr>
      <w:rFonts w:ascii="Arial" w:hAnsi="Arial" w:eastAsia="黑体"/>
      <w:b/>
      <w:bCs/>
      <w:kern w:val="2"/>
      <w:sz w:val="28"/>
      <w:szCs w:val="28"/>
    </w:rPr>
  </w:style>
  <w:style w:type="character" w:customStyle="1" w:styleId="64">
    <w:name w:val="标题 5 Char"/>
    <w:basedOn w:val="45"/>
    <w:link w:val="6"/>
    <w:autoRedefine/>
    <w:qFormat/>
    <w:uiPriority w:val="0"/>
    <w:rPr>
      <w:rFonts w:ascii="Calibri" w:hAnsi="Calibri"/>
      <w:b/>
      <w:bCs/>
      <w:kern w:val="2"/>
      <w:sz w:val="28"/>
      <w:szCs w:val="28"/>
    </w:rPr>
  </w:style>
  <w:style w:type="character" w:customStyle="1" w:styleId="65">
    <w:name w:val="标题 6 Char"/>
    <w:basedOn w:val="45"/>
    <w:link w:val="7"/>
    <w:autoRedefine/>
    <w:qFormat/>
    <w:uiPriority w:val="0"/>
    <w:rPr>
      <w:rFonts w:ascii="Arial" w:hAnsi="Arial" w:eastAsia="黑体"/>
      <w:b/>
      <w:bCs/>
      <w:sz w:val="24"/>
      <w:szCs w:val="24"/>
    </w:rPr>
  </w:style>
  <w:style w:type="character" w:customStyle="1" w:styleId="66">
    <w:name w:val="标题 7 Char"/>
    <w:basedOn w:val="45"/>
    <w:link w:val="8"/>
    <w:autoRedefine/>
    <w:qFormat/>
    <w:uiPriority w:val="0"/>
    <w:rPr>
      <w:b/>
      <w:bCs/>
      <w:sz w:val="24"/>
      <w:szCs w:val="24"/>
    </w:rPr>
  </w:style>
  <w:style w:type="character" w:customStyle="1" w:styleId="67">
    <w:name w:val="标题 8 Char"/>
    <w:basedOn w:val="45"/>
    <w:link w:val="9"/>
    <w:autoRedefine/>
    <w:qFormat/>
    <w:uiPriority w:val="0"/>
    <w:rPr>
      <w:rFonts w:ascii="Arial" w:hAnsi="Arial" w:eastAsia="黑体"/>
      <w:sz w:val="24"/>
      <w:szCs w:val="24"/>
    </w:rPr>
  </w:style>
  <w:style w:type="character" w:customStyle="1" w:styleId="68">
    <w:name w:val="标题 9 Char"/>
    <w:basedOn w:val="45"/>
    <w:link w:val="10"/>
    <w:autoRedefine/>
    <w:qFormat/>
    <w:uiPriority w:val="0"/>
    <w:rPr>
      <w:rFonts w:ascii="Arial" w:hAnsi="Arial" w:eastAsia="黑体"/>
      <w:sz w:val="21"/>
      <w:szCs w:val="21"/>
    </w:rPr>
  </w:style>
  <w:style w:type="character" w:customStyle="1" w:styleId="69">
    <w:name w:val="文档结构图 Char"/>
    <w:basedOn w:val="45"/>
    <w:link w:val="13"/>
    <w:autoRedefine/>
    <w:qFormat/>
    <w:uiPriority w:val="0"/>
    <w:rPr>
      <w:kern w:val="2"/>
      <w:sz w:val="21"/>
      <w:szCs w:val="24"/>
      <w:shd w:val="clear" w:color="auto" w:fill="000080"/>
    </w:rPr>
  </w:style>
  <w:style w:type="character" w:customStyle="1" w:styleId="70">
    <w:name w:val="批注文字 Char"/>
    <w:basedOn w:val="45"/>
    <w:link w:val="14"/>
    <w:autoRedefine/>
    <w:qFormat/>
    <w:uiPriority w:val="0"/>
    <w:rPr>
      <w:kern w:val="2"/>
      <w:sz w:val="21"/>
      <w:szCs w:val="24"/>
    </w:rPr>
  </w:style>
  <w:style w:type="character" w:customStyle="1" w:styleId="71">
    <w:name w:val="正文文本 3 Char"/>
    <w:basedOn w:val="45"/>
    <w:link w:val="15"/>
    <w:autoRedefine/>
    <w:qFormat/>
    <w:uiPriority w:val="0"/>
    <w:rPr>
      <w:rFonts w:ascii="宋体"/>
      <w:kern w:val="2"/>
      <w:sz w:val="24"/>
    </w:rPr>
  </w:style>
  <w:style w:type="character" w:customStyle="1" w:styleId="72">
    <w:name w:val="正文文本 Char"/>
    <w:basedOn w:val="45"/>
    <w:link w:val="16"/>
    <w:autoRedefine/>
    <w:qFormat/>
    <w:uiPriority w:val="0"/>
    <w:rPr>
      <w:b/>
      <w:bCs/>
      <w:kern w:val="2"/>
      <w:sz w:val="44"/>
    </w:rPr>
  </w:style>
  <w:style w:type="character" w:customStyle="1" w:styleId="73">
    <w:name w:val="正文文本缩进 Char"/>
    <w:basedOn w:val="45"/>
    <w:link w:val="17"/>
    <w:autoRedefine/>
    <w:qFormat/>
    <w:uiPriority w:val="0"/>
    <w:rPr>
      <w:kern w:val="2"/>
      <w:sz w:val="28"/>
      <w:szCs w:val="24"/>
    </w:rPr>
  </w:style>
  <w:style w:type="character" w:customStyle="1" w:styleId="74">
    <w:name w:val="纯文本 Char"/>
    <w:basedOn w:val="45"/>
    <w:link w:val="22"/>
    <w:autoRedefine/>
    <w:qFormat/>
    <w:uiPriority w:val="0"/>
    <w:rPr>
      <w:rFonts w:ascii="Courier New" w:hAnsi="Courier New"/>
      <w:kern w:val="2"/>
      <w:sz w:val="21"/>
    </w:rPr>
  </w:style>
  <w:style w:type="character" w:customStyle="1" w:styleId="75">
    <w:name w:val="日期 Char"/>
    <w:basedOn w:val="45"/>
    <w:link w:val="24"/>
    <w:autoRedefine/>
    <w:qFormat/>
    <w:uiPriority w:val="0"/>
    <w:rPr>
      <w:rFonts w:ascii="仿宋_GB2312" w:eastAsia="仿宋_GB2312"/>
      <w:kern w:val="2"/>
      <w:sz w:val="30"/>
      <w:lang w:val="en-US" w:eastAsia="zh-CN" w:bidi="ar-SA"/>
    </w:rPr>
  </w:style>
  <w:style w:type="character" w:customStyle="1" w:styleId="76">
    <w:name w:val="批注框文本 Char"/>
    <w:basedOn w:val="45"/>
    <w:link w:val="26"/>
    <w:autoRedefine/>
    <w:qFormat/>
    <w:uiPriority w:val="0"/>
    <w:rPr>
      <w:kern w:val="2"/>
      <w:sz w:val="18"/>
      <w:szCs w:val="18"/>
    </w:rPr>
  </w:style>
  <w:style w:type="character" w:customStyle="1" w:styleId="77">
    <w:name w:val="页脚 Char"/>
    <w:basedOn w:val="45"/>
    <w:link w:val="27"/>
    <w:autoRedefine/>
    <w:qFormat/>
    <w:uiPriority w:val="0"/>
    <w:rPr>
      <w:kern w:val="2"/>
      <w:sz w:val="18"/>
      <w:szCs w:val="18"/>
    </w:rPr>
  </w:style>
  <w:style w:type="character" w:customStyle="1" w:styleId="78">
    <w:name w:val="页眉 Char"/>
    <w:basedOn w:val="45"/>
    <w:link w:val="28"/>
    <w:autoRedefine/>
    <w:qFormat/>
    <w:uiPriority w:val="0"/>
    <w:rPr>
      <w:kern w:val="2"/>
      <w:sz w:val="18"/>
      <w:szCs w:val="18"/>
    </w:rPr>
  </w:style>
  <w:style w:type="character" w:customStyle="1" w:styleId="79">
    <w:name w:val="脚注文本 Char"/>
    <w:basedOn w:val="45"/>
    <w:link w:val="32"/>
    <w:autoRedefine/>
    <w:qFormat/>
    <w:uiPriority w:val="0"/>
    <w:rPr>
      <w:kern w:val="2"/>
    </w:rPr>
  </w:style>
  <w:style w:type="character" w:customStyle="1" w:styleId="80">
    <w:name w:val="正文文本缩进 3 Char"/>
    <w:basedOn w:val="45"/>
    <w:link w:val="34"/>
    <w:autoRedefine/>
    <w:qFormat/>
    <w:uiPriority w:val="0"/>
    <w:rPr>
      <w:kern w:val="2"/>
      <w:sz w:val="16"/>
      <w:szCs w:val="16"/>
    </w:rPr>
  </w:style>
  <w:style w:type="character" w:customStyle="1" w:styleId="81">
    <w:name w:val="HTML 预设格式 Char"/>
    <w:basedOn w:val="45"/>
    <w:link w:val="39"/>
    <w:autoRedefine/>
    <w:qFormat/>
    <w:uiPriority w:val="0"/>
    <w:rPr>
      <w:rFonts w:ascii="宋体" w:hAnsi="Calibri"/>
      <w:sz w:val="24"/>
      <w:szCs w:val="24"/>
    </w:rPr>
  </w:style>
  <w:style w:type="character" w:customStyle="1" w:styleId="82">
    <w:name w:val="标题 Char"/>
    <w:basedOn w:val="45"/>
    <w:link w:val="41"/>
    <w:autoRedefine/>
    <w:qFormat/>
    <w:uiPriority w:val="0"/>
    <w:rPr>
      <w:rFonts w:ascii="Arial" w:hAnsi="Arial"/>
      <w:b/>
      <w:sz w:val="32"/>
    </w:rPr>
  </w:style>
  <w:style w:type="character" w:customStyle="1" w:styleId="83">
    <w:name w:val="批注主题 Char"/>
    <w:basedOn w:val="70"/>
    <w:link w:val="42"/>
    <w:autoRedefine/>
    <w:qFormat/>
    <w:uiPriority w:val="0"/>
  </w:style>
  <w:style w:type="character" w:customStyle="1" w:styleId="84">
    <w:name w:val="正文首行缩进 2 Char"/>
    <w:basedOn w:val="73"/>
    <w:link w:val="43"/>
    <w:autoRedefine/>
    <w:qFormat/>
    <w:uiPriority w:val="0"/>
  </w:style>
  <w:style w:type="paragraph" w:customStyle="1" w:styleId="85">
    <w:name w:val="正文文字 8"/>
    <w:basedOn w:val="1"/>
    <w:next w:val="1"/>
    <w:autoRedefine/>
    <w:qFormat/>
    <w:uiPriority w:val="0"/>
    <w:pPr>
      <w:ind w:left="240"/>
    </w:pPr>
    <w:rPr>
      <w:sz w:val="16"/>
    </w:rPr>
  </w:style>
  <w:style w:type="paragraph" w:customStyle="1" w:styleId="86">
    <w:name w:val="Char1 Char Char Char"/>
    <w:basedOn w:val="1"/>
    <w:autoRedefine/>
    <w:qFormat/>
    <w:uiPriority w:val="0"/>
    <w:pPr>
      <w:widowControl/>
      <w:spacing w:after="160" w:line="240" w:lineRule="exact"/>
      <w:jc w:val="left"/>
    </w:pPr>
    <w:rPr>
      <w:rFonts w:ascii="Verdana" w:hAnsi="Verdana"/>
      <w:kern w:val="0"/>
      <w:sz w:val="30"/>
      <w:szCs w:val="30"/>
      <w:lang w:eastAsia="en-US"/>
    </w:rPr>
  </w:style>
  <w:style w:type="character" w:customStyle="1" w:styleId="87">
    <w:name w:val="num81"/>
    <w:basedOn w:val="45"/>
    <w:autoRedefine/>
    <w:qFormat/>
    <w:uiPriority w:val="0"/>
  </w:style>
  <w:style w:type="character" w:customStyle="1" w:styleId="88">
    <w:name w:val=" Char Char3"/>
    <w:autoRedefine/>
    <w:qFormat/>
    <w:uiPriority w:val="0"/>
    <w:rPr>
      <w:rFonts w:ascii="Arial" w:hAnsi="Arial" w:eastAsia="黑体"/>
      <w:b/>
      <w:bCs/>
      <w:kern w:val="2"/>
      <w:sz w:val="32"/>
      <w:szCs w:val="32"/>
      <w:lang w:val="en-US" w:eastAsia="zh-CN" w:bidi="ar-SA"/>
    </w:rPr>
  </w:style>
  <w:style w:type="character" w:customStyle="1" w:styleId="89">
    <w:name w:val=" Char Char1"/>
    <w:autoRedefine/>
    <w:qFormat/>
    <w:uiPriority w:val="0"/>
    <w:rPr>
      <w:rFonts w:eastAsia="宋体"/>
      <w:kern w:val="2"/>
      <w:sz w:val="21"/>
      <w:szCs w:val="24"/>
      <w:lang w:val="en-US" w:eastAsia="zh-CN" w:bidi="ar-SA"/>
    </w:rPr>
  </w:style>
  <w:style w:type="character" w:customStyle="1" w:styleId="90">
    <w:name w:val="font161"/>
    <w:autoRedefine/>
    <w:qFormat/>
    <w:uiPriority w:val="0"/>
    <w:rPr>
      <w:b/>
      <w:bCs/>
      <w:sz w:val="32"/>
      <w:szCs w:val="32"/>
    </w:rPr>
  </w:style>
  <w:style w:type="character" w:customStyle="1" w:styleId="91">
    <w:name w:val="bigfont"/>
    <w:basedOn w:val="45"/>
    <w:autoRedefine/>
    <w:qFormat/>
    <w:uiPriority w:val="0"/>
  </w:style>
  <w:style w:type="character" w:customStyle="1" w:styleId="92">
    <w:name w:val=" Char Char7"/>
    <w:autoRedefine/>
    <w:qFormat/>
    <w:uiPriority w:val="0"/>
    <w:rPr>
      <w:rFonts w:ascii="Arial" w:hAnsi="Arial" w:eastAsia="黑体"/>
      <w:b/>
      <w:bCs/>
      <w:kern w:val="2"/>
      <w:sz w:val="32"/>
      <w:szCs w:val="32"/>
      <w:lang w:val="en-US" w:eastAsia="zh-CN" w:bidi="ar-SA"/>
    </w:rPr>
  </w:style>
  <w:style w:type="character" w:customStyle="1" w:styleId="93">
    <w:name w:val="starting1"/>
    <w:autoRedefine/>
    <w:qFormat/>
    <w:uiPriority w:val="0"/>
    <w:rPr>
      <w:color w:val="339900"/>
    </w:rPr>
  </w:style>
  <w:style w:type="character" w:customStyle="1" w:styleId="94">
    <w:name w:val="l51"/>
    <w:autoRedefine/>
    <w:qFormat/>
    <w:uiPriority w:val="0"/>
    <w:rPr>
      <w:color w:val="999999"/>
    </w:rPr>
  </w:style>
  <w:style w:type="character" w:customStyle="1" w:styleId="95">
    <w:name w:val="num61"/>
    <w:basedOn w:val="45"/>
    <w:autoRedefine/>
    <w:qFormat/>
    <w:uiPriority w:val="0"/>
  </w:style>
  <w:style w:type="character" w:customStyle="1" w:styleId="96">
    <w:name w:val="l21"/>
    <w:autoRedefine/>
    <w:qFormat/>
    <w:uiPriority w:val="0"/>
    <w:rPr>
      <w:color w:val="999999"/>
    </w:rPr>
  </w:style>
  <w:style w:type="character" w:customStyle="1" w:styleId="97">
    <w:name w:val="l11"/>
    <w:autoRedefine/>
    <w:qFormat/>
    <w:uiPriority w:val="0"/>
    <w:rPr>
      <w:color w:val="999999"/>
    </w:rPr>
  </w:style>
  <w:style w:type="character" w:customStyle="1" w:styleId="98">
    <w:name w:val="job1"/>
    <w:basedOn w:val="45"/>
    <w:autoRedefine/>
    <w:qFormat/>
    <w:uiPriority w:val="0"/>
  </w:style>
  <w:style w:type="character" w:customStyle="1" w:styleId="99">
    <w:name w:val="z-窗体底端 Char"/>
    <w:basedOn w:val="45"/>
    <w:link w:val="100"/>
    <w:autoRedefine/>
    <w:qFormat/>
    <w:uiPriority w:val="0"/>
    <w:rPr>
      <w:rFonts w:ascii="Arial" w:hAnsi="Calibri"/>
      <w:vanish/>
      <w:kern w:val="2"/>
      <w:sz w:val="16"/>
      <w:szCs w:val="24"/>
    </w:rPr>
  </w:style>
  <w:style w:type="paragraph" w:customStyle="1" w:styleId="100">
    <w:name w:val="_Style 99"/>
    <w:basedOn w:val="1"/>
    <w:next w:val="1"/>
    <w:link w:val="99"/>
    <w:autoRedefine/>
    <w:qFormat/>
    <w:uiPriority w:val="0"/>
    <w:pPr>
      <w:pBdr>
        <w:top w:val="single" w:color="auto" w:sz="6" w:space="1"/>
      </w:pBdr>
      <w:jc w:val="center"/>
    </w:pPr>
    <w:rPr>
      <w:rFonts w:ascii="Arial" w:hAnsi="Calibri"/>
      <w:vanish/>
      <w:sz w:val="16"/>
    </w:rPr>
  </w:style>
  <w:style w:type="character" w:customStyle="1" w:styleId="101">
    <w:name w:val="纯文本 Char1"/>
    <w:autoRedefine/>
    <w:qFormat/>
    <w:uiPriority w:val="0"/>
    <w:rPr>
      <w:rFonts w:ascii="Courier New" w:hAnsi="Courier New" w:eastAsia="宋体"/>
      <w:kern w:val="2"/>
      <w:sz w:val="21"/>
      <w:lang w:val="en-US" w:eastAsia="zh-CN" w:bidi="ar-SA"/>
    </w:rPr>
  </w:style>
  <w:style w:type="character" w:customStyle="1" w:styleId="102">
    <w:name w:val="num71"/>
    <w:basedOn w:val="45"/>
    <w:autoRedefine/>
    <w:qFormat/>
    <w:uiPriority w:val="0"/>
  </w:style>
  <w:style w:type="character" w:customStyle="1" w:styleId="103">
    <w:name w:val="name1"/>
    <w:autoRedefine/>
    <w:qFormat/>
    <w:uiPriority w:val="0"/>
    <w:rPr>
      <w:color w:val="695435"/>
      <w:sz w:val="24"/>
      <w:szCs w:val="24"/>
    </w:rPr>
  </w:style>
  <w:style w:type="character" w:customStyle="1" w:styleId="104">
    <w:name w:val="starting"/>
    <w:autoRedefine/>
    <w:qFormat/>
    <w:uiPriority w:val="0"/>
    <w:rPr>
      <w:color w:val="339900"/>
    </w:rPr>
  </w:style>
  <w:style w:type="character" w:customStyle="1" w:styleId="105">
    <w:name w:val="num210"/>
    <w:basedOn w:val="45"/>
    <w:autoRedefine/>
    <w:qFormat/>
    <w:uiPriority w:val="0"/>
  </w:style>
  <w:style w:type="character" w:customStyle="1" w:styleId="106">
    <w:name w:val="l7"/>
    <w:autoRedefine/>
    <w:qFormat/>
    <w:uiPriority w:val="0"/>
    <w:rPr>
      <w:color w:val="999999"/>
    </w:rPr>
  </w:style>
  <w:style w:type="character" w:customStyle="1" w:styleId="107">
    <w:name w:val="Char Char7"/>
    <w:autoRedefine/>
    <w:qFormat/>
    <w:uiPriority w:val="0"/>
    <w:rPr>
      <w:rFonts w:ascii="Arial" w:hAnsi="Arial" w:eastAsia="黑体"/>
      <w:b/>
      <w:bCs/>
      <w:kern w:val="2"/>
      <w:sz w:val="32"/>
      <w:szCs w:val="32"/>
      <w:lang w:val="en-US" w:eastAsia="zh-CN" w:bidi="ar-SA"/>
    </w:rPr>
  </w:style>
  <w:style w:type="character" w:customStyle="1" w:styleId="108">
    <w:name w:val="num31"/>
    <w:basedOn w:val="45"/>
    <w:autoRedefine/>
    <w:qFormat/>
    <w:uiPriority w:val="0"/>
  </w:style>
  <w:style w:type="character" w:customStyle="1" w:styleId="109">
    <w:name w:val="txt1"/>
    <w:basedOn w:val="45"/>
    <w:autoRedefine/>
    <w:qFormat/>
    <w:uiPriority w:val="0"/>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 Char Char5"/>
    <w:autoRedefine/>
    <w:qFormat/>
    <w:uiPriority w:val="0"/>
    <w:rPr>
      <w:rFonts w:ascii="Arial" w:hAnsi="Arial" w:eastAsia="黑体"/>
      <w:b/>
      <w:bCs/>
      <w:kern w:val="2"/>
      <w:sz w:val="32"/>
      <w:szCs w:val="32"/>
    </w:rPr>
  </w:style>
  <w:style w:type="character" w:customStyle="1" w:styleId="112">
    <w:name w:val="msg-box29"/>
    <w:basedOn w:val="45"/>
    <w:autoRedefine/>
    <w:qFormat/>
    <w:uiPriority w:val="0"/>
  </w:style>
  <w:style w:type="character" w:customStyle="1" w:styleId="113">
    <w:name w:val="标题 2 Char1"/>
    <w:autoRedefine/>
    <w:qFormat/>
    <w:uiPriority w:val="0"/>
    <w:rPr>
      <w:rFonts w:ascii="Arial" w:hAnsi="Arial" w:eastAsia="黑体"/>
      <w:b/>
      <w:bCs/>
      <w:kern w:val="2"/>
      <w:sz w:val="32"/>
      <w:szCs w:val="32"/>
      <w:lang w:val="en-US" w:eastAsia="zh-CN" w:bidi="ar-SA"/>
    </w:rPr>
  </w:style>
  <w:style w:type="character" w:customStyle="1" w:styleId="114">
    <w:name w:val="c1"/>
    <w:basedOn w:val="45"/>
    <w:autoRedefine/>
    <w:qFormat/>
    <w:uiPriority w:val="0"/>
  </w:style>
  <w:style w:type="character" w:customStyle="1" w:styleId="115">
    <w:name w:val="txt"/>
    <w:autoRedefine/>
    <w:qFormat/>
    <w:uiPriority w:val="0"/>
    <w:rPr>
      <w:color w:val="C0C0C0"/>
    </w:rPr>
  </w:style>
  <w:style w:type="character" w:customStyle="1" w:styleId="116">
    <w:name w:val="c2"/>
    <w:basedOn w:val="45"/>
    <w:autoRedefine/>
    <w:qFormat/>
    <w:uiPriority w:val="0"/>
  </w:style>
  <w:style w:type="character" w:customStyle="1" w:styleId="117">
    <w:name w:val="16"/>
    <w:autoRedefine/>
    <w:qFormat/>
    <w:uiPriority w:val="0"/>
    <w:rPr>
      <w:rFonts w:ascii="仿宋_GB2312" w:eastAsia="仿宋_GB2312"/>
      <w:color w:val="auto"/>
      <w:sz w:val="28"/>
      <w:szCs w:val="28"/>
    </w:rPr>
  </w:style>
  <w:style w:type="character" w:customStyle="1" w:styleId="118">
    <w:name w:val="over3"/>
    <w:basedOn w:val="45"/>
    <w:autoRedefine/>
    <w:qFormat/>
    <w:uiPriority w:val="0"/>
  </w:style>
  <w:style w:type="character" w:customStyle="1" w:styleId="119">
    <w:name w:val="nostart"/>
    <w:autoRedefine/>
    <w:qFormat/>
    <w:uiPriority w:val="0"/>
    <w:rPr>
      <w:color w:val="FF0000"/>
    </w:rPr>
  </w:style>
  <w:style w:type="character" w:customStyle="1" w:styleId="120">
    <w:name w:val="name"/>
    <w:autoRedefine/>
    <w:qFormat/>
    <w:uiPriority w:val="0"/>
    <w:rPr>
      <w:color w:val="444444"/>
      <w:sz w:val="21"/>
      <w:szCs w:val="21"/>
    </w:rPr>
  </w:style>
  <w:style w:type="character" w:customStyle="1" w:styleId="121">
    <w:name w:val="tit12"/>
    <w:autoRedefine/>
    <w:qFormat/>
    <w:uiPriority w:val="0"/>
    <w:rPr>
      <w:color w:val="04A06C"/>
    </w:rPr>
  </w:style>
  <w:style w:type="character" w:customStyle="1" w:styleId="122">
    <w:name w:val="标题 2 Char2"/>
    <w:autoRedefine/>
    <w:qFormat/>
    <w:uiPriority w:val="0"/>
    <w:rPr>
      <w:rFonts w:eastAsia="宋体"/>
      <w:sz w:val="24"/>
      <w:lang w:val="en-US" w:eastAsia="zh-CN" w:bidi="ar-SA"/>
    </w:rPr>
  </w:style>
  <w:style w:type="character" w:customStyle="1" w:styleId="123">
    <w:name w:val="name2"/>
    <w:autoRedefine/>
    <w:qFormat/>
    <w:uiPriority w:val="0"/>
    <w:rPr>
      <w:color w:val="000000"/>
      <w:sz w:val="39"/>
      <w:szCs w:val="39"/>
    </w:rPr>
  </w:style>
  <w:style w:type="character" w:customStyle="1" w:styleId="124">
    <w:name w:val="job"/>
    <w:basedOn w:val="45"/>
    <w:autoRedefine/>
    <w:qFormat/>
    <w:uiPriority w:val="0"/>
  </w:style>
  <w:style w:type="character" w:customStyle="1" w:styleId="125">
    <w:name w:val="tit14"/>
    <w:autoRedefine/>
    <w:qFormat/>
    <w:uiPriority w:val="0"/>
    <w:rPr>
      <w:color w:val="B60000"/>
    </w:rPr>
  </w:style>
  <w:style w:type="character" w:customStyle="1" w:styleId="126">
    <w:name w:val="buvis"/>
    <w:autoRedefine/>
    <w:qFormat/>
    <w:uiPriority w:val="0"/>
    <w:rPr>
      <w:color w:val="999999"/>
    </w:rPr>
  </w:style>
  <w:style w:type="character" w:customStyle="1" w:styleId="127">
    <w:name w:val="textcontents"/>
    <w:basedOn w:val="45"/>
    <w:autoRedefine/>
    <w:qFormat/>
    <w:uiPriority w:val="0"/>
  </w:style>
  <w:style w:type="character" w:customStyle="1" w:styleId="128">
    <w:name w:val="over1"/>
    <w:autoRedefine/>
    <w:qFormat/>
    <w:uiPriority w:val="0"/>
    <w:rPr>
      <w:color w:val="B60000"/>
    </w:rPr>
  </w:style>
  <w:style w:type="character" w:customStyle="1" w:styleId="129">
    <w:name w:val="tit13"/>
    <w:autoRedefine/>
    <w:qFormat/>
    <w:uiPriority w:val="0"/>
    <w:rPr>
      <w:color w:val="FFFFFF"/>
    </w:rPr>
  </w:style>
  <w:style w:type="character" w:customStyle="1" w:styleId="130">
    <w:name w:val="nostart2"/>
    <w:autoRedefine/>
    <w:qFormat/>
    <w:uiPriority w:val="0"/>
    <w:rPr>
      <w:color w:val="B60000"/>
    </w:rPr>
  </w:style>
  <w:style w:type="character" w:customStyle="1" w:styleId="131">
    <w:name w:val="标题 2 Char Char"/>
    <w:autoRedefine/>
    <w:qFormat/>
    <w:locked/>
    <w:uiPriority w:val="0"/>
    <w:rPr>
      <w:rFonts w:ascii="Arial" w:hAnsi="Arial" w:eastAsia="黑体"/>
      <w:b/>
      <w:bCs/>
      <w:kern w:val="2"/>
      <w:sz w:val="32"/>
      <w:szCs w:val="32"/>
      <w:lang w:val="en-US" w:eastAsia="zh-CN" w:bidi="ar-SA"/>
    </w:rPr>
  </w:style>
  <w:style w:type="character" w:customStyle="1" w:styleId="132">
    <w:name w:val="unit"/>
    <w:autoRedefine/>
    <w:qFormat/>
    <w:uiPriority w:val="0"/>
    <w:rPr>
      <w:color w:val="999999"/>
    </w:rPr>
  </w:style>
  <w:style w:type="character" w:customStyle="1" w:styleId="133">
    <w:name w:val="l3"/>
    <w:autoRedefine/>
    <w:qFormat/>
    <w:uiPriority w:val="0"/>
    <w:rPr>
      <w:color w:val="999999"/>
    </w:rPr>
  </w:style>
  <w:style w:type="character" w:customStyle="1" w:styleId="134">
    <w:name w:val="z-窗体顶端 Char"/>
    <w:basedOn w:val="45"/>
    <w:link w:val="135"/>
    <w:autoRedefine/>
    <w:qFormat/>
    <w:uiPriority w:val="0"/>
    <w:rPr>
      <w:rFonts w:ascii="Arial" w:hAnsi="Calibri"/>
      <w:vanish/>
      <w:kern w:val="2"/>
      <w:sz w:val="16"/>
      <w:szCs w:val="24"/>
    </w:rPr>
  </w:style>
  <w:style w:type="paragraph" w:customStyle="1" w:styleId="135">
    <w:name w:val="_Style 134"/>
    <w:basedOn w:val="1"/>
    <w:next w:val="1"/>
    <w:link w:val="134"/>
    <w:autoRedefine/>
    <w:qFormat/>
    <w:uiPriority w:val="0"/>
    <w:pPr>
      <w:pBdr>
        <w:bottom w:val="single" w:color="auto" w:sz="6" w:space="1"/>
      </w:pBdr>
      <w:jc w:val="center"/>
    </w:pPr>
    <w:rPr>
      <w:rFonts w:ascii="Arial" w:hAnsi="Calibri"/>
      <w:vanish/>
      <w:sz w:val="16"/>
    </w:rPr>
  </w:style>
  <w:style w:type="character" w:customStyle="1" w:styleId="136">
    <w:name w:val="p05"/>
    <w:basedOn w:val="45"/>
    <w:autoRedefine/>
    <w:qFormat/>
    <w:uiPriority w:val="0"/>
  </w:style>
  <w:style w:type="character" w:customStyle="1" w:styleId="137">
    <w:name w:val="l41"/>
    <w:autoRedefine/>
    <w:qFormat/>
    <w:uiPriority w:val="0"/>
    <w:rPr>
      <w:color w:val="999999"/>
    </w:rPr>
  </w:style>
  <w:style w:type="character" w:customStyle="1" w:styleId="138">
    <w:name w:val="font31"/>
    <w:basedOn w:val="45"/>
    <w:autoRedefine/>
    <w:qFormat/>
    <w:uiPriority w:val="0"/>
    <w:rPr>
      <w:rFonts w:hint="eastAsia" w:ascii="仿宋_GB2312" w:eastAsia="仿宋_GB2312" w:cs="仿宋_GB2312"/>
      <w:color w:val="000000"/>
      <w:sz w:val="28"/>
      <w:szCs w:val="28"/>
      <w:u w:val="single"/>
    </w:rPr>
  </w:style>
  <w:style w:type="character" w:customStyle="1" w:styleId="139">
    <w:name w:val="zs"/>
    <w:autoRedefine/>
    <w:qFormat/>
    <w:uiPriority w:val="0"/>
    <w:rPr>
      <w:color w:val="8D744B"/>
      <w:sz w:val="18"/>
      <w:szCs w:val="18"/>
    </w:rPr>
  </w:style>
  <w:style w:type="character" w:customStyle="1" w:styleId="140">
    <w:name w:val="starting2"/>
    <w:autoRedefine/>
    <w:qFormat/>
    <w:uiPriority w:val="0"/>
    <w:rPr>
      <w:color w:val="B60000"/>
    </w:rPr>
  </w:style>
  <w:style w:type="character" w:customStyle="1" w:styleId="141">
    <w:name w:val="标题 1 Char Char"/>
    <w:autoRedefine/>
    <w:qFormat/>
    <w:locked/>
    <w:uiPriority w:val="0"/>
    <w:rPr>
      <w:rFonts w:eastAsia="宋体"/>
      <w:b/>
      <w:bCs/>
      <w:kern w:val="44"/>
      <w:sz w:val="44"/>
      <w:szCs w:val="44"/>
      <w:lang w:val="en-US" w:eastAsia="zh-CN" w:bidi="ar-SA"/>
    </w:rPr>
  </w:style>
  <w:style w:type="character" w:customStyle="1" w:styleId="142">
    <w:name w:val=" Char Char2"/>
    <w:autoRedefine/>
    <w:qFormat/>
    <w:uiPriority w:val="0"/>
    <w:rPr>
      <w:rFonts w:eastAsia="宋体"/>
      <w:kern w:val="2"/>
      <w:sz w:val="21"/>
      <w:szCs w:val="24"/>
      <w:lang w:val="en-US" w:eastAsia="zh-CN" w:bidi="ar-SA"/>
    </w:rPr>
  </w:style>
  <w:style w:type="character" w:customStyle="1" w:styleId="143">
    <w:name w:val="msg-box28"/>
    <w:basedOn w:val="45"/>
    <w:autoRedefine/>
    <w:qFormat/>
    <w:uiPriority w:val="0"/>
  </w:style>
  <w:style w:type="character" w:customStyle="1" w:styleId="144">
    <w:name w:val="img_title7"/>
    <w:autoRedefine/>
    <w:qFormat/>
    <w:uiPriority w:val="0"/>
    <w:rPr>
      <w:vanish/>
    </w:rPr>
  </w:style>
  <w:style w:type="character" w:customStyle="1" w:styleId="145">
    <w:name w:val="c3"/>
    <w:basedOn w:val="45"/>
    <w:autoRedefine/>
    <w:qFormat/>
    <w:uiPriority w:val="0"/>
  </w:style>
  <w:style w:type="character" w:customStyle="1" w:styleId="146">
    <w:name w:val="zw"/>
    <w:autoRedefine/>
    <w:qFormat/>
    <w:uiPriority w:val="0"/>
    <w:rPr>
      <w:color w:val="BD1E22"/>
      <w:sz w:val="22"/>
      <w:szCs w:val="22"/>
    </w:rPr>
  </w:style>
  <w:style w:type="character" w:customStyle="1" w:styleId="147">
    <w:name w:val="Char Char8"/>
    <w:autoRedefine/>
    <w:qFormat/>
    <w:uiPriority w:val="0"/>
    <w:rPr>
      <w:rFonts w:ascii="Arial" w:hAnsi="Arial" w:eastAsia="黑体"/>
      <w:b/>
      <w:bCs/>
      <w:kern w:val="2"/>
      <w:sz w:val="32"/>
      <w:szCs w:val="32"/>
      <w:lang w:val="en-US" w:eastAsia="zh-CN" w:bidi="ar-SA"/>
    </w:rPr>
  </w:style>
  <w:style w:type="character" w:customStyle="1" w:styleId="148">
    <w:name w:val="datetime"/>
    <w:autoRedefine/>
    <w:qFormat/>
    <w:uiPriority w:val="0"/>
    <w:rPr>
      <w:rFonts w:ascii="Arial" w:hAnsi="Arial" w:cs="Arial"/>
      <w:color w:val="999999"/>
      <w:sz w:val="21"/>
      <w:szCs w:val="21"/>
      <w:lang w:bidi="ar-SA"/>
    </w:rPr>
  </w:style>
  <w:style w:type="character" w:customStyle="1" w:styleId="149">
    <w:name w:val="starting4"/>
    <w:basedOn w:val="45"/>
    <w:autoRedefine/>
    <w:qFormat/>
    <w:uiPriority w:val="0"/>
  </w:style>
  <w:style w:type="character" w:customStyle="1" w:styleId="150">
    <w:name w:val="bsharetext"/>
    <w:basedOn w:val="45"/>
    <w:autoRedefine/>
    <w:qFormat/>
    <w:uiPriority w:val="0"/>
  </w:style>
  <w:style w:type="character" w:customStyle="1" w:styleId="151">
    <w:name w:val="l6"/>
    <w:autoRedefine/>
    <w:qFormat/>
    <w:uiPriority w:val="0"/>
    <w:rPr>
      <w:color w:val="999999"/>
    </w:rPr>
  </w:style>
  <w:style w:type="character" w:customStyle="1" w:styleId="152">
    <w:name w:val="img4"/>
    <w:basedOn w:val="45"/>
    <w:autoRedefine/>
    <w:qFormat/>
    <w:uiPriority w:val="0"/>
  </w:style>
  <w:style w:type="character" w:customStyle="1" w:styleId="153">
    <w:name w:val="msg-box31"/>
    <w:basedOn w:val="45"/>
    <w:autoRedefine/>
    <w:qFormat/>
    <w:uiPriority w:val="0"/>
  </w:style>
  <w:style w:type="character" w:customStyle="1" w:styleId="154">
    <w:name w:val="17"/>
    <w:autoRedefine/>
    <w:qFormat/>
    <w:uiPriority w:val="0"/>
    <w:rPr>
      <w:rFonts w:ascii="仿宋_GB2312" w:eastAsia="仿宋_GB2312"/>
      <w:color w:val="auto"/>
      <w:sz w:val="28"/>
      <w:szCs w:val="28"/>
      <w:u w:val="single"/>
    </w:rPr>
  </w:style>
  <w:style w:type="character" w:customStyle="1" w:styleId="155">
    <w:name w:val="tit15"/>
    <w:autoRedefine/>
    <w:qFormat/>
    <w:uiPriority w:val="0"/>
    <w:rPr>
      <w:b/>
      <w:color w:val="B60000"/>
    </w:rPr>
  </w:style>
  <w:style w:type="character" w:customStyle="1" w:styleId="156">
    <w:name w:val="nostart3"/>
    <w:basedOn w:val="45"/>
    <w:autoRedefine/>
    <w:qFormat/>
    <w:uiPriority w:val="0"/>
  </w:style>
  <w:style w:type="character" w:customStyle="1" w:styleId="157">
    <w:name w:val="red"/>
    <w:autoRedefine/>
    <w:qFormat/>
    <w:uiPriority w:val="0"/>
    <w:rPr>
      <w:rFonts w:ascii="Arial" w:hAnsi="Arial" w:cs="Arial"/>
      <w:color w:val="E50000"/>
      <w:lang w:bidi="ar-SA"/>
    </w:rPr>
  </w:style>
  <w:style w:type="character" w:customStyle="1" w:styleId="158">
    <w:name w:val="over2"/>
    <w:autoRedefine/>
    <w:qFormat/>
    <w:uiPriority w:val="0"/>
    <w:rPr>
      <w:color w:val="999999"/>
    </w:rPr>
  </w:style>
  <w:style w:type="character" w:customStyle="1" w:styleId="159">
    <w:name w:val=" Char Char4"/>
    <w:autoRedefine/>
    <w:qFormat/>
    <w:uiPriority w:val="0"/>
    <w:rPr>
      <w:rFonts w:eastAsia="宋体"/>
      <w:b/>
      <w:bCs/>
      <w:kern w:val="44"/>
      <w:sz w:val="44"/>
      <w:szCs w:val="44"/>
      <w:lang w:val="en-US" w:eastAsia="zh-CN" w:bidi="ar-SA"/>
    </w:rPr>
  </w:style>
  <w:style w:type="character" w:customStyle="1" w:styleId="160">
    <w:name w:val="over"/>
    <w:autoRedefine/>
    <w:qFormat/>
    <w:uiPriority w:val="0"/>
    <w:rPr>
      <w:color w:val="B60000"/>
    </w:rPr>
  </w:style>
  <w:style w:type="character" w:customStyle="1" w:styleId="161">
    <w:name w:val="num41"/>
    <w:basedOn w:val="45"/>
    <w:autoRedefine/>
    <w:qFormat/>
    <w:uiPriority w:val="0"/>
  </w:style>
  <w:style w:type="character" w:customStyle="1" w:styleId="162">
    <w:name w:val="num51"/>
    <w:basedOn w:val="45"/>
    <w:autoRedefine/>
    <w:qFormat/>
    <w:uiPriority w:val="0"/>
  </w:style>
  <w:style w:type="character" w:customStyle="1" w:styleId="163">
    <w:name w:val="img_title6"/>
    <w:autoRedefine/>
    <w:qFormat/>
    <w:uiPriority w:val="0"/>
    <w:rPr>
      <w:vanish/>
    </w:rPr>
  </w:style>
  <w:style w:type="character" w:customStyle="1" w:styleId="164">
    <w:name w:val="font01"/>
    <w:basedOn w:val="45"/>
    <w:autoRedefine/>
    <w:qFormat/>
    <w:uiPriority w:val="0"/>
    <w:rPr>
      <w:rFonts w:hint="eastAsia" w:ascii="仿宋_GB2312" w:eastAsia="仿宋_GB2312" w:cs="仿宋_GB2312"/>
      <w:color w:val="000000"/>
      <w:sz w:val="28"/>
      <w:szCs w:val="28"/>
      <w:u w:val="none"/>
    </w:rPr>
  </w:style>
  <w:style w:type="character" w:customStyle="1" w:styleId="165">
    <w:name w:val=" Char Char"/>
    <w:autoRedefine/>
    <w:qFormat/>
    <w:uiPriority w:val="0"/>
    <w:rPr>
      <w:rFonts w:ascii="Arial" w:hAnsi="Arial" w:eastAsia="黑体"/>
      <w:b/>
      <w:bCs/>
      <w:kern w:val="2"/>
      <w:sz w:val="32"/>
      <w:szCs w:val="32"/>
      <w:lang w:val="en-US" w:eastAsia="zh-CN" w:bidi="ar-SA"/>
    </w:rPr>
  </w:style>
  <w:style w:type="character" w:customStyle="1" w:styleId="166">
    <w:name w:val="msg-box30"/>
    <w:basedOn w:val="45"/>
    <w:autoRedefine/>
    <w:qFormat/>
    <w:uiPriority w:val="0"/>
  </w:style>
  <w:style w:type="character" w:customStyle="1" w:styleId="167">
    <w:name w:val="buvis1"/>
    <w:autoRedefine/>
    <w:qFormat/>
    <w:uiPriority w:val="0"/>
    <w:rPr>
      <w:color w:val="CC0000"/>
    </w:rPr>
  </w:style>
  <w:style w:type="character" w:customStyle="1" w:styleId="168">
    <w:name w:val="tit10"/>
    <w:autoRedefine/>
    <w:qFormat/>
    <w:uiPriority w:val="0"/>
    <w:rPr>
      <w:color w:val="B60000"/>
    </w:rPr>
  </w:style>
  <w:style w:type="character" w:customStyle="1" w:styleId="169">
    <w:name w:val=" Char Char8"/>
    <w:autoRedefine/>
    <w:qFormat/>
    <w:uiPriority w:val="0"/>
    <w:rPr>
      <w:rFonts w:ascii="Arial" w:hAnsi="Arial" w:eastAsia="黑体"/>
      <w:b/>
      <w:bCs/>
      <w:kern w:val="2"/>
      <w:sz w:val="32"/>
      <w:szCs w:val="32"/>
      <w:lang w:val="en-US" w:eastAsia="zh-CN" w:bidi="ar-SA"/>
    </w:rPr>
  </w:style>
  <w:style w:type="character" w:customStyle="1" w:styleId="170">
    <w:name w:val="jg"/>
    <w:basedOn w:val="45"/>
    <w:autoRedefine/>
    <w:qFormat/>
    <w:uiPriority w:val="0"/>
  </w:style>
  <w:style w:type="character" w:customStyle="1" w:styleId="171">
    <w:name w:val="mesg-myd"/>
    <w:autoRedefine/>
    <w:qFormat/>
    <w:uiPriority w:val="0"/>
    <w:rPr>
      <w:color w:val="EE0000"/>
    </w:rPr>
  </w:style>
  <w:style w:type="character" w:customStyle="1" w:styleId="172">
    <w:name w:val="img_title9"/>
    <w:autoRedefine/>
    <w:qFormat/>
    <w:uiPriority w:val="0"/>
    <w:rPr>
      <w:vanish/>
    </w:rPr>
  </w:style>
  <w:style w:type="character" w:customStyle="1" w:styleId="173">
    <w:name w:val="nostart1"/>
    <w:autoRedefine/>
    <w:qFormat/>
    <w:uiPriority w:val="0"/>
    <w:rPr>
      <w:color w:val="FF0000"/>
    </w:rPr>
  </w:style>
  <w:style w:type="character" w:customStyle="1" w:styleId="174">
    <w:name w:val="tit11"/>
    <w:autoRedefine/>
    <w:qFormat/>
    <w:uiPriority w:val="0"/>
    <w:rPr>
      <w:color w:val="B60000"/>
    </w:rPr>
  </w:style>
  <w:style w:type="character" w:customStyle="1" w:styleId="175">
    <w:name w:val="starting3"/>
    <w:basedOn w:val="45"/>
    <w:autoRedefine/>
    <w:qFormat/>
    <w:uiPriority w:val="0"/>
  </w:style>
  <w:style w:type="character" w:customStyle="1" w:styleId="176">
    <w:name w:val="tit9"/>
    <w:autoRedefine/>
    <w:qFormat/>
    <w:uiPriority w:val="0"/>
    <w:rPr>
      <w:color w:val="B60000"/>
      <w:sz w:val="27"/>
      <w:szCs w:val="27"/>
      <w:bdr w:val="single" w:color="DFCEB8" w:sz="6" w:space="0"/>
      <w:shd w:val="clear" w:color="auto" w:fill="FFFFFF"/>
    </w:rPr>
  </w:style>
  <w:style w:type="character" w:customStyle="1" w:styleId="177">
    <w:name w:val="img_title8"/>
    <w:autoRedefine/>
    <w:qFormat/>
    <w:uiPriority w:val="0"/>
    <w:rPr>
      <w:vanish/>
    </w:rPr>
  </w:style>
  <w:style w:type="character" w:customStyle="1" w:styleId="178">
    <w:name w:val=" Char Char Char"/>
    <w:autoRedefine/>
    <w:qFormat/>
    <w:uiPriority w:val="0"/>
    <w:rPr>
      <w:rFonts w:eastAsia="宋体"/>
      <w:b/>
      <w:bCs/>
      <w:kern w:val="44"/>
      <w:sz w:val="44"/>
      <w:szCs w:val="44"/>
      <w:lang w:val="en-US" w:eastAsia="zh-CN" w:bidi="ar-SA"/>
    </w:rPr>
  </w:style>
  <w:style w:type="paragraph" w:customStyle="1" w:styleId="179">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
    <w:name w:val="WPSOffice手动目录 1"/>
    <w:autoRedefine/>
    <w:qFormat/>
    <w:uiPriority w:val="0"/>
    <w:rPr>
      <w:rFonts w:ascii="Times New Roman" w:hAnsi="Times New Roman" w:eastAsia="宋体" w:cs="Times New Roman"/>
      <w:lang w:val="en-US" w:eastAsia="zh-CN" w:bidi="ar-SA"/>
    </w:rPr>
  </w:style>
  <w:style w:type="paragraph" w:customStyle="1" w:styleId="181">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82">
    <w:name w:val="列出段落1"/>
    <w:basedOn w:val="1"/>
    <w:autoRedefine/>
    <w:qFormat/>
    <w:uiPriority w:val="0"/>
    <w:pPr>
      <w:ind w:firstLine="200" w:firstLineChars="200"/>
    </w:pPr>
    <w:rPr>
      <w:rFonts w:ascii="Calibri" w:hAnsi="Calibri"/>
    </w:rPr>
  </w:style>
  <w:style w:type="paragraph" w:customStyle="1" w:styleId="183">
    <w:name w:val="Table Paragraph"/>
    <w:basedOn w:val="1"/>
    <w:autoRedefine/>
    <w:qFormat/>
    <w:uiPriority w:val="1"/>
    <w:rPr>
      <w:rFonts w:ascii="宋体" w:hAnsi="宋体" w:cs="宋体"/>
      <w:lang w:val="zh-CN" w:bidi="zh-CN"/>
    </w:rPr>
  </w:style>
  <w:style w:type="paragraph" w:customStyle="1" w:styleId="184">
    <w:name w:val="样式4"/>
    <w:basedOn w:val="4"/>
    <w:autoRedefine/>
    <w:qFormat/>
    <w:uiPriority w:val="0"/>
    <w:pPr>
      <w:spacing w:line="415" w:lineRule="auto"/>
    </w:pPr>
    <w:rPr>
      <w:rFonts w:eastAsia="Arial"/>
    </w:rPr>
  </w:style>
  <w:style w:type="paragraph" w:customStyle="1" w:styleId="185">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186">
    <w:name w:val="Char4"/>
    <w:basedOn w:val="1"/>
    <w:autoRedefine/>
    <w:qFormat/>
    <w:uiPriority w:val="0"/>
    <w:pPr>
      <w:widowControl/>
      <w:spacing w:line="360" w:lineRule="auto"/>
      <w:ind w:firstLine="200" w:firstLineChars="200"/>
      <w:textAlignment w:val="baseline"/>
    </w:pPr>
    <w:rPr>
      <w:rFonts w:ascii="Calibri" w:hAnsi="Calibri"/>
      <w:color w:val="000000"/>
      <w:kern w:val="0"/>
      <w:szCs w:val="20"/>
      <w:u w:val="none" w:color="000000"/>
    </w:rPr>
  </w:style>
  <w:style w:type="paragraph" w:customStyle="1" w:styleId="18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8">
    <w:name w:val="样式1"/>
    <w:basedOn w:val="4"/>
    <w:autoRedefine/>
    <w:qFormat/>
    <w:uiPriority w:val="0"/>
    <w:pPr>
      <w:spacing w:line="415" w:lineRule="auto"/>
    </w:pPr>
    <w:rPr>
      <w:rFonts w:eastAsia="Arial"/>
    </w:rPr>
  </w:style>
  <w:style w:type="paragraph" w:customStyle="1" w:styleId="189">
    <w:name w:val=" Char Char Char Char Char Char Char Char Char Char Char Char Char"/>
    <w:basedOn w:val="1"/>
    <w:autoRedefine/>
    <w:qFormat/>
    <w:uiPriority w:val="0"/>
    <w:rPr>
      <w:rFonts w:ascii="Calibri" w:hAnsi="Calibri"/>
    </w:rPr>
  </w:style>
  <w:style w:type="paragraph" w:customStyle="1" w:styleId="190">
    <w:name w:val="表格文字"/>
    <w:basedOn w:val="1"/>
    <w:autoRedefine/>
    <w:qFormat/>
    <w:uiPriority w:val="0"/>
    <w:pPr>
      <w:adjustRightInd w:val="0"/>
      <w:spacing w:line="420" w:lineRule="atLeast"/>
      <w:jc w:val="left"/>
      <w:textAlignment w:val="baseline"/>
    </w:pPr>
    <w:rPr>
      <w:kern w:val="0"/>
      <w:szCs w:val="20"/>
    </w:rPr>
  </w:style>
  <w:style w:type="paragraph" w:customStyle="1" w:styleId="191">
    <w:name w:val=" Char Char Char Char"/>
    <w:basedOn w:val="1"/>
    <w:autoRedefine/>
    <w:qFormat/>
    <w:uiPriority w:val="0"/>
    <w:rPr>
      <w:rFonts w:ascii="Tahoma" w:hAnsi="Tahoma"/>
      <w:sz w:val="24"/>
      <w:szCs w:val="20"/>
    </w:rPr>
  </w:style>
  <w:style w:type="paragraph" w:customStyle="1" w:styleId="192">
    <w:name w:val="p15"/>
    <w:autoRedefine/>
    <w:qFormat/>
    <w:uiPriority w:val="0"/>
    <w:pPr>
      <w:jc w:val="both"/>
    </w:pPr>
    <w:rPr>
      <w:rFonts w:ascii="宋体" w:hAnsi="Times New Roman" w:eastAsia="宋体" w:cs="宋体"/>
      <w:sz w:val="21"/>
      <w:szCs w:val="21"/>
      <w:lang w:val="en-US" w:eastAsia="zh-CN" w:bidi="ar-SA"/>
    </w:rPr>
  </w:style>
  <w:style w:type="paragraph" w:customStyle="1" w:styleId="193">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194">
    <w:name w:val="默认段落字体 Para Char Char Char Char"/>
    <w:basedOn w:val="1"/>
    <w:autoRedefine/>
    <w:qFormat/>
    <w:uiPriority w:val="0"/>
  </w:style>
  <w:style w:type="paragraph" w:customStyle="1" w:styleId="195">
    <w:name w:val=" Char1 Char Char Char Char Char Char Char Char Char Char Char Char1 Char Char Char Char Char1 Char Char Char Char Char Char Char Char Char1 Char"/>
    <w:basedOn w:val="1"/>
    <w:autoRedefine/>
    <w:qFormat/>
    <w:uiPriority w:val="0"/>
    <w:pPr>
      <w:widowControl/>
      <w:spacing w:after="160" w:line="240" w:lineRule="exact"/>
      <w:ind w:firstLine="560" w:firstLineChars="200"/>
      <w:jc w:val="left"/>
    </w:pPr>
    <w:rPr>
      <w:rFonts w:ascii="宋体" w:hAnsi="宋体"/>
      <w:kern w:val="0"/>
      <w:sz w:val="28"/>
      <w:szCs w:val="28"/>
      <w:lang w:eastAsia="en-US"/>
    </w:rPr>
  </w:style>
  <w:style w:type="paragraph" w:customStyle="1" w:styleId="196">
    <w:name w:val="Normal"/>
    <w:autoRedefine/>
    <w:qFormat/>
    <w:uiPriority w:val="0"/>
    <w:pPr>
      <w:widowControl w:val="0"/>
      <w:jc w:val="both"/>
    </w:pPr>
    <w:rPr>
      <w:rFonts w:ascii="Times New Roman" w:hAnsi="Times New Roman" w:eastAsia="宋体" w:cs="Times New Roman"/>
      <w:lang w:val="en-US" w:eastAsia="zh-CN" w:bidi="ar-SA"/>
    </w:rPr>
  </w:style>
  <w:style w:type="paragraph" w:customStyle="1" w:styleId="197">
    <w:name w:val="p"/>
    <w:basedOn w:val="1"/>
    <w:autoRedefine/>
    <w:qFormat/>
    <w:uiPriority w:val="0"/>
    <w:rPr>
      <w:rFonts w:ascii="宋体"/>
      <w:sz w:val="24"/>
    </w:rPr>
  </w:style>
  <w:style w:type="paragraph" w:customStyle="1" w:styleId="198">
    <w:name w:val="1"/>
    <w:basedOn w:val="1"/>
    <w:next w:val="1"/>
    <w:autoRedefine/>
    <w:qFormat/>
    <w:uiPriority w:val="0"/>
  </w:style>
  <w:style w:type="paragraph" w:customStyle="1" w:styleId="199">
    <w:name w:val="p0 New"/>
    <w:basedOn w:val="1"/>
    <w:autoRedefine/>
    <w:qFormat/>
    <w:uiPriority w:val="0"/>
    <w:pPr>
      <w:widowControl/>
      <w:jc w:val="left"/>
    </w:pPr>
    <w:rPr>
      <w:rFonts w:ascii="宋体" w:hAnsi="Calibri" w:cs="宋体"/>
      <w:kern w:val="0"/>
      <w:sz w:val="18"/>
      <w:szCs w:val="18"/>
    </w:rPr>
  </w:style>
  <w:style w:type="paragraph" w:customStyle="1" w:styleId="20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01">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202">
    <w:name w:val="Default Paragraph Char Char Char Char"/>
    <w:basedOn w:val="1"/>
    <w:next w:val="1"/>
    <w:autoRedefine/>
    <w:qFormat/>
    <w:uiPriority w:val="0"/>
    <w:pPr>
      <w:spacing w:line="360" w:lineRule="auto"/>
    </w:pPr>
    <w:rPr>
      <w:rFonts w:ascii="Calibri" w:hAnsi="Calibri"/>
      <w:szCs w:val="20"/>
    </w:rPr>
  </w:style>
  <w:style w:type="paragraph" w:customStyle="1" w:styleId="203">
    <w:name w:val=" Char"/>
    <w:basedOn w:val="1"/>
    <w:next w:val="1"/>
    <w:autoRedefine/>
    <w:qFormat/>
    <w:uiPriority w:val="0"/>
    <w:pPr>
      <w:widowControl/>
      <w:spacing w:line="360" w:lineRule="auto"/>
      <w:jc w:val="left"/>
    </w:pPr>
    <w:rPr>
      <w:kern w:val="0"/>
      <w:szCs w:val="20"/>
      <w:lang w:eastAsia="en-US"/>
    </w:rPr>
  </w:style>
  <w:style w:type="paragraph" w:customStyle="1" w:styleId="204">
    <w:name w:val="WPSOffice手动目录 3"/>
    <w:autoRedefine/>
    <w:qFormat/>
    <w:uiPriority w:val="0"/>
    <w:pPr>
      <w:ind w:leftChars="400"/>
    </w:pPr>
    <w:rPr>
      <w:rFonts w:ascii="Times New Roman" w:hAnsi="Times New Roman" w:eastAsia="宋体" w:cs="Times New Roman"/>
      <w:lang w:val="en-US" w:eastAsia="zh-CN" w:bidi="ar-SA"/>
    </w:rPr>
  </w:style>
  <w:style w:type="paragraph" w:customStyle="1" w:styleId="205">
    <w:name w:val="表格"/>
    <w:basedOn w:val="1"/>
    <w:autoRedefine/>
    <w:qFormat/>
    <w:uiPriority w:val="0"/>
    <w:pPr>
      <w:jc w:val="center"/>
      <w:textAlignment w:val="center"/>
    </w:pPr>
    <w:rPr>
      <w:rFonts w:ascii="华文细黑" w:hAnsi="华文细黑"/>
      <w:kern w:val="0"/>
      <w:szCs w:val="20"/>
    </w:rPr>
  </w:style>
  <w:style w:type="paragraph" w:customStyle="1" w:styleId="206">
    <w:name w:val="Char Char"/>
    <w:basedOn w:val="1"/>
    <w:autoRedefine/>
    <w:qFormat/>
    <w:uiPriority w:val="0"/>
    <w:pPr>
      <w:widowControl/>
      <w:spacing w:after="160" w:afterLines="0" w:line="240" w:lineRule="exact"/>
      <w:jc w:val="left"/>
    </w:pPr>
  </w:style>
  <w:style w:type="paragraph" w:customStyle="1" w:styleId="207">
    <w:name w:val="p0"/>
    <w:basedOn w:val="1"/>
    <w:autoRedefine/>
    <w:qFormat/>
    <w:uiPriority w:val="0"/>
    <w:pPr>
      <w:widowControl/>
      <w:jc w:val="left"/>
    </w:pPr>
    <w:rPr>
      <w:rFonts w:ascii="宋体" w:hAnsi="宋体" w:cs="宋体"/>
      <w:kern w:val="0"/>
      <w:sz w:val="18"/>
      <w:szCs w:val="18"/>
    </w:rPr>
  </w:style>
  <w:style w:type="paragraph" w:customStyle="1" w:styleId="208">
    <w:name w:val="样式2"/>
    <w:basedOn w:val="4"/>
    <w:autoRedefine/>
    <w:qFormat/>
    <w:uiPriority w:val="0"/>
    <w:pPr>
      <w:spacing w:line="415" w:lineRule="auto"/>
    </w:pPr>
  </w:style>
  <w:style w:type="paragraph" w:customStyle="1" w:styleId="209">
    <w:name w:val="节标题"/>
    <w:basedOn w:val="1"/>
    <w:next w:val="1"/>
    <w:autoRedefine/>
    <w:qFormat/>
    <w:uiPriority w:val="0"/>
    <w:pPr>
      <w:widowControl/>
      <w:spacing w:line="289" w:lineRule="atLeast"/>
      <w:jc w:val="center"/>
      <w:textAlignment w:val="baseline"/>
    </w:pPr>
    <w:rPr>
      <w:color w:val="000000"/>
      <w:kern w:val="0"/>
      <w:sz w:val="28"/>
      <w:szCs w:val="20"/>
      <w:u w:val="none" w:color="000000"/>
    </w:rPr>
  </w:style>
  <w:style w:type="paragraph" w:customStyle="1" w:styleId="210">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styleId="211">
    <w:name w:val="List Paragraph"/>
    <w:basedOn w:val="1"/>
    <w:autoRedefine/>
    <w:qFormat/>
    <w:uiPriority w:val="0"/>
    <w:pPr>
      <w:ind w:firstLine="200" w:firstLineChars="200"/>
    </w:pPr>
    <w:rPr>
      <w:rFonts w:ascii="Calibri" w:hAnsi="Calibri"/>
      <w:szCs w:val="22"/>
    </w:rPr>
  </w:style>
  <w:style w:type="paragraph" w:customStyle="1" w:styleId="212">
    <w:name w:val="Char Char Char Char Char Char Char Char Char Char Char Char Char"/>
    <w:basedOn w:val="1"/>
    <w:autoRedefine/>
    <w:qFormat/>
    <w:uiPriority w:val="0"/>
  </w:style>
  <w:style w:type="paragraph" w:customStyle="1" w:styleId="213">
    <w:name w:val="Char"/>
    <w:basedOn w:val="1"/>
    <w:next w:val="1"/>
    <w:autoRedefine/>
    <w:qFormat/>
    <w:uiPriority w:val="0"/>
    <w:pPr>
      <w:widowControl/>
      <w:spacing w:line="360" w:lineRule="auto"/>
      <w:jc w:val="left"/>
    </w:pPr>
    <w:rPr>
      <w:kern w:val="0"/>
      <w:szCs w:val="20"/>
      <w:lang w:eastAsia="en-US"/>
    </w:rPr>
  </w:style>
  <w:style w:type="paragraph" w:customStyle="1" w:styleId="214">
    <w:name w:val="WPSOffice手动目录 2"/>
    <w:autoRedefine/>
    <w:qFormat/>
    <w:uiPriority w:val="0"/>
    <w:pPr>
      <w:ind w:leftChars="200"/>
    </w:pPr>
    <w:rPr>
      <w:rFonts w:ascii="Times New Roman" w:hAnsi="Times New Roman" w:eastAsia="宋体" w:cs="Times New Roman"/>
      <w:lang w:val="en-US" w:eastAsia="zh-CN" w:bidi="ar-SA"/>
    </w:rPr>
  </w:style>
  <w:style w:type="paragraph" w:customStyle="1" w:styleId="215">
    <w:name w:val="样式3"/>
    <w:basedOn w:val="4"/>
    <w:autoRedefine/>
    <w:qFormat/>
    <w:uiPriority w:val="0"/>
    <w:pPr>
      <w:spacing w:line="415" w:lineRule="auto"/>
    </w:pPr>
    <w:rPr>
      <w:rFonts w:eastAsia="Arial"/>
    </w:rPr>
  </w:style>
  <w:style w:type="character" w:customStyle="1" w:styleId="216">
    <w:name w:val="15"/>
    <w:basedOn w:val="45"/>
    <w:autoRedefine/>
    <w:qFormat/>
    <w:uiPriority w:val="0"/>
    <w:rPr>
      <w:rFonts w:hint="default" w:ascii="Times New Roman" w:hAnsi="Times New Roman" w:cs="Times New Roman"/>
    </w:rPr>
  </w:style>
  <w:style w:type="character" w:customStyle="1" w:styleId="217">
    <w:name w:val="10"/>
    <w:basedOn w:val="45"/>
    <w:autoRedefine/>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2433</Words>
  <Characters>13870</Characters>
  <Lines>1</Lines>
  <Paragraphs>1</Paragraphs>
  <TotalTime>1</TotalTime>
  <ScaleCrop>false</ScaleCrop>
  <LinksUpToDate>false</LinksUpToDate>
  <CharactersWithSpaces>16271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2020-06-17T01:37:00Z</dcterms:created>
  <dc:creator>微软用户</dc:creator>
  <cp:lastModifiedBy>陈倩倩</cp:lastModifiedBy>
  <cp:lastPrinted>2024-09-24T02:25:00Z</cp:lastPrinted>
  <dcterms:modified xsi:type="dcterms:W3CDTF">2024-09-30T01:57:11Z</dcterms:modified>
  <dc:title>花亭路等道路绿化工程苗木比价采购</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7E59042095AC4D5586014D5B3D6D1ABF_13</vt:lpwstr>
  </property>
</Properties>
</file>