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A70AD2">
      <w:pPr>
        <w:ind w:right="-315" w:rightChars="-150"/>
        <w:jc w:val="center"/>
        <w:rPr>
          <w:rFonts w:ascii="仿宋" w:hAnsi="仿宋" w:eastAsia="仿宋" w:cs="仿宋"/>
          <w:b/>
          <w:bCs/>
          <w:color w:val="auto"/>
          <w:sz w:val="92"/>
          <w:szCs w:val="92"/>
          <w:highlight w:val="none"/>
          <w:u w:val="single"/>
          <w:vertAlign w:val="subscript"/>
        </w:rPr>
      </w:pPr>
    </w:p>
    <w:p w14:paraId="3569B1D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 w:hAnsi="仿宋" w:eastAsia="仿宋" w:cs="仿宋"/>
          <w:b/>
          <w:bCs/>
          <w:color w:val="auto"/>
          <w:sz w:val="40"/>
          <w:szCs w:val="40"/>
          <w:highlight w:val="none"/>
          <w:lang w:val="en-US" w:eastAsia="zh-CN"/>
        </w:rPr>
      </w:pPr>
      <w:r>
        <w:rPr>
          <w:rFonts w:hint="eastAsia" w:ascii="宋体" w:hAnsi="宋体" w:eastAsia="仿宋" w:cs="宋体"/>
          <w:b/>
          <w:bCs/>
          <w:color w:val="auto"/>
          <w:spacing w:val="-10"/>
          <w:sz w:val="40"/>
          <w:szCs w:val="40"/>
          <w:highlight w:val="none"/>
          <w:lang w:eastAsia="zh-CN"/>
        </w:rPr>
        <w:t>玄武岩新型建材一期年产300万吨玄武岩建筑骨料和100万吨机制砂项目，磐谷高科凹凸棒初加工1号线延伸改造、2号3号线新建项目结算复审服务</w:t>
      </w:r>
      <w:r>
        <w:rPr>
          <w:rFonts w:hint="eastAsia" w:ascii="宋体" w:hAnsi="宋体" w:eastAsia="仿宋" w:cs="宋体"/>
          <w:b/>
          <w:bCs/>
          <w:color w:val="auto"/>
          <w:spacing w:val="-10"/>
          <w:sz w:val="40"/>
          <w:szCs w:val="40"/>
          <w:highlight w:val="none"/>
          <w:lang w:val="en-US" w:eastAsia="zh-CN"/>
        </w:rPr>
        <w:t>招标</w:t>
      </w:r>
    </w:p>
    <w:p w14:paraId="2A2D7A89">
      <w:pPr>
        <w:spacing w:line="400" w:lineRule="atLeast"/>
        <w:jc w:val="center"/>
        <w:rPr>
          <w:rFonts w:hint="eastAsia" w:ascii="宋体" w:hAnsi="宋体" w:cs="宋体"/>
          <w:b/>
          <w:bCs/>
          <w:color w:val="auto"/>
          <w:sz w:val="72"/>
          <w:szCs w:val="72"/>
          <w:highlight w:val="none"/>
        </w:rPr>
      </w:pPr>
    </w:p>
    <w:p w14:paraId="417305CA">
      <w:pPr>
        <w:spacing w:line="400" w:lineRule="atLeast"/>
        <w:jc w:val="center"/>
        <w:rPr>
          <w:rFonts w:hint="eastAsia" w:ascii="宋体" w:hAnsi="宋体" w:cs="宋体"/>
          <w:b/>
          <w:bCs/>
          <w:color w:val="auto"/>
          <w:sz w:val="72"/>
          <w:szCs w:val="72"/>
          <w:highlight w:val="none"/>
        </w:rPr>
      </w:pPr>
    </w:p>
    <w:p w14:paraId="633A042A">
      <w:pPr>
        <w:spacing w:line="400" w:lineRule="atLeast"/>
        <w:jc w:val="center"/>
        <w:rPr>
          <w:rFonts w:ascii="仿宋" w:hAnsi="仿宋" w:eastAsia="仿宋" w:cs="仿宋"/>
          <w:b/>
          <w:bCs/>
          <w:color w:val="auto"/>
          <w:sz w:val="72"/>
          <w:szCs w:val="72"/>
          <w:highlight w:val="none"/>
        </w:rPr>
      </w:pPr>
      <w:r>
        <w:rPr>
          <w:rFonts w:hint="eastAsia" w:ascii="宋体" w:hAnsi="宋体" w:cs="宋体"/>
          <w:b/>
          <w:bCs/>
          <w:color w:val="auto"/>
          <w:sz w:val="72"/>
          <w:szCs w:val="72"/>
          <w:highlight w:val="none"/>
        </w:rPr>
        <w:t>招标文件</w:t>
      </w:r>
    </w:p>
    <w:p w14:paraId="00B2BED0">
      <w:pPr>
        <w:spacing w:line="480" w:lineRule="exact"/>
        <w:rPr>
          <w:rFonts w:ascii="仿宋" w:hAnsi="仿宋" w:eastAsia="仿宋" w:cs="仿宋"/>
          <w:b/>
          <w:bCs/>
          <w:color w:val="auto"/>
          <w:sz w:val="44"/>
          <w:szCs w:val="44"/>
          <w:highlight w:val="none"/>
        </w:rPr>
      </w:pPr>
    </w:p>
    <w:p w14:paraId="5022D6B7">
      <w:pPr>
        <w:spacing w:line="480" w:lineRule="exact"/>
        <w:ind w:firstLine="643" w:firstLineChars="200"/>
        <w:jc w:val="center"/>
        <w:rPr>
          <w:rFonts w:ascii="仿宋" w:hAnsi="仿宋" w:eastAsia="仿宋" w:cs="仿宋"/>
          <w:b/>
          <w:bCs/>
          <w:color w:val="auto"/>
          <w:sz w:val="32"/>
          <w:szCs w:val="32"/>
          <w:highlight w:val="none"/>
        </w:rPr>
      </w:pPr>
    </w:p>
    <w:p w14:paraId="0338E960">
      <w:pPr>
        <w:spacing w:line="480" w:lineRule="exact"/>
        <w:ind w:firstLine="472" w:firstLineChars="147"/>
        <w:rPr>
          <w:rFonts w:ascii="仿宋" w:hAnsi="仿宋" w:eastAsia="仿宋" w:cs="仿宋"/>
          <w:b/>
          <w:bCs/>
          <w:color w:val="auto"/>
          <w:sz w:val="32"/>
          <w:szCs w:val="32"/>
          <w:highlight w:val="none"/>
        </w:rPr>
      </w:pPr>
    </w:p>
    <w:p w14:paraId="7B498464">
      <w:pPr>
        <w:pStyle w:val="3"/>
        <w:rPr>
          <w:color w:val="auto"/>
          <w:highlight w:val="none"/>
        </w:rPr>
      </w:pPr>
    </w:p>
    <w:p w14:paraId="3B4DAC32">
      <w:pPr>
        <w:rPr>
          <w:color w:val="auto"/>
          <w:highlight w:val="none"/>
        </w:rPr>
      </w:pPr>
    </w:p>
    <w:p w14:paraId="0F464A8D">
      <w:pPr>
        <w:wordWrap w:val="0"/>
        <w:spacing w:line="700" w:lineRule="exact"/>
        <w:ind w:right="480" w:firstLine="321" w:firstLineChars="100"/>
        <w:rPr>
          <w:rFonts w:ascii="宋体" w:cs="宋体"/>
          <w:b/>
          <w:bCs/>
          <w:color w:val="auto"/>
          <w:sz w:val="32"/>
          <w:highlight w:val="none"/>
        </w:rPr>
      </w:pPr>
      <w:r>
        <w:rPr>
          <w:rFonts w:hint="eastAsia" w:ascii="宋体" w:cs="宋体"/>
          <w:b/>
          <w:bCs/>
          <w:color w:val="auto"/>
          <w:sz w:val="32"/>
          <w:highlight w:val="none"/>
        </w:rPr>
        <w:t>招标单位</w:t>
      </w:r>
      <w:r>
        <w:rPr>
          <w:rFonts w:ascii="宋体" w:cs="宋体"/>
          <w:b/>
          <w:bCs/>
          <w:color w:val="auto"/>
          <w:sz w:val="32"/>
          <w:highlight w:val="none"/>
        </w:rPr>
        <w:t xml:space="preserve"> </w:t>
      </w:r>
      <w:r>
        <w:rPr>
          <w:rFonts w:hint="eastAsia" w:ascii="宋体" w:cs="宋体"/>
          <w:b/>
          <w:bCs/>
          <w:color w:val="auto"/>
          <w:sz w:val="32"/>
          <w:highlight w:val="none"/>
        </w:rPr>
        <w:t>：</w:t>
      </w:r>
      <w:r>
        <w:rPr>
          <w:rFonts w:ascii="宋体" w:cs="宋体"/>
          <w:b/>
          <w:bCs/>
          <w:color w:val="auto"/>
          <w:sz w:val="32"/>
          <w:highlight w:val="none"/>
          <w:u w:val="single"/>
        </w:rPr>
        <w:t xml:space="preserve"> </w:t>
      </w:r>
      <w:r>
        <w:rPr>
          <w:rFonts w:hint="eastAsia" w:ascii="宋体" w:cs="宋体"/>
          <w:b/>
          <w:bCs/>
          <w:color w:val="auto"/>
          <w:sz w:val="32"/>
          <w:highlight w:val="none"/>
          <w:u w:val="single"/>
        </w:rPr>
        <w:t xml:space="preserve">  滁州市兴滁矿业投资集团有限公司</w:t>
      </w:r>
      <w:r>
        <w:rPr>
          <w:rFonts w:hint="eastAsia" w:ascii="宋体" w:cs="宋体"/>
          <w:b/>
          <w:bCs/>
          <w:color w:val="auto"/>
          <w:sz w:val="30"/>
          <w:szCs w:val="30"/>
          <w:highlight w:val="none"/>
          <w:u w:val="single"/>
        </w:rPr>
        <w:t xml:space="preserve">   </w:t>
      </w:r>
      <w:r>
        <w:rPr>
          <w:rFonts w:ascii="宋体" w:cs="宋体"/>
          <w:b/>
          <w:bCs/>
          <w:color w:val="auto"/>
          <w:sz w:val="30"/>
          <w:szCs w:val="30"/>
          <w:highlight w:val="none"/>
          <w:u w:val="single"/>
        </w:rPr>
        <w:t xml:space="preserve"> </w:t>
      </w:r>
      <w:r>
        <w:rPr>
          <w:rFonts w:hint="eastAsia" w:ascii="宋体" w:cs="宋体"/>
          <w:b/>
          <w:bCs/>
          <w:color w:val="auto"/>
          <w:sz w:val="32"/>
          <w:highlight w:val="none"/>
          <w:u w:val="single"/>
        </w:rPr>
        <w:t>（盖章）</w:t>
      </w:r>
    </w:p>
    <w:p w14:paraId="52C7B79A">
      <w:pPr>
        <w:spacing w:line="700" w:lineRule="exact"/>
        <w:ind w:firstLine="321" w:firstLineChars="100"/>
        <w:rPr>
          <w:rFonts w:ascii="宋体" w:cs="宋体"/>
          <w:b/>
          <w:bCs/>
          <w:color w:val="auto"/>
          <w:sz w:val="32"/>
          <w:highlight w:val="none"/>
        </w:rPr>
      </w:pPr>
    </w:p>
    <w:p w14:paraId="01FF2D99">
      <w:pPr>
        <w:spacing w:line="700" w:lineRule="exact"/>
        <w:ind w:firstLine="321" w:firstLineChars="100"/>
        <w:outlineLvl w:val="0"/>
        <w:rPr>
          <w:rFonts w:ascii="宋体" w:cs="宋体"/>
          <w:b/>
          <w:bCs/>
          <w:color w:val="auto"/>
          <w:sz w:val="32"/>
          <w:highlight w:val="none"/>
          <w:u w:val="single"/>
        </w:rPr>
      </w:pPr>
      <w:bookmarkStart w:id="0" w:name="_Toc10545"/>
      <w:bookmarkStart w:id="1" w:name="_Toc7956"/>
      <w:bookmarkStart w:id="2" w:name="_Toc13101"/>
      <w:r>
        <w:rPr>
          <w:rFonts w:hint="eastAsia" w:ascii="宋体" w:cs="宋体"/>
          <w:b/>
          <w:bCs/>
          <w:color w:val="auto"/>
          <w:sz w:val="32"/>
          <w:highlight w:val="none"/>
        </w:rPr>
        <w:t>代理机构：</w:t>
      </w:r>
      <w:r>
        <w:rPr>
          <w:rFonts w:ascii="宋体" w:cs="宋体"/>
          <w:b/>
          <w:bCs/>
          <w:color w:val="auto"/>
          <w:sz w:val="32"/>
          <w:highlight w:val="none"/>
          <w:u w:val="single"/>
        </w:rPr>
        <w:t xml:space="preserve">    </w:t>
      </w:r>
      <w:r>
        <w:rPr>
          <w:rFonts w:hint="eastAsia" w:ascii="宋体" w:cs="宋体"/>
          <w:b/>
          <w:bCs/>
          <w:color w:val="auto"/>
          <w:sz w:val="32"/>
          <w:highlight w:val="none"/>
          <w:u w:val="single"/>
        </w:rPr>
        <w:t>滁州市城投工程咨询管理有限公司</w:t>
      </w:r>
      <w:r>
        <w:rPr>
          <w:rFonts w:ascii="宋体" w:cs="宋体"/>
          <w:b/>
          <w:bCs/>
          <w:color w:val="auto"/>
          <w:sz w:val="32"/>
          <w:highlight w:val="none"/>
          <w:u w:val="single"/>
        </w:rPr>
        <w:t xml:space="preserve"> </w:t>
      </w:r>
      <w:r>
        <w:rPr>
          <w:rFonts w:hint="eastAsia" w:ascii="宋体" w:cs="宋体"/>
          <w:b/>
          <w:bCs/>
          <w:color w:val="auto"/>
          <w:sz w:val="32"/>
          <w:highlight w:val="none"/>
          <w:u w:val="single"/>
        </w:rPr>
        <w:t>（盖章）</w:t>
      </w:r>
      <w:bookmarkEnd w:id="0"/>
      <w:bookmarkEnd w:id="1"/>
      <w:bookmarkEnd w:id="2"/>
    </w:p>
    <w:p w14:paraId="4DEE7263">
      <w:pPr>
        <w:spacing w:line="700" w:lineRule="exact"/>
        <w:ind w:firstLine="4016" w:firstLineChars="1250"/>
        <w:rPr>
          <w:rFonts w:ascii="宋体" w:cs="宋体"/>
          <w:b/>
          <w:bCs/>
          <w:color w:val="auto"/>
          <w:sz w:val="32"/>
          <w:highlight w:val="none"/>
          <w:u w:val="single"/>
        </w:rPr>
      </w:pPr>
    </w:p>
    <w:p w14:paraId="516EC7DE">
      <w:pPr>
        <w:spacing w:line="700" w:lineRule="exact"/>
        <w:ind w:firstLine="4016" w:firstLineChars="1250"/>
        <w:rPr>
          <w:rFonts w:hint="default" w:ascii="宋体" w:eastAsia="宋体" w:cs="宋体"/>
          <w:b/>
          <w:bCs/>
          <w:color w:val="auto"/>
          <w:spacing w:val="20"/>
          <w:sz w:val="32"/>
          <w:szCs w:val="32"/>
          <w:highlight w:val="none"/>
          <w:lang w:val="en-US" w:eastAsia="zh-CN"/>
        </w:rPr>
      </w:pPr>
      <w:r>
        <w:rPr>
          <w:rFonts w:ascii="宋体" w:cs="宋体"/>
          <w:b/>
          <w:bCs/>
          <w:color w:val="auto"/>
          <w:sz w:val="32"/>
          <w:highlight w:val="none"/>
          <w:u w:val="single"/>
        </w:rPr>
        <w:t>202</w:t>
      </w:r>
      <w:r>
        <w:rPr>
          <w:rFonts w:hint="eastAsia" w:ascii="宋体" w:cs="宋体"/>
          <w:b/>
          <w:bCs/>
          <w:color w:val="auto"/>
          <w:sz w:val="32"/>
          <w:highlight w:val="none"/>
          <w:u w:val="single"/>
          <w:lang w:val="en-US" w:eastAsia="zh-CN"/>
        </w:rPr>
        <w:t>4</w:t>
      </w:r>
      <w:r>
        <w:rPr>
          <w:rFonts w:ascii="宋体" w:cs="宋体"/>
          <w:b/>
          <w:bCs/>
          <w:color w:val="auto"/>
          <w:sz w:val="32"/>
          <w:highlight w:val="none"/>
          <w:u w:val="single"/>
        </w:rPr>
        <w:t xml:space="preserve"> </w:t>
      </w:r>
      <w:r>
        <w:rPr>
          <w:rFonts w:hint="eastAsia" w:ascii="宋体" w:cs="宋体"/>
          <w:b/>
          <w:bCs/>
          <w:color w:val="auto"/>
          <w:sz w:val="32"/>
          <w:highlight w:val="none"/>
        </w:rPr>
        <w:t>年</w:t>
      </w:r>
      <w:r>
        <w:rPr>
          <w:rFonts w:ascii="宋体" w:cs="宋体"/>
          <w:b/>
          <w:bCs/>
          <w:color w:val="auto"/>
          <w:sz w:val="32"/>
          <w:highlight w:val="none"/>
          <w:u w:val="single"/>
        </w:rPr>
        <w:t xml:space="preserve"> </w:t>
      </w:r>
      <w:r>
        <w:rPr>
          <w:rFonts w:hint="eastAsia" w:ascii="宋体" w:cs="宋体"/>
          <w:b/>
          <w:bCs/>
          <w:color w:val="auto"/>
          <w:sz w:val="32"/>
          <w:highlight w:val="none"/>
          <w:u w:val="single"/>
          <w:lang w:val="en-US" w:eastAsia="zh-CN"/>
        </w:rPr>
        <w:t>11</w:t>
      </w:r>
      <w:r>
        <w:rPr>
          <w:rFonts w:hint="eastAsia" w:ascii="宋体" w:cs="宋体"/>
          <w:b/>
          <w:bCs/>
          <w:color w:val="auto"/>
          <w:sz w:val="32"/>
          <w:highlight w:val="none"/>
        </w:rPr>
        <w:t>月</w:t>
      </w:r>
      <w:r>
        <w:rPr>
          <w:rFonts w:hint="eastAsia" w:ascii="宋体" w:cs="宋体"/>
          <w:b/>
          <w:bCs/>
          <w:color w:val="auto"/>
          <w:sz w:val="32"/>
          <w:highlight w:val="none"/>
          <w:u w:val="single"/>
          <w:lang w:val="en-US" w:eastAsia="zh-CN"/>
        </w:rPr>
        <w:t>13</w:t>
      </w:r>
      <w:r>
        <w:rPr>
          <w:rFonts w:hint="eastAsia" w:ascii="宋体" w:cs="宋体"/>
          <w:b/>
          <w:bCs/>
          <w:color w:val="auto"/>
          <w:sz w:val="32"/>
          <w:highlight w:val="none"/>
          <w:lang w:val="en-US" w:eastAsia="zh-CN"/>
        </w:rPr>
        <w:t>日</w:t>
      </w:r>
    </w:p>
    <w:p w14:paraId="128986C5">
      <w:pPr>
        <w:spacing w:line="700" w:lineRule="exact"/>
        <w:rPr>
          <w:rFonts w:ascii="宋体"/>
          <w:color w:val="auto"/>
          <w:highlight w:val="none"/>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14:paraId="0E81D0DF">
      <w:pPr>
        <w:spacing w:line="700" w:lineRule="exact"/>
        <w:jc w:val="center"/>
        <w:rPr>
          <w:rFonts w:ascii="宋体" w:hAnsi="宋体" w:cs="宋体"/>
          <w:b/>
          <w:bCs/>
          <w:color w:val="auto"/>
          <w:highlight w:val="none"/>
        </w:rPr>
      </w:pPr>
    </w:p>
    <w:p w14:paraId="7364A99F">
      <w:pPr>
        <w:spacing w:line="7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sdt>
      <w:sdtPr>
        <w:rPr>
          <w:rFonts w:ascii="宋体" w:hAnsi="宋体"/>
          <w:b/>
          <w:bCs/>
          <w:color w:val="auto"/>
          <w:highlight w:val="none"/>
        </w:rPr>
        <w:id w:val="147454049"/>
        <w15:color w:val="DBDBDB"/>
        <w:docPartObj>
          <w:docPartGallery w:val="Table of Contents"/>
          <w:docPartUnique/>
        </w:docPartObj>
      </w:sdtPr>
      <w:sdtEndPr>
        <w:rPr>
          <w:rFonts w:hint="eastAsia" w:ascii="Times New Roman" w:hAnsi="Times New Roman"/>
          <w:b/>
          <w:bCs/>
          <w:color w:val="auto"/>
          <w:sz w:val="28"/>
          <w:szCs w:val="28"/>
          <w:highlight w:val="none"/>
        </w:rPr>
      </w:sdtEndPr>
      <w:sdtContent>
        <w:p w14:paraId="2184C297">
          <w:pPr>
            <w:jc w:val="center"/>
            <w:rPr>
              <w:color w:val="auto"/>
              <w:highlight w:val="none"/>
            </w:rPr>
          </w:pPr>
        </w:p>
        <w:p w14:paraId="754868F5">
          <w:pPr>
            <w:pStyle w:val="30"/>
            <w:tabs>
              <w:tab w:val="right" w:leader="dot" w:pos="9541"/>
              <w:tab w:val="clear" w:pos="829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71B4D795">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w:t>
          </w: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32"/>
              <w:highlight w:val="none"/>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9767B3">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CEEDAA">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第三章 </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评标办法（</w:t>
          </w:r>
          <w:r>
            <w:rPr>
              <w:rFonts w:hint="eastAsia" w:ascii="宋体" w:hAnsi="宋体" w:eastAsia="宋体" w:cs="宋体"/>
              <w:color w:val="auto"/>
              <w:szCs w:val="32"/>
              <w:highlight w:val="none"/>
              <w:lang w:eastAsia="zh-CN"/>
            </w:rPr>
            <w:t>综合评估法</w:t>
          </w:r>
          <w:r>
            <w:rPr>
              <w:rFonts w:hint="eastAsia" w:ascii="宋体" w:hAnsi="宋体" w:eastAsia="宋体" w:cs="宋体"/>
              <w:color w:val="auto"/>
              <w:szCs w:val="32"/>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AB09B9">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lang w:val="en-US" w:eastAsia="zh-CN"/>
            </w:rPr>
            <w:t>第四章</w:t>
          </w:r>
          <w:r>
            <w:rPr>
              <w:rFonts w:hint="eastAsia" w:ascii="宋体" w:hAnsi="宋体" w:eastAsia="宋体" w:cs="宋体"/>
              <w:color w:val="auto"/>
              <w:kern w:val="2"/>
              <w:szCs w:val="28"/>
              <w:highlight w:val="none"/>
            </w:rPr>
            <w:t xml:space="preserve">  采购需求及服务要求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8C4118">
          <w:pPr>
            <w:pStyle w:val="30"/>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_Toc14427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五</w:t>
          </w:r>
          <w:r>
            <w:rPr>
              <w:rFonts w:hint="eastAsia" w:ascii="宋体" w:hAnsi="宋体" w:eastAsia="宋体" w:cs="宋体"/>
              <w:color w:val="auto"/>
              <w:kern w:val="2"/>
              <w:szCs w:val="28"/>
              <w:highlight w:val="none"/>
            </w:rPr>
            <w:t>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73064D">
          <w:pPr>
            <w:pStyle w:val="30"/>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_Toc20559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六</w:t>
          </w:r>
          <w:r>
            <w:rPr>
              <w:rFonts w:hint="eastAsia" w:ascii="宋体" w:hAnsi="宋体" w:eastAsia="宋体" w:cs="宋体"/>
              <w:color w:val="auto"/>
              <w:kern w:val="2"/>
              <w:szCs w:val="28"/>
              <w:highlight w:val="none"/>
            </w:rPr>
            <w:t>章投标文件格式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0</w:t>
          </w:r>
        </w:p>
        <w:p w14:paraId="3B89D368">
          <w:pPr>
            <w:pStyle w:val="30"/>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七</w:t>
          </w:r>
          <w:r>
            <w:rPr>
              <w:rFonts w:hint="eastAsia" w:ascii="宋体" w:hAnsi="宋体" w:eastAsia="宋体" w:cs="宋体"/>
              <w:color w:val="auto"/>
              <w:kern w:val="2"/>
              <w:szCs w:val="28"/>
              <w:highlight w:val="none"/>
            </w:rPr>
            <w:t>章招标单位、招标代理机构对本招标文件的确认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hAnsi="宋体" w:eastAsia="宋体" w:cs="宋体"/>
              <w:color w:val="auto"/>
              <w:highlight w:val="none"/>
              <w:lang w:val="en-US" w:eastAsia="zh-CN"/>
            </w:rPr>
            <w:t>8</w:t>
          </w:r>
        </w:p>
        <w:p w14:paraId="2D028AF9">
          <w:pPr>
            <w:rPr>
              <w:color w:val="auto"/>
              <w:highlight w:val="none"/>
            </w:rPr>
          </w:pPr>
          <w:r>
            <w:rPr>
              <w:color w:val="auto"/>
              <w:highlight w:val="none"/>
            </w:rPr>
            <w:fldChar w:fldCharType="end"/>
          </w:r>
        </w:p>
        <w:p w14:paraId="2CA3FD35">
          <w:pPr>
            <w:pStyle w:val="2"/>
            <w:spacing w:before="0" w:after="0" w:line="700" w:lineRule="exact"/>
            <w:rPr>
              <w:rFonts w:ascii="仿宋" w:cs="仿宋"/>
              <w:b w:val="0"/>
              <w:bCs w:val="0"/>
              <w:color w:val="auto"/>
              <w:sz w:val="24"/>
              <w:szCs w:val="24"/>
              <w:highlight w:val="none"/>
            </w:rPr>
          </w:pPr>
        </w:p>
      </w:sdtContent>
    </w:sdt>
    <w:p w14:paraId="43F357B1">
      <w:pPr>
        <w:rPr>
          <w:color w:val="auto"/>
          <w:highlight w:val="none"/>
        </w:r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14:paraId="17D067FB">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0"/>
        <w:rPr>
          <w:rFonts w:ascii="宋体" w:hAnsi="宋体" w:cs="宋体"/>
          <w:b/>
          <w:color w:val="auto"/>
          <w:sz w:val="32"/>
          <w:szCs w:val="32"/>
          <w:highlight w:val="none"/>
        </w:rPr>
      </w:pPr>
      <w:bookmarkStart w:id="3" w:name="_Toc24106"/>
      <w:bookmarkStart w:id="4" w:name="_Toc11640"/>
      <w:bookmarkStart w:id="5" w:name="_Toc27970"/>
      <w:r>
        <w:rPr>
          <w:rFonts w:hint="eastAsia" w:ascii="宋体" w:hAnsi="宋体" w:eastAsia="宋体" w:cs="宋体"/>
          <w:b/>
          <w:color w:val="auto"/>
          <w:sz w:val="32"/>
          <w:szCs w:val="32"/>
          <w:highlight w:val="none"/>
        </w:rPr>
        <w:t>第一章</w:t>
      </w:r>
      <w:r>
        <w:rPr>
          <w:rFonts w:hint="eastAsia" w:ascii="宋体" w:hAnsi="宋体" w:cs="宋体"/>
          <w:color w:val="auto"/>
          <w:sz w:val="28"/>
          <w:szCs w:val="28"/>
          <w:highlight w:val="none"/>
        </w:rPr>
        <w:t xml:space="preserve"> </w:t>
      </w:r>
      <w:bookmarkEnd w:id="3"/>
      <w:r>
        <w:rPr>
          <w:rFonts w:hint="eastAsia" w:ascii="宋体" w:hAnsi="宋体" w:cs="宋体"/>
          <w:b/>
          <w:color w:val="auto"/>
          <w:sz w:val="32"/>
          <w:szCs w:val="32"/>
          <w:highlight w:val="none"/>
        </w:rPr>
        <w:t>招标公告</w:t>
      </w:r>
      <w:bookmarkEnd w:id="4"/>
      <w:bookmarkEnd w:id="5"/>
    </w:p>
    <w:p w14:paraId="05440A8F">
      <w:pPr>
        <w:pStyle w:val="3"/>
        <w:numPr>
          <w:ilvl w:val="1"/>
          <w:numId w:val="0"/>
        </w:numPr>
        <w:spacing w:line="400" w:lineRule="exact"/>
        <w:ind w:left="431"/>
        <w:rPr>
          <w:rFonts w:ascii="宋体" w:hAnsi="宋体" w:eastAsia="宋体" w:cs="宋体"/>
          <w:color w:val="auto"/>
          <w:sz w:val="24"/>
          <w:szCs w:val="24"/>
          <w:highlight w:val="none"/>
        </w:rPr>
      </w:pPr>
      <w:bookmarkStart w:id="6" w:name="_Toc35393621"/>
      <w:bookmarkStart w:id="7" w:name="_Toc28359079"/>
      <w:bookmarkStart w:id="8" w:name="_Toc58430305"/>
      <w:bookmarkStart w:id="9" w:name="_Toc28359002"/>
      <w:bookmarkStart w:id="10" w:name="_Toc35393790"/>
      <w:bookmarkStart w:id="11" w:name="_Hlk24379207"/>
      <w:r>
        <w:rPr>
          <w:rFonts w:hint="eastAsia" w:ascii="宋体" w:hAnsi="宋体" w:eastAsia="宋体" w:cs="宋体"/>
          <w:color w:val="auto"/>
          <w:sz w:val="24"/>
          <w:szCs w:val="24"/>
          <w:highlight w:val="none"/>
        </w:rPr>
        <w:t>一、项目基本情况</w:t>
      </w:r>
      <w:bookmarkEnd w:id="6"/>
      <w:bookmarkEnd w:id="7"/>
      <w:bookmarkEnd w:id="8"/>
      <w:bookmarkEnd w:id="9"/>
      <w:bookmarkEnd w:id="10"/>
    </w:p>
    <w:bookmarkEnd w:id="11"/>
    <w:p w14:paraId="129F72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2" w:name="_Toc35393791"/>
      <w:bookmarkStart w:id="13" w:name="_Toc35393622"/>
      <w:bookmarkStart w:id="14" w:name="_Toc58430306"/>
      <w:bookmarkStart w:id="15" w:name="_Toc28359080"/>
      <w:bookmarkStart w:id="16" w:name="_Toc28359003"/>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项目名称：玄武岩新型建材一期年产300万吨玄武岩建筑骨料和100万吨机制砂项目，磐谷高科凹凸棒初加工1号线延伸改造、2号3号线新建项目结算复审服务招标</w:t>
      </w:r>
    </w:p>
    <w:p w14:paraId="7272EB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2.项目概况</w:t>
      </w:r>
      <w:r>
        <w:rPr>
          <w:rFonts w:hint="eastAsia" w:ascii="宋体" w:hAnsi="宋体" w:eastAsia="宋体" w:cs="宋体"/>
          <w:color w:val="auto"/>
          <w:sz w:val="24"/>
          <w:szCs w:val="24"/>
          <w:highlight w:val="none"/>
        </w:rPr>
        <w:t>：玄武岩新型建材一期年产300万吨玄武岩建筑骨料和100万吨机制砂项目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投资</w:t>
      </w:r>
      <w:r>
        <w:rPr>
          <w:rFonts w:hint="eastAsia" w:ascii="宋体" w:hAnsi="宋体" w:eastAsia="宋体" w:cs="宋体"/>
          <w:color w:val="auto"/>
          <w:sz w:val="24"/>
          <w:szCs w:val="24"/>
          <w:highlight w:val="none"/>
        </w:rPr>
        <w:t>约</w:t>
      </w:r>
      <w:r>
        <w:rPr>
          <w:rFonts w:hint="eastAsia" w:ascii="宋体" w:hAnsi="宋体" w:cs="宋体"/>
          <w:color w:val="auto"/>
          <w:sz w:val="24"/>
          <w:szCs w:val="24"/>
          <w:highlight w:val="none"/>
          <w:lang w:val="en-US" w:eastAsia="zh-CN"/>
        </w:rPr>
        <w:t>1.8亿元；</w:t>
      </w:r>
      <w:r>
        <w:rPr>
          <w:rFonts w:hint="eastAsia" w:ascii="宋体" w:hAnsi="宋体" w:eastAsia="宋体" w:cs="宋体"/>
          <w:color w:val="auto"/>
          <w:sz w:val="24"/>
          <w:szCs w:val="24"/>
          <w:highlight w:val="none"/>
        </w:rPr>
        <w:t>磐谷高科凹凸棒初加工1号线延伸改造、2号3号线新建项目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投资</w:t>
      </w:r>
      <w:r>
        <w:rPr>
          <w:rFonts w:hint="eastAsia" w:ascii="宋体" w:hAnsi="宋体" w:eastAsia="宋体" w:cs="宋体"/>
          <w:color w:val="auto"/>
          <w:sz w:val="24"/>
          <w:szCs w:val="24"/>
          <w:highlight w:val="none"/>
        </w:rPr>
        <w:t>约</w:t>
      </w:r>
      <w:r>
        <w:rPr>
          <w:rFonts w:hint="eastAsia" w:ascii="宋体" w:hAnsi="宋体" w:cs="宋体"/>
          <w:color w:val="auto"/>
          <w:sz w:val="24"/>
          <w:szCs w:val="24"/>
          <w:highlight w:val="none"/>
          <w:lang w:val="en-US" w:eastAsia="zh-CN"/>
        </w:rPr>
        <w:t>1600万元。</w:t>
      </w:r>
    </w:p>
    <w:p w14:paraId="2CA8C5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最高限价：</w:t>
      </w:r>
    </w:p>
    <w:p w14:paraId="1AE3D2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（1）玄武岩新型建材一期年产300万吨玄武岩建筑骨料和100万吨机制砂项目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基本费用</w:t>
      </w:r>
      <w:r>
        <w:rPr>
          <w:rFonts w:hint="eastAsia" w:ascii="宋体" w:hAnsi="宋体" w:cs="宋体"/>
          <w:color w:val="auto"/>
          <w:sz w:val="24"/>
          <w:szCs w:val="24"/>
          <w:highlight w:val="none"/>
          <w:lang w:val="en-US" w:eastAsia="zh-CN"/>
        </w:rPr>
        <w:t>10000元</w:t>
      </w:r>
      <w:r>
        <w:rPr>
          <w:rFonts w:hint="eastAsia" w:ascii="宋体" w:hAnsi="宋体" w:eastAsia="宋体" w:cs="宋体"/>
          <w:color w:val="auto"/>
          <w:sz w:val="24"/>
          <w:szCs w:val="24"/>
          <w:highlight w:val="none"/>
        </w:rPr>
        <w:t>（投标报价保留两位小数，第三位四舍五入）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审核成果费率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（审核成果费率为不可竞争费率，固定不变），投标单位投标报价不得高于上述基本费率最高限价，否则按无效标处理</w:t>
      </w:r>
      <w:r>
        <w:rPr>
          <w:rFonts w:hint="eastAsia" w:ascii="宋体" w:hAnsi="宋体" w:cs="宋体"/>
          <w:color w:val="auto"/>
          <w:sz w:val="24"/>
          <w:szCs w:val="24"/>
          <w:highlight w:val="none"/>
          <w:lang w:eastAsia="zh-CN"/>
        </w:rPr>
        <w:t>。</w:t>
      </w:r>
    </w:p>
    <w:p w14:paraId="5AB5C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磐谷高科凹凸棒初加工1号线延伸改造、2号3号线新建项目的</w:t>
      </w:r>
      <w:r>
        <w:rPr>
          <w:rFonts w:hint="eastAsia" w:ascii="宋体" w:hAnsi="宋体" w:eastAsia="宋体" w:cs="宋体"/>
          <w:color w:val="auto"/>
          <w:sz w:val="24"/>
          <w:szCs w:val="24"/>
          <w:highlight w:val="none"/>
          <w:lang w:val="en-US" w:eastAsia="zh-CN"/>
        </w:rPr>
        <w:t>基本费用</w:t>
      </w:r>
      <w:r>
        <w:rPr>
          <w:rFonts w:hint="eastAsia" w:ascii="宋体" w:hAnsi="宋体" w:cs="宋体"/>
          <w:color w:val="auto"/>
          <w:sz w:val="24"/>
          <w:szCs w:val="24"/>
          <w:highlight w:val="none"/>
          <w:lang w:val="en-US" w:eastAsia="zh-CN"/>
        </w:rPr>
        <w:t>5000元</w:t>
      </w:r>
      <w:r>
        <w:rPr>
          <w:rFonts w:hint="eastAsia" w:ascii="宋体" w:hAnsi="宋体" w:eastAsia="宋体" w:cs="宋体"/>
          <w:color w:val="auto"/>
          <w:sz w:val="24"/>
          <w:szCs w:val="24"/>
          <w:highlight w:val="none"/>
        </w:rPr>
        <w:t>（投标报价保留两位小数，第三位四舍五入）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审核成果费率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（审核成果费率为不可竞争费率，固定不变），投标单位投标报价不得高于上述基本费率最高限价，否则按无效标处理</w:t>
      </w:r>
      <w:r>
        <w:rPr>
          <w:rFonts w:hint="eastAsia" w:ascii="宋体" w:hAnsi="宋体" w:eastAsia="宋体" w:cs="宋体"/>
          <w:color w:val="auto"/>
          <w:sz w:val="24"/>
          <w:szCs w:val="24"/>
          <w:highlight w:val="none"/>
          <w:lang w:eastAsia="zh-CN"/>
        </w:rPr>
        <w:t>。</w:t>
      </w:r>
    </w:p>
    <w:p w14:paraId="116C47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详见招标文件内容</w:t>
      </w:r>
      <w:r>
        <w:rPr>
          <w:rFonts w:hint="eastAsia" w:ascii="宋体" w:hAnsi="宋体" w:cs="宋体"/>
          <w:color w:val="auto"/>
          <w:sz w:val="24"/>
          <w:szCs w:val="24"/>
          <w:highlight w:val="none"/>
          <w:lang w:eastAsia="zh-CN"/>
        </w:rPr>
        <w:t>。</w:t>
      </w:r>
    </w:p>
    <w:p w14:paraId="2943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合同履行期限：</w:t>
      </w:r>
    </w:p>
    <w:p w14:paraId="205BFE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自合同签订之日起至完成对跟审单位全部成果的复核并出具复审报告，复审报告经跟审单位和甲方确认，项目完成竣工结算审核为止。</w:t>
      </w:r>
    </w:p>
    <w:p w14:paraId="73E9B0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复审单位在收到跟审单位分</w:t>
      </w:r>
      <w:r>
        <w:rPr>
          <w:rFonts w:hint="eastAsia" w:ascii="宋体" w:hAnsi="宋体" w:cs="宋体"/>
          <w:color w:val="auto"/>
          <w:sz w:val="24"/>
          <w:szCs w:val="24"/>
          <w:highlight w:val="none"/>
          <w:lang w:val="en-US" w:eastAsia="zh-CN"/>
        </w:rPr>
        <w:t>别</w:t>
      </w:r>
      <w:r>
        <w:rPr>
          <w:rFonts w:hint="eastAsia" w:ascii="宋体" w:hAnsi="宋体" w:eastAsia="宋体" w:cs="宋体"/>
          <w:color w:val="auto"/>
          <w:sz w:val="24"/>
          <w:szCs w:val="24"/>
          <w:highlight w:val="none"/>
        </w:rPr>
        <w:t>出具的审核报告</w:t>
      </w:r>
      <w:r>
        <w:rPr>
          <w:rFonts w:hint="eastAsia" w:ascii="宋体" w:hAnsi="宋体" w:cs="宋体"/>
          <w:color w:val="auto"/>
          <w:sz w:val="24"/>
          <w:szCs w:val="24"/>
          <w:highlight w:val="none"/>
          <w:lang w:val="en-US" w:eastAsia="zh-CN"/>
        </w:rPr>
        <w:t>并在资料齐全的情况下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玄武岩加工厂复审报告不超过15个日历天，凹凸棒初加工厂项目不超过5个日历天内完成</w:t>
      </w:r>
      <w:r>
        <w:rPr>
          <w:rFonts w:hint="eastAsia" w:ascii="宋体" w:hAnsi="宋体" w:eastAsia="宋体" w:cs="宋体"/>
          <w:color w:val="auto"/>
          <w:sz w:val="24"/>
          <w:szCs w:val="24"/>
          <w:highlight w:val="none"/>
        </w:rPr>
        <w:t>。</w:t>
      </w:r>
    </w:p>
    <w:p w14:paraId="0F2AFF98">
      <w:pPr>
        <w:pStyle w:val="3"/>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12"/>
      <w:bookmarkEnd w:id="13"/>
      <w:bookmarkEnd w:id="14"/>
      <w:bookmarkEnd w:id="15"/>
      <w:bookmarkEnd w:id="16"/>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p>
    <w:p w14:paraId="736405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7" w:name="_Toc28359081"/>
      <w:bookmarkStart w:id="18" w:name="_Toc58430307"/>
      <w:bookmarkStart w:id="19" w:name="_Toc28359004"/>
      <w:bookmarkStart w:id="20" w:name="_Toc35393792"/>
      <w:bookmarkStart w:id="21" w:name="_Toc35393623"/>
      <w:r>
        <w:rPr>
          <w:rFonts w:hint="eastAsia" w:ascii="宋体" w:hAnsi="宋体" w:eastAsia="宋体" w:cs="宋体"/>
          <w:color w:val="auto"/>
          <w:sz w:val="24"/>
          <w:szCs w:val="24"/>
          <w:highlight w:val="none"/>
        </w:rPr>
        <w:t>1.投标人要求：投标人为具有承担本项目相应服务能力的企业；有效的营业执照、税务登记证、组织机构码证（或“三证合一证书”）；</w:t>
      </w:r>
      <w:r>
        <w:rPr>
          <w:rFonts w:hint="eastAsia" w:ascii="宋体" w:hAnsi="宋体" w:eastAsia="宋体" w:cs="宋体"/>
          <w:color w:val="auto"/>
          <w:sz w:val="24"/>
          <w:szCs w:val="24"/>
          <w:highlight w:val="none"/>
          <w:lang w:val="en-US" w:eastAsia="zh-CN"/>
        </w:rPr>
        <w:t xml:space="preserve"> </w:t>
      </w:r>
    </w:p>
    <w:p w14:paraId="136ED7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2.项目负责人要求：须具有建设部颁发的中华人民共和国注册造价工程师（或一级造价工程师）资格且专业为土木建筑工程；</w:t>
      </w:r>
    </w:p>
    <w:p w14:paraId="74C3DF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项目组成员（不含项目负责人）要求：项目组成员不少于2人（土建专业不少于1名、安装专业不少于1名），须具有二级及以上注册造价师证书。</w:t>
      </w:r>
    </w:p>
    <w:p w14:paraId="57FB0B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14:paraId="5517ED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以上两个项目的</w:t>
      </w:r>
      <w:r>
        <w:rPr>
          <w:rFonts w:hint="eastAsia" w:ascii="宋体" w:hAnsi="宋体" w:eastAsia="宋体" w:cs="宋体"/>
          <w:color w:val="auto"/>
          <w:sz w:val="24"/>
          <w:szCs w:val="24"/>
          <w:highlight w:val="none"/>
          <w:lang w:val="en-US" w:eastAsia="zh-CN"/>
        </w:rPr>
        <w:t>清单控制价编制单位、监理单位、跟审单位</w:t>
      </w:r>
      <w:r>
        <w:rPr>
          <w:rFonts w:hint="eastAsia" w:ascii="宋体" w:hAnsi="宋体" w:cs="宋体"/>
          <w:color w:val="auto"/>
          <w:sz w:val="24"/>
          <w:szCs w:val="24"/>
          <w:highlight w:val="none"/>
          <w:lang w:val="en-US" w:eastAsia="zh-CN"/>
        </w:rPr>
        <w:t>限制参与本项目</w:t>
      </w:r>
      <w:r>
        <w:rPr>
          <w:rFonts w:hint="eastAsia" w:ascii="宋体" w:hAnsi="宋体" w:eastAsia="宋体" w:cs="宋体"/>
          <w:color w:val="auto"/>
          <w:sz w:val="24"/>
          <w:szCs w:val="24"/>
          <w:highlight w:val="none"/>
          <w:lang w:val="en-US" w:eastAsia="zh-CN"/>
        </w:rPr>
        <w:t>投标。</w:t>
      </w:r>
    </w:p>
    <w:p w14:paraId="76A809F0">
      <w:pPr>
        <w:pStyle w:val="3"/>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7"/>
      <w:bookmarkEnd w:id="18"/>
      <w:bookmarkEnd w:id="19"/>
      <w:bookmarkEnd w:id="20"/>
      <w:bookmarkEnd w:id="21"/>
    </w:p>
    <w:p w14:paraId="03E914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i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u w:val="single"/>
        </w:rPr>
        <w:t>日</w:t>
      </w:r>
    </w:p>
    <w:p w14:paraId="45EB44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14:paraId="44B9C5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2EF1FAD6">
      <w:pPr>
        <w:pStyle w:val="3"/>
        <w:numPr>
          <w:ilvl w:val="1"/>
          <w:numId w:val="0"/>
        </w:numPr>
        <w:spacing w:line="400" w:lineRule="exact"/>
        <w:ind w:left="851" w:hanging="420"/>
        <w:rPr>
          <w:rFonts w:ascii="宋体" w:hAnsi="宋体" w:eastAsia="宋体" w:cs="宋体"/>
          <w:color w:val="auto"/>
          <w:sz w:val="24"/>
          <w:szCs w:val="24"/>
          <w:highlight w:val="none"/>
        </w:rPr>
      </w:pPr>
      <w:bookmarkStart w:id="22" w:name="_Toc28359082"/>
      <w:bookmarkStart w:id="23" w:name="_Toc28359005"/>
      <w:bookmarkStart w:id="24" w:name="_Toc35393624"/>
      <w:bookmarkStart w:id="25" w:name="_Toc35393793"/>
      <w:bookmarkStart w:id="26" w:name="_Toc58430308"/>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bookmarkEnd w:id="26"/>
    </w:p>
    <w:p w14:paraId="485FD8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p w14:paraId="6D6DE6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递交方式：网上递交，发送至电子邮箱：czsctgczx@163.com（滁州市城投工程咨询管理有限公司邮箱）</w:t>
      </w:r>
    </w:p>
    <w:p w14:paraId="0F2E0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开标时间地点：开标时间同投标文件递交截止时间，滁州市龙蟠大道109号房产商务大厦6楼603会议室。</w:t>
      </w:r>
    </w:p>
    <w:p w14:paraId="12D2A7D1">
      <w:pPr>
        <w:pStyle w:val="3"/>
        <w:numPr>
          <w:ilvl w:val="1"/>
          <w:numId w:val="0"/>
        </w:numPr>
        <w:spacing w:line="400" w:lineRule="exact"/>
        <w:ind w:left="851" w:hanging="420"/>
        <w:rPr>
          <w:rFonts w:ascii="宋体" w:hAnsi="宋体" w:eastAsia="宋体" w:cs="宋体"/>
          <w:color w:val="auto"/>
          <w:sz w:val="24"/>
          <w:szCs w:val="24"/>
          <w:highlight w:val="none"/>
        </w:rPr>
      </w:pPr>
      <w:bookmarkStart w:id="27" w:name="_Toc28359084"/>
      <w:bookmarkStart w:id="28" w:name="_Toc28359007"/>
      <w:bookmarkStart w:id="29" w:name="_Toc35393625"/>
      <w:bookmarkStart w:id="30" w:name="_Toc58430309"/>
      <w:bookmarkStart w:id="31" w:name="_Toc35393794"/>
      <w:r>
        <w:rPr>
          <w:rFonts w:hint="eastAsia" w:ascii="宋体" w:hAnsi="宋体" w:eastAsia="宋体" w:cs="宋体"/>
          <w:color w:val="auto"/>
          <w:sz w:val="24"/>
          <w:szCs w:val="24"/>
          <w:highlight w:val="none"/>
        </w:rPr>
        <w:t>五、</w:t>
      </w:r>
      <w:bookmarkEnd w:id="27"/>
      <w:bookmarkEnd w:id="28"/>
      <w:bookmarkEnd w:id="29"/>
      <w:bookmarkEnd w:id="30"/>
      <w:bookmarkEnd w:id="31"/>
      <w:bookmarkStart w:id="32" w:name="_Toc58430310"/>
      <w:r>
        <w:rPr>
          <w:rFonts w:hint="eastAsia" w:ascii="宋体" w:hAnsi="宋体" w:eastAsia="宋体" w:cs="宋体"/>
          <w:color w:val="auto"/>
          <w:sz w:val="24"/>
          <w:szCs w:val="24"/>
          <w:highlight w:val="none"/>
        </w:rPr>
        <w:t>投标保证金金额及缴纳账户</w:t>
      </w:r>
      <w:bookmarkEnd w:id="32"/>
    </w:p>
    <w:p w14:paraId="425070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是否要求投标人提交投标保证金：</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w:t>
      </w:r>
    </w:p>
    <w:p w14:paraId="09E967AC">
      <w:pPr>
        <w:pStyle w:val="3"/>
        <w:numPr>
          <w:ilvl w:val="1"/>
          <w:numId w:val="0"/>
        </w:numPr>
        <w:spacing w:line="400" w:lineRule="exact"/>
        <w:ind w:left="851" w:hanging="420"/>
        <w:rPr>
          <w:rFonts w:ascii="宋体" w:hAnsi="宋体" w:eastAsia="宋体" w:cs="宋体"/>
          <w:color w:val="auto"/>
          <w:sz w:val="24"/>
          <w:szCs w:val="24"/>
          <w:highlight w:val="none"/>
        </w:rPr>
      </w:pPr>
      <w:bookmarkStart w:id="33" w:name="_Toc58430312"/>
      <w:r>
        <w:rPr>
          <w:rFonts w:hint="eastAsia" w:ascii="宋体" w:hAnsi="宋体" w:eastAsia="宋体" w:cs="宋体"/>
          <w:color w:val="auto"/>
          <w:sz w:val="24"/>
          <w:szCs w:val="24"/>
          <w:highlight w:val="none"/>
        </w:rPr>
        <w:t>六、对本次招标提出询问，请按以下方式联系</w:t>
      </w:r>
      <w:bookmarkEnd w:id="33"/>
    </w:p>
    <w:p w14:paraId="046A07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14:paraId="6790B2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称：滁州市兴滁矿业投资集团有限公司  </w:t>
      </w:r>
    </w:p>
    <w:p w14:paraId="009733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址：滁州市城投大厦</w:t>
      </w:r>
      <w:r>
        <w:rPr>
          <w:rFonts w:hint="eastAsia" w:ascii="宋体" w:hAnsi="宋体" w:cs="宋体"/>
          <w:color w:val="auto"/>
          <w:sz w:val="24"/>
          <w:szCs w:val="24"/>
          <w:highlight w:val="none"/>
          <w:lang w:val="en-US" w:eastAsia="zh-CN"/>
        </w:rPr>
        <w:t>7楼</w:t>
      </w:r>
    </w:p>
    <w:p w14:paraId="077C4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4" w:name="_Toc28359009"/>
      <w:bookmarkStart w:id="35" w:name="_Toc28359086"/>
      <w:r>
        <w:rPr>
          <w:rFonts w:hint="eastAsia" w:ascii="宋体" w:hAnsi="宋体" w:eastAsia="宋体" w:cs="宋体"/>
          <w:color w:val="auto"/>
          <w:sz w:val="24"/>
          <w:szCs w:val="24"/>
          <w:highlight w:val="none"/>
        </w:rPr>
        <w:t>2.代理机构信息</w:t>
      </w:r>
      <w:bookmarkEnd w:id="34"/>
      <w:bookmarkEnd w:id="35"/>
    </w:p>
    <w:p w14:paraId="32943B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称：滁州市城投工程咨询管理有限公司</w:t>
      </w:r>
    </w:p>
    <w:p w14:paraId="0409E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址：滁州市龙蟠大道109号房产大厦六楼</w:t>
      </w:r>
    </w:p>
    <w:p w14:paraId="6306A9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6" w:name="_Toc28359010"/>
      <w:bookmarkStart w:id="37" w:name="_Toc28359087"/>
      <w:r>
        <w:rPr>
          <w:rFonts w:hint="eastAsia" w:ascii="宋体" w:hAnsi="宋体" w:eastAsia="宋体" w:cs="宋体"/>
          <w:color w:val="auto"/>
          <w:sz w:val="24"/>
          <w:szCs w:val="24"/>
          <w:highlight w:val="none"/>
        </w:rPr>
        <w:t>3.项目联系方式</w:t>
      </w:r>
      <w:bookmarkEnd w:id="36"/>
      <w:bookmarkEnd w:id="37"/>
    </w:p>
    <w:p w14:paraId="600456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项目联系人：陈倩倩、</w:t>
      </w:r>
      <w:r>
        <w:rPr>
          <w:rFonts w:hint="eastAsia" w:ascii="宋体" w:hAnsi="宋体" w:cs="宋体"/>
          <w:color w:val="auto"/>
          <w:sz w:val="24"/>
          <w:szCs w:val="24"/>
          <w:highlight w:val="none"/>
          <w:lang w:val="en-US" w:eastAsia="zh-CN"/>
        </w:rPr>
        <w:t>田甜</w:t>
      </w:r>
    </w:p>
    <w:p w14:paraId="7C71CC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话：18726618862、</w:t>
      </w:r>
      <w:r>
        <w:rPr>
          <w:rFonts w:hint="eastAsia" w:ascii="宋体" w:hAnsi="宋体" w:cs="宋体"/>
          <w:color w:val="auto"/>
          <w:sz w:val="24"/>
          <w:szCs w:val="24"/>
          <w:highlight w:val="none"/>
          <w:lang w:val="en-US" w:eastAsia="zh-CN"/>
        </w:rPr>
        <w:t>15955005370</w:t>
      </w:r>
    </w:p>
    <w:p w14:paraId="3226D586">
      <w:pPr>
        <w:spacing w:before="159" w:beforeLines="50" w:after="159" w:afterLines="50" w:line="440" w:lineRule="exact"/>
        <w:rPr>
          <w:rFonts w:ascii="宋体" w:hAnsi="宋体" w:cs="宋体"/>
          <w:b/>
          <w:bCs/>
          <w:color w:val="auto"/>
          <w:sz w:val="28"/>
          <w:szCs w:val="28"/>
          <w:highlight w:val="none"/>
        </w:rPr>
      </w:pPr>
    </w:p>
    <w:p w14:paraId="6D297DAF">
      <w:pPr>
        <w:rPr>
          <w:rFonts w:hint="eastAsia" w:ascii="宋体" w:hAnsi="宋体" w:cs="宋体"/>
          <w:b/>
          <w:bCs/>
          <w:color w:val="auto"/>
          <w:sz w:val="28"/>
          <w:szCs w:val="28"/>
          <w:highlight w:val="none"/>
        </w:rPr>
      </w:pPr>
      <w:bookmarkStart w:id="38" w:name="_Toc21817"/>
      <w:bookmarkStart w:id="39" w:name="_Toc5455"/>
      <w:r>
        <w:rPr>
          <w:rFonts w:hint="eastAsia" w:ascii="宋体" w:hAnsi="宋体" w:cs="宋体"/>
          <w:b/>
          <w:bCs/>
          <w:color w:val="auto"/>
          <w:sz w:val="28"/>
          <w:szCs w:val="28"/>
          <w:highlight w:val="none"/>
        </w:rPr>
        <w:br w:type="page"/>
      </w:r>
    </w:p>
    <w:p w14:paraId="283F7583">
      <w:pPr>
        <w:pStyle w:val="26"/>
        <w:ind w:left="0" w:leftChars="0" w:firstLine="0" w:firstLineChars="0"/>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第二章投标须知</w:t>
      </w:r>
      <w:bookmarkEnd w:id="38"/>
    </w:p>
    <w:p w14:paraId="18ED64B9">
      <w:pPr>
        <w:spacing w:before="159" w:beforeLines="50" w:after="159" w:afterLines="50" w:line="440" w:lineRule="exact"/>
        <w:jc w:val="center"/>
        <w:outlineLvl w:val="0"/>
        <w:rPr>
          <w:rFonts w:ascii="宋体" w:hAnsi="宋体" w:cs="宋体"/>
          <w:color w:val="auto"/>
          <w:highlight w:val="none"/>
        </w:rPr>
      </w:pPr>
      <w:bookmarkStart w:id="40" w:name="_Toc13347"/>
      <w:bookmarkStart w:id="41" w:name="_Toc23102"/>
      <w:r>
        <w:rPr>
          <w:rFonts w:hint="eastAsia" w:ascii="宋体" w:hAnsi="宋体" w:cs="宋体"/>
          <w:b/>
          <w:bCs/>
          <w:color w:val="auto"/>
          <w:sz w:val="28"/>
          <w:szCs w:val="28"/>
          <w:highlight w:val="none"/>
        </w:rPr>
        <w:t>A、投标须知前附表</w:t>
      </w:r>
      <w:bookmarkEnd w:id="39"/>
      <w:bookmarkEnd w:id="40"/>
      <w:bookmarkEnd w:id="41"/>
    </w:p>
    <w:tbl>
      <w:tblPr>
        <w:tblStyle w:val="45"/>
        <w:tblW w:w="9967" w:type="dxa"/>
        <w:jc w:val="center"/>
        <w:tblLayout w:type="fixed"/>
        <w:tblCellMar>
          <w:top w:w="0" w:type="dxa"/>
          <w:left w:w="0" w:type="dxa"/>
          <w:bottom w:w="0" w:type="dxa"/>
          <w:right w:w="0" w:type="dxa"/>
        </w:tblCellMar>
      </w:tblPr>
      <w:tblGrid>
        <w:gridCol w:w="831"/>
        <w:gridCol w:w="1881"/>
        <w:gridCol w:w="7255"/>
      </w:tblGrid>
      <w:tr w14:paraId="0F73D82C">
        <w:tblPrEx>
          <w:tblCellMar>
            <w:top w:w="0" w:type="dxa"/>
            <w:left w:w="0" w:type="dxa"/>
            <w:bottom w:w="0" w:type="dxa"/>
            <w:right w:w="0" w:type="dxa"/>
          </w:tblCellMar>
        </w:tblPrEx>
        <w:trPr>
          <w:trHeight w:val="58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350D1A2">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编号</w:t>
            </w:r>
          </w:p>
        </w:tc>
        <w:tc>
          <w:tcPr>
            <w:tcW w:w="1881" w:type="dxa"/>
            <w:tcBorders>
              <w:top w:val="single" w:color="auto" w:sz="8" w:space="0"/>
              <w:left w:val="single" w:color="auto" w:sz="4" w:space="0"/>
              <w:bottom w:val="single" w:color="auto" w:sz="8" w:space="0"/>
              <w:right w:val="single" w:color="auto" w:sz="4" w:space="0"/>
            </w:tcBorders>
            <w:vAlign w:val="center"/>
          </w:tcPr>
          <w:p w14:paraId="67C0255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内容</w:t>
            </w:r>
          </w:p>
        </w:tc>
        <w:tc>
          <w:tcPr>
            <w:tcW w:w="7255" w:type="dxa"/>
            <w:tcBorders>
              <w:top w:val="single" w:color="auto" w:sz="8" w:space="0"/>
              <w:left w:val="single" w:color="auto" w:sz="4" w:space="0"/>
              <w:bottom w:val="single" w:color="auto" w:sz="8" w:space="0"/>
              <w:right w:val="single" w:color="auto" w:sz="8" w:space="0"/>
            </w:tcBorders>
            <w:vAlign w:val="center"/>
          </w:tcPr>
          <w:p w14:paraId="02B7912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说明与要求</w:t>
            </w:r>
          </w:p>
        </w:tc>
      </w:tr>
      <w:tr w14:paraId="46D65605">
        <w:tblPrEx>
          <w:tblCellMar>
            <w:top w:w="0" w:type="dxa"/>
            <w:left w:w="0" w:type="dxa"/>
            <w:bottom w:w="0" w:type="dxa"/>
            <w:right w:w="0" w:type="dxa"/>
          </w:tblCellMar>
        </w:tblPrEx>
        <w:trPr>
          <w:trHeight w:val="9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30D54F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81" w:type="dxa"/>
            <w:tcBorders>
              <w:top w:val="single" w:color="auto" w:sz="8" w:space="0"/>
              <w:left w:val="single" w:color="auto" w:sz="4" w:space="0"/>
              <w:bottom w:val="single" w:color="auto" w:sz="8" w:space="0"/>
              <w:right w:val="single" w:color="auto" w:sz="4" w:space="0"/>
            </w:tcBorders>
            <w:vAlign w:val="center"/>
          </w:tcPr>
          <w:p w14:paraId="6933F6A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14:paraId="5085C7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工程名称：玄武岩新型建材一期年产300万吨玄武岩建筑骨料和100万吨机制砂项目，磐谷高科凹凸棒初加工1号线延伸改造、2号3号线新建项目结算复审服务招标</w:t>
            </w:r>
            <w:r>
              <w:rPr>
                <w:rFonts w:hint="eastAsia" w:ascii="宋体" w:hAnsi="宋体" w:cs="宋体"/>
                <w:color w:val="auto"/>
                <w:kern w:val="0"/>
                <w:sz w:val="24"/>
                <w:szCs w:val="24"/>
                <w:highlight w:val="none"/>
                <w:lang w:eastAsia="zh-CN"/>
              </w:rPr>
              <w:t>。</w:t>
            </w:r>
          </w:p>
          <w:p w14:paraId="79979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建设地点：</w:t>
            </w:r>
            <w:r>
              <w:rPr>
                <w:rFonts w:hint="eastAsia" w:ascii="宋体" w:hAnsi="宋体" w:eastAsia="宋体" w:cs="宋体"/>
                <w:color w:val="auto"/>
                <w:kern w:val="0"/>
                <w:sz w:val="24"/>
                <w:szCs w:val="24"/>
                <w:highlight w:val="none"/>
                <w:lang w:val="en-US" w:eastAsia="zh-CN"/>
              </w:rPr>
              <w:t>滁州市</w:t>
            </w:r>
            <w:r>
              <w:rPr>
                <w:rFonts w:hint="eastAsia" w:ascii="宋体" w:hAnsi="宋体" w:cs="宋体"/>
                <w:color w:val="auto"/>
                <w:kern w:val="0"/>
                <w:sz w:val="24"/>
                <w:szCs w:val="24"/>
                <w:highlight w:val="none"/>
                <w:lang w:val="en-US" w:eastAsia="zh-CN"/>
              </w:rPr>
              <w:t>内</w:t>
            </w:r>
          </w:p>
          <w:p w14:paraId="4E4E0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建设规模：玄武岩新型建材一期年产300万吨玄武岩建筑骨料和100万吨机制砂项目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投资</w:t>
            </w:r>
            <w:r>
              <w:rPr>
                <w:rFonts w:hint="eastAsia" w:ascii="宋体" w:hAnsi="宋体" w:eastAsia="宋体" w:cs="宋体"/>
                <w:color w:val="auto"/>
                <w:kern w:val="0"/>
                <w:sz w:val="24"/>
                <w:szCs w:val="24"/>
                <w:highlight w:val="none"/>
              </w:rPr>
              <w:t>约</w:t>
            </w:r>
            <w:r>
              <w:rPr>
                <w:rFonts w:hint="eastAsia" w:ascii="宋体" w:hAnsi="宋体" w:eastAsia="宋体" w:cs="宋体"/>
                <w:color w:val="auto"/>
                <w:kern w:val="0"/>
                <w:sz w:val="24"/>
                <w:szCs w:val="24"/>
                <w:highlight w:val="none"/>
                <w:lang w:val="en-US" w:eastAsia="zh-CN"/>
              </w:rPr>
              <w:t>1.8亿元；</w:t>
            </w:r>
            <w:r>
              <w:rPr>
                <w:rFonts w:hint="eastAsia" w:ascii="宋体" w:hAnsi="宋体" w:eastAsia="宋体" w:cs="宋体"/>
                <w:color w:val="auto"/>
                <w:kern w:val="0"/>
                <w:sz w:val="24"/>
                <w:szCs w:val="24"/>
                <w:highlight w:val="none"/>
              </w:rPr>
              <w:t>磐谷高科凹凸棒初加工1号线延伸改造、2号3号线新建项目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投资</w:t>
            </w:r>
            <w:r>
              <w:rPr>
                <w:rFonts w:hint="eastAsia" w:ascii="宋体" w:hAnsi="宋体" w:eastAsia="宋体" w:cs="宋体"/>
                <w:color w:val="auto"/>
                <w:kern w:val="0"/>
                <w:sz w:val="24"/>
                <w:szCs w:val="24"/>
                <w:highlight w:val="none"/>
              </w:rPr>
              <w:t>约</w:t>
            </w:r>
            <w:r>
              <w:rPr>
                <w:rFonts w:hint="eastAsia" w:ascii="宋体" w:hAnsi="宋体" w:eastAsia="宋体" w:cs="宋体"/>
                <w:color w:val="auto"/>
                <w:kern w:val="0"/>
                <w:sz w:val="24"/>
                <w:szCs w:val="24"/>
                <w:highlight w:val="none"/>
                <w:lang w:val="en-US" w:eastAsia="zh-CN"/>
              </w:rPr>
              <w:t>1600万元</w:t>
            </w:r>
            <w:r>
              <w:rPr>
                <w:rFonts w:hint="eastAsia" w:ascii="宋体" w:hAnsi="宋体" w:eastAsia="宋体" w:cs="宋体"/>
                <w:color w:val="auto"/>
                <w:kern w:val="0"/>
                <w:sz w:val="24"/>
                <w:szCs w:val="24"/>
                <w:highlight w:val="none"/>
              </w:rPr>
              <w:t>。</w:t>
            </w:r>
          </w:p>
        </w:tc>
      </w:tr>
      <w:tr w14:paraId="01510604">
        <w:tblPrEx>
          <w:tblCellMar>
            <w:top w:w="0" w:type="dxa"/>
            <w:left w:w="0" w:type="dxa"/>
            <w:bottom w:w="0" w:type="dxa"/>
            <w:right w:w="0" w:type="dxa"/>
          </w:tblCellMar>
        </w:tblPrEx>
        <w:trPr>
          <w:trHeight w:val="25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0B7D80B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81" w:type="dxa"/>
            <w:tcBorders>
              <w:top w:val="single" w:color="auto" w:sz="8" w:space="0"/>
              <w:left w:val="single" w:color="auto" w:sz="4" w:space="0"/>
              <w:bottom w:val="single" w:color="auto" w:sz="8" w:space="0"/>
              <w:right w:val="single" w:color="auto" w:sz="4" w:space="0"/>
            </w:tcBorders>
            <w:vAlign w:val="center"/>
          </w:tcPr>
          <w:p w14:paraId="79A1B3A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14:paraId="42B3BA67">
            <w:pPr>
              <w:keepNext w:val="0"/>
              <w:keepLines w:val="0"/>
              <w:suppressLineNumbers w:val="0"/>
              <w:spacing w:before="0" w:beforeAutospacing="0" w:after="0" w:afterAutospacing="0" w:line="440" w:lineRule="exact"/>
              <w:ind w:left="0" w:right="0"/>
              <w:rPr>
                <w:rFonts w:hint="default" w:ascii="宋体" w:hAnsi="宋体" w:cs="宋体"/>
                <w:kern w:val="0"/>
                <w:sz w:val="24"/>
                <w:highlight w:val="none"/>
              </w:rPr>
            </w:pPr>
            <w:r>
              <w:rPr>
                <w:rFonts w:hint="default" w:ascii="宋体" w:hAnsi="宋体" w:cs="宋体"/>
                <w:kern w:val="0"/>
                <w:sz w:val="24"/>
                <w:highlight w:val="none"/>
              </w:rPr>
              <w:t>对跟踪审计单位</w:t>
            </w:r>
            <w:r>
              <w:rPr>
                <w:rFonts w:hint="eastAsia" w:ascii="宋体" w:hAnsi="宋体" w:cs="宋体"/>
                <w:kern w:val="0"/>
                <w:sz w:val="24"/>
                <w:highlight w:val="none"/>
              </w:rPr>
              <w:t>的审计</w:t>
            </w:r>
            <w:r>
              <w:rPr>
                <w:rFonts w:hint="default" w:ascii="宋体" w:hAnsi="宋体" w:cs="宋体"/>
                <w:kern w:val="0"/>
                <w:sz w:val="24"/>
                <w:highlight w:val="none"/>
              </w:rPr>
              <w:t>成果进行复审，主要包括但不限于以下内容：</w:t>
            </w:r>
          </w:p>
          <w:p w14:paraId="78EC4F6D">
            <w:pPr>
              <w:keepNext w:val="0"/>
              <w:keepLines w:val="0"/>
              <w:suppressLineNumbers w:val="0"/>
              <w:spacing w:before="0" w:beforeAutospacing="0" w:after="0" w:afterAutospacing="0" w:line="440" w:lineRule="exact"/>
              <w:ind w:left="0" w:right="0"/>
              <w:rPr>
                <w:rFonts w:hint="default" w:ascii="宋体" w:hAnsi="宋体" w:cs="宋体"/>
                <w:kern w:val="0"/>
                <w:sz w:val="24"/>
                <w:highlight w:val="none"/>
              </w:rPr>
            </w:pPr>
            <w:r>
              <w:rPr>
                <w:rFonts w:hint="default" w:ascii="宋体" w:hAnsi="宋体" w:cs="宋体"/>
                <w:kern w:val="0"/>
                <w:sz w:val="24"/>
                <w:highlight w:val="none"/>
              </w:rPr>
              <w:t>1.资料完整性审查，按照工程结算审计要求审查资料的完整性；</w:t>
            </w:r>
          </w:p>
          <w:p w14:paraId="186CB6B0">
            <w:pPr>
              <w:keepNext w:val="0"/>
              <w:keepLines w:val="0"/>
              <w:suppressLineNumbers w:val="0"/>
              <w:spacing w:before="0" w:beforeAutospacing="0" w:after="0" w:afterAutospacing="0" w:line="440" w:lineRule="exact"/>
              <w:ind w:left="0" w:right="0"/>
              <w:rPr>
                <w:rFonts w:hint="default" w:ascii="宋体" w:hAnsi="宋体" w:cs="宋体"/>
                <w:kern w:val="0"/>
                <w:sz w:val="24"/>
                <w:highlight w:val="none"/>
              </w:rPr>
            </w:pPr>
            <w:r>
              <w:rPr>
                <w:rFonts w:hint="default" w:ascii="宋体" w:hAnsi="宋体" w:cs="宋体"/>
                <w:kern w:val="0"/>
                <w:sz w:val="24"/>
                <w:highlight w:val="none"/>
              </w:rPr>
              <w:t>2.项目工程量计算、计价方式、对定额套用、工程类别、取费标准等合理性进行核查；</w:t>
            </w:r>
          </w:p>
          <w:p w14:paraId="2EAAF26F">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0"/>
                <w:sz w:val="24"/>
                <w:szCs w:val="24"/>
                <w:highlight w:val="none"/>
                <w:lang w:eastAsia="zh-CN"/>
              </w:rPr>
            </w:pPr>
            <w:r>
              <w:rPr>
                <w:rFonts w:hint="default" w:ascii="宋体" w:hAnsi="宋体" w:cs="宋体"/>
                <w:kern w:val="0"/>
                <w:sz w:val="24"/>
                <w:highlight w:val="none"/>
              </w:rPr>
              <w:t>3.工程变更、签证、索赔等手续合法、合规、合理性审查；</w:t>
            </w:r>
          </w:p>
        </w:tc>
      </w:tr>
      <w:tr w14:paraId="5FF779D8">
        <w:tblPrEx>
          <w:tblCellMar>
            <w:top w:w="0" w:type="dxa"/>
            <w:left w:w="0" w:type="dxa"/>
            <w:bottom w:w="0" w:type="dxa"/>
            <w:right w:w="0" w:type="dxa"/>
          </w:tblCellMar>
        </w:tblPrEx>
        <w:trPr>
          <w:trHeight w:val="31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49F4C31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81" w:type="dxa"/>
            <w:tcBorders>
              <w:top w:val="single" w:color="auto" w:sz="8" w:space="0"/>
              <w:left w:val="single" w:color="auto" w:sz="4" w:space="0"/>
              <w:bottom w:val="single" w:color="auto" w:sz="8" w:space="0"/>
              <w:right w:val="single" w:color="auto" w:sz="4" w:space="0"/>
            </w:tcBorders>
            <w:vAlign w:val="center"/>
          </w:tcPr>
          <w:p w14:paraId="5566B79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w:t>
            </w:r>
            <w:r>
              <w:rPr>
                <w:rFonts w:hint="eastAsia" w:ascii="宋体" w:hAnsi="宋体" w:eastAsia="宋体" w:cs="宋体"/>
                <w:color w:val="auto"/>
                <w:kern w:val="0"/>
                <w:sz w:val="24"/>
                <w:szCs w:val="24"/>
                <w:highlight w:val="none"/>
              </w:rPr>
              <w:t>要求</w:t>
            </w:r>
          </w:p>
        </w:tc>
        <w:tc>
          <w:tcPr>
            <w:tcW w:w="7255" w:type="dxa"/>
            <w:tcBorders>
              <w:top w:val="single" w:color="auto" w:sz="8" w:space="0"/>
              <w:left w:val="single" w:color="auto" w:sz="4" w:space="0"/>
              <w:bottom w:val="single" w:color="auto" w:sz="8" w:space="0"/>
              <w:right w:val="single" w:color="auto" w:sz="8" w:space="0"/>
            </w:tcBorders>
            <w:vAlign w:val="center"/>
          </w:tcPr>
          <w:p w14:paraId="58EF34F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（1）自合同签订之日起至完成对跟审单位全部成果的复核并出具复审报告，复审报告经跟审单位和甲方确认，项目完成竣工结算审核为止。</w:t>
            </w:r>
          </w:p>
          <w:p w14:paraId="6CA6F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（2）复审单位在收到跟审单位分</w:t>
            </w:r>
            <w:r>
              <w:rPr>
                <w:rFonts w:hint="eastAsia" w:ascii="宋体" w:hAnsi="宋体" w:cs="宋体"/>
                <w:color w:val="auto"/>
                <w:sz w:val="24"/>
                <w:szCs w:val="24"/>
                <w:highlight w:val="none"/>
                <w:lang w:val="en-US" w:eastAsia="zh-CN"/>
              </w:rPr>
              <w:t>别</w:t>
            </w:r>
            <w:r>
              <w:rPr>
                <w:rFonts w:hint="eastAsia" w:ascii="宋体" w:hAnsi="宋体" w:eastAsia="宋体" w:cs="宋体"/>
                <w:color w:val="auto"/>
                <w:sz w:val="24"/>
                <w:szCs w:val="24"/>
                <w:highlight w:val="none"/>
              </w:rPr>
              <w:t>出具的审核报告</w:t>
            </w:r>
            <w:r>
              <w:rPr>
                <w:rFonts w:hint="eastAsia" w:ascii="宋体" w:hAnsi="宋体" w:cs="宋体"/>
                <w:color w:val="auto"/>
                <w:sz w:val="24"/>
                <w:szCs w:val="24"/>
                <w:highlight w:val="none"/>
                <w:lang w:val="en-US" w:eastAsia="zh-CN"/>
              </w:rPr>
              <w:t>并在资料齐全的情况下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玄武岩加工厂复审报告不超过15个日历天，凹凸棒初加工厂项目不超过5个日历天内完成</w:t>
            </w:r>
            <w:r>
              <w:rPr>
                <w:rFonts w:hint="eastAsia" w:ascii="宋体" w:hAnsi="宋体" w:eastAsia="宋体" w:cs="宋体"/>
                <w:color w:val="auto"/>
                <w:sz w:val="24"/>
                <w:szCs w:val="24"/>
                <w:highlight w:val="none"/>
              </w:rPr>
              <w:t>。</w:t>
            </w:r>
          </w:p>
          <w:p w14:paraId="28CF3CC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投标人自报的承诺工期为考核标准，投标人若不能如期完成，工期每延误一天，处以</w:t>
            </w:r>
            <w:r>
              <w:rPr>
                <w:rFonts w:hint="eastAsia" w:ascii="宋体" w:hAnsi="宋体" w:eastAsia="宋体" w:cs="宋体"/>
                <w:color w:val="auto"/>
                <w:sz w:val="24"/>
                <w:szCs w:val="24"/>
                <w:highlight w:val="none"/>
                <w:lang w:val="en-US" w:eastAsia="zh-CN"/>
              </w:rPr>
              <w:t xml:space="preserve"> 500</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lang w:eastAsia="zh-CN"/>
              </w:rPr>
              <w:t>。</w:t>
            </w:r>
          </w:p>
        </w:tc>
      </w:tr>
      <w:tr w14:paraId="3106FCAA">
        <w:tblPrEx>
          <w:tblCellMar>
            <w:top w:w="0" w:type="dxa"/>
            <w:left w:w="0" w:type="dxa"/>
            <w:bottom w:w="0" w:type="dxa"/>
            <w:right w:w="0" w:type="dxa"/>
          </w:tblCellMar>
        </w:tblPrEx>
        <w:trPr>
          <w:trHeight w:val="42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73BAC82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81" w:type="dxa"/>
            <w:tcBorders>
              <w:top w:val="single" w:color="auto" w:sz="8" w:space="0"/>
              <w:left w:val="single" w:color="auto" w:sz="4" w:space="0"/>
              <w:bottom w:val="single" w:color="auto" w:sz="8" w:space="0"/>
              <w:right w:val="single" w:color="auto" w:sz="4" w:space="0"/>
            </w:tcBorders>
            <w:vAlign w:val="center"/>
          </w:tcPr>
          <w:p w14:paraId="52638CA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14:paraId="44016F7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出具的工程造价咨询成果文件质量应符合现行国家或行业工程计价有关规定、标准、规范的要求</w:t>
            </w:r>
            <w:r>
              <w:rPr>
                <w:rFonts w:hint="eastAsia" w:ascii="宋体" w:hAnsi="宋体" w:eastAsia="宋体" w:cs="宋体"/>
                <w:color w:val="auto"/>
                <w:sz w:val="24"/>
                <w:szCs w:val="24"/>
                <w:highlight w:val="none"/>
                <w:lang w:eastAsia="zh-CN"/>
              </w:rPr>
              <w:t>。</w:t>
            </w:r>
          </w:p>
        </w:tc>
      </w:tr>
      <w:tr w14:paraId="2E774432">
        <w:tblPrEx>
          <w:tblCellMar>
            <w:top w:w="0" w:type="dxa"/>
            <w:left w:w="0" w:type="dxa"/>
            <w:bottom w:w="0" w:type="dxa"/>
            <w:right w:w="0" w:type="dxa"/>
          </w:tblCellMar>
        </w:tblPrEx>
        <w:trPr>
          <w:trHeight w:val="991"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04E3807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81" w:type="dxa"/>
            <w:tcBorders>
              <w:top w:val="single" w:color="auto" w:sz="8" w:space="0"/>
              <w:left w:val="single" w:color="auto" w:sz="4" w:space="0"/>
              <w:bottom w:val="single" w:color="auto" w:sz="8" w:space="0"/>
              <w:right w:val="single" w:color="auto" w:sz="4" w:space="0"/>
            </w:tcBorders>
            <w:vAlign w:val="center"/>
          </w:tcPr>
          <w:p w14:paraId="7F87543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投标人资质</w:t>
            </w:r>
          </w:p>
          <w:p w14:paraId="0F128A2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14:paraId="3791336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详见招标公告</w:t>
            </w:r>
          </w:p>
        </w:tc>
      </w:tr>
      <w:tr w14:paraId="6577395B">
        <w:tblPrEx>
          <w:tblCellMar>
            <w:top w:w="0" w:type="dxa"/>
            <w:left w:w="0" w:type="dxa"/>
            <w:bottom w:w="0" w:type="dxa"/>
            <w:right w:w="0" w:type="dxa"/>
          </w:tblCellMar>
        </w:tblPrEx>
        <w:trPr>
          <w:trHeight w:val="65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4025C16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81" w:type="dxa"/>
            <w:tcBorders>
              <w:top w:val="single" w:color="auto" w:sz="8" w:space="0"/>
              <w:left w:val="single" w:color="auto" w:sz="4" w:space="0"/>
              <w:bottom w:val="single" w:color="auto" w:sz="8" w:space="0"/>
              <w:right w:val="single" w:color="auto" w:sz="4" w:space="0"/>
            </w:tcBorders>
            <w:vAlign w:val="center"/>
          </w:tcPr>
          <w:p w14:paraId="2276D3B8">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14:paraId="3E251A02">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不再集中召开招标答疑会；投标人自行组织勘察现场。</w:t>
            </w:r>
          </w:p>
        </w:tc>
      </w:tr>
      <w:tr w14:paraId="590210DE">
        <w:tblPrEx>
          <w:tblCellMar>
            <w:top w:w="0" w:type="dxa"/>
            <w:left w:w="0" w:type="dxa"/>
            <w:bottom w:w="0" w:type="dxa"/>
            <w:right w:w="0" w:type="dxa"/>
          </w:tblCellMar>
        </w:tblPrEx>
        <w:trPr>
          <w:trHeight w:val="43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57CB16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81" w:type="dxa"/>
            <w:tcBorders>
              <w:top w:val="single" w:color="auto" w:sz="8" w:space="0"/>
              <w:left w:val="single" w:color="auto" w:sz="4" w:space="0"/>
              <w:bottom w:val="single" w:color="auto" w:sz="8" w:space="0"/>
              <w:right w:val="single" w:color="auto" w:sz="4" w:space="0"/>
            </w:tcBorders>
            <w:vAlign w:val="center"/>
          </w:tcPr>
          <w:p w14:paraId="04784D13">
            <w:pPr>
              <w:pStyle w:val="25"/>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260" w:right="0" w:hanging="1440" w:hangingChars="6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14:paraId="4A1BE7C4">
            <w:pPr>
              <w:pStyle w:val="25"/>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网上递交的电子投标文件：一份。以投标人在投标截止时间前网上递交的电子投标文件为准，逾期提交的，投标文件将被拒绝。</w:t>
            </w:r>
          </w:p>
        </w:tc>
      </w:tr>
      <w:tr w14:paraId="49801B1D">
        <w:tblPrEx>
          <w:tblCellMar>
            <w:top w:w="0" w:type="dxa"/>
            <w:left w:w="0" w:type="dxa"/>
            <w:bottom w:w="0" w:type="dxa"/>
            <w:right w:w="0" w:type="dxa"/>
          </w:tblCellMar>
        </w:tblPrEx>
        <w:trPr>
          <w:trHeight w:val="6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69316E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881" w:type="dxa"/>
            <w:tcBorders>
              <w:top w:val="single" w:color="auto" w:sz="8" w:space="0"/>
              <w:left w:val="single" w:color="auto" w:sz="4" w:space="0"/>
              <w:bottom w:val="single" w:color="auto" w:sz="8" w:space="0"/>
              <w:right w:val="single" w:color="auto" w:sz="4" w:space="0"/>
            </w:tcBorders>
            <w:vAlign w:val="center"/>
          </w:tcPr>
          <w:p w14:paraId="50C1BCC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14:paraId="17087FF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不要求</w:t>
            </w:r>
          </w:p>
        </w:tc>
      </w:tr>
      <w:tr w14:paraId="274D6669">
        <w:tblPrEx>
          <w:tblCellMar>
            <w:top w:w="0" w:type="dxa"/>
            <w:left w:w="0" w:type="dxa"/>
            <w:bottom w:w="0" w:type="dxa"/>
            <w:right w:w="0" w:type="dxa"/>
          </w:tblCellMar>
        </w:tblPrEx>
        <w:trPr>
          <w:trHeight w:val="637"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FA21FF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881" w:type="dxa"/>
            <w:tcBorders>
              <w:top w:val="single" w:color="auto" w:sz="8" w:space="0"/>
              <w:left w:val="single" w:color="auto" w:sz="4" w:space="0"/>
              <w:bottom w:val="single" w:color="auto" w:sz="8" w:space="0"/>
              <w:right w:val="single" w:color="auto" w:sz="4" w:space="0"/>
            </w:tcBorders>
            <w:vAlign w:val="center"/>
          </w:tcPr>
          <w:p w14:paraId="13E3381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14:paraId="10C8A569">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本项目不设置履约保证金。</w:t>
            </w:r>
          </w:p>
        </w:tc>
      </w:tr>
      <w:tr w14:paraId="45A4289D">
        <w:tblPrEx>
          <w:tblCellMar>
            <w:top w:w="0" w:type="dxa"/>
            <w:left w:w="0" w:type="dxa"/>
            <w:bottom w:w="0" w:type="dxa"/>
            <w:right w:w="0" w:type="dxa"/>
          </w:tblCellMar>
        </w:tblPrEx>
        <w:trPr>
          <w:trHeight w:val="4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6C0ADC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881" w:type="dxa"/>
            <w:tcBorders>
              <w:top w:val="single" w:color="auto" w:sz="8" w:space="0"/>
              <w:left w:val="single" w:color="auto" w:sz="4" w:space="0"/>
              <w:bottom w:val="single" w:color="auto" w:sz="8" w:space="0"/>
              <w:right w:val="single" w:color="auto" w:sz="4" w:space="0"/>
            </w:tcBorders>
            <w:vAlign w:val="center"/>
          </w:tcPr>
          <w:p w14:paraId="3ECCDB9C">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255" w:type="dxa"/>
            <w:tcBorders>
              <w:top w:val="single" w:color="auto" w:sz="8" w:space="0"/>
              <w:left w:val="single" w:color="auto" w:sz="4" w:space="0"/>
              <w:bottom w:val="single" w:color="auto" w:sz="8" w:space="0"/>
              <w:right w:val="single" w:color="auto" w:sz="8" w:space="0"/>
            </w:tcBorders>
            <w:vAlign w:val="center"/>
          </w:tcPr>
          <w:p w14:paraId="5F01E5F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1）玄武岩新型建材一期年产300万吨玄武岩建筑骨料和100万吨机制砂项目的基本费用10000元（投标报价保留两位小数，第三位四舍五入）；审核成果费率2%（审核成果费率为不可竞争费率，固定不变），投标单位投标报价不得高于上述基本费率最高限价，否则按无效标处理。</w:t>
            </w:r>
          </w:p>
          <w:p w14:paraId="71F552A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2）磐谷高科凹凸棒初加工1号线延伸改造、2号3号线新建项目的基本费用5000元（投标报价保留两位小数，第三位四舍五入）；审核成果费率2%（审核成果费率为不可竞争费率，固定不变），投标单位投标报价不得高于上述基本费率最高限价，否则按无效标处理。</w:t>
            </w:r>
          </w:p>
          <w:p w14:paraId="29ED9DB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注：</w:t>
            </w:r>
          </w:p>
          <w:p w14:paraId="796AED8E">
            <w:pPr>
              <w:keepNext w:val="0"/>
              <w:keepLines w:val="0"/>
              <w:pageBreakBefore w:val="0"/>
              <w:numPr>
                <w:ilvl w:val="0"/>
                <w:numId w:val="0"/>
              </w:numPr>
              <w:suppressLineNumbers w:val="0"/>
              <w:kinsoku/>
              <w:wordWrap/>
              <w:overflowPunct/>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rPr>
              <w:t>审核成果费根据复审单位提供的复审报告在跟审单位审核的结算造价基础上的核减率计算，</w:t>
            </w:r>
            <w:r>
              <w:rPr>
                <w:rFonts w:hint="default" w:ascii="宋体" w:hAnsi="宋体" w:eastAsia="宋体" w:cs="宋体"/>
                <w:color w:val="auto"/>
                <w:sz w:val="24"/>
                <w:szCs w:val="24"/>
                <w:highlight w:val="none"/>
                <w:lang w:val="en-US"/>
              </w:rPr>
              <w:t>独立核减金额（计算基数）*2%</w:t>
            </w:r>
            <w:r>
              <w:rPr>
                <w:rFonts w:hint="eastAsia" w:ascii="宋体" w:hAnsi="宋体" w:eastAsia="宋体" w:cs="宋体"/>
                <w:color w:val="auto"/>
                <w:sz w:val="24"/>
                <w:szCs w:val="24"/>
                <w:highlight w:val="none"/>
                <w:lang w:val="en-US" w:eastAsia="zh-CN"/>
              </w:rPr>
              <w:t>。</w:t>
            </w:r>
          </w:p>
          <w:p w14:paraId="597F22F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rPr>
              <w:t>、无论任何原因（包含但不限于设计图纸变更等）导致的项目期限延长，委托人均不再增加</w:t>
            </w:r>
            <w:r>
              <w:rPr>
                <w:rFonts w:hint="eastAsia" w:ascii="宋体" w:hAnsi="宋体" w:cs="宋体"/>
                <w:color w:val="auto"/>
                <w:sz w:val="24"/>
                <w:szCs w:val="24"/>
                <w:highlight w:val="none"/>
                <w:lang w:val="en-US" w:eastAsia="zh-CN"/>
              </w:rPr>
              <w:t>复审</w:t>
            </w:r>
            <w:r>
              <w:rPr>
                <w:rFonts w:hint="default" w:ascii="宋体" w:hAnsi="宋体" w:eastAsia="宋体" w:cs="宋体"/>
                <w:color w:val="auto"/>
                <w:sz w:val="24"/>
                <w:szCs w:val="24"/>
                <w:highlight w:val="none"/>
                <w:lang w:val="en-US"/>
              </w:rPr>
              <w:t>费用</w:t>
            </w:r>
            <w:r>
              <w:rPr>
                <w:rFonts w:hint="eastAsia" w:ascii="宋体" w:hAnsi="宋体" w:cs="宋体"/>
                <w:color w:val="auto"/>
                <w:sz w:val="24"/>
                <w:szCs w:val="24"/>
                <w:highlight w:val="none"/>
                <w:lang w:val="en-US" w:eastAsia="zh-CN"/>
              </w:rPr>
              <w:t>。</w:t>
            </w:r>
          </w:p>
          <w:p w14:paraId="7233C0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rPr>
              <w:t>、投标人须认真研究项目的招标文件，并仔细踏勘现场，若对本项目有异议，应在投标答疑时向招标人提出。</w:t>
            </w:r>
          </w:p>
        </w:tc>
      </w:tr>
      <w:tr w14:paraId="0FB54455">
        <w:tblPrEx>
          <w:tblCellMar>
            <w:top w:w="0" w:type="dxa"/>
            <w:left w:w="0" w:type="dxa"/>
            <w:bottom w:w="0" w:type="dxa"/>
            <w:right w:w="0" w:type="dxa"/>
          </w:tblCellMar>
        </w:tblPrEx>
        <w:trPr>
          <w:trHeight w:val="559"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3E33C8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881" w:type="dxa"/>
            <w:tcBorders>
              <w:top w:val="single" w:color="auto" w:sz="8" w:space="0"/>
              <w:left w:val="single" w:color="auto" w:sz="4" w:space="0"/>
              <w:bottom w:val="single" w:color="auto" w:sz="8" w:space="0"/>
              <w:right w:val="single" w:color="auto" w:sz="4" w:space="0"/>
            </w:tcBorders>
            <w:vAlign w:val="center"/>
          </w:tcPr>
          <w:p w14:paraId="296C5A6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投标文件提交截止时间</w:t>
            </w:r>
          </w:p>
        </w:tc>
        <w:tc>
          <w:tcPr>
            <w:tcW w:w="7255" w:type="dxa"/>
            <w:tcBorders>
              <w:top w:val="single" w:color="auto" w:sz="8" w:space="0"/>
              <w:left w:val="single" w:color="auto" w:sz="4" w:space="0"/>
              <w:bottom w:val="single" w:color="auto" w:sz="8" w:space="0"/>
              <w:right w:val="single" w:color="auto" w:sz="8" w:space="0"/>
            </w:tcBorders>
            <w:vAlign w:val="center"/>
          </w:tcPr>
          <w:p w14:paraId="126C9894">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1、投标人须在投标文件截止时间前（2024年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日8时30分前）将投标文件以电子邮件的方式一次性发送至czsctgczx@163.com（滁州市城投工程咨询管理有限公司邮箱），投标文件格式限定为加密PDF格式，将文件命名为\“投标单位名称+项目名称\”，未在规定时间内发送的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时00分前）将投标文件以电子邮件的方式一次性发送至czsctgczx@163.com（滁州市城投工程咨询管理有限公司邮箱），投标文件格式限定为加密PDF格式，将文件命名为“投标单位名称+项目名称</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en-US"/>
              </w:rPr>
              <w:t>”，未在规定时间内发送加密PDF格式投标文件，投标将被拒绝，投标文件送达时间以滁州市城投工程咨询管理有限公司邮箱显示的邮件送达时间为准，若投标人重复发送电子投标文件的，将以2024年</w:t>
            </w:r>
            <w:r>
              <w:rPr>
                <w:rFonts w:hint="eastAsia" w:ascii="宋体" w:hAnsi="宋体" w:eastAsia="宋体" w:cs="宋体"/>
                <w:color w:val="auto"/>
                <w:sz w:val="24"/>
                <w:szCs w:val="24"/>
                <w:highlight w:val="none"/>
                <w:lang w:val="en-US"/>
              </w:rPr>
              <w:fldChar w:fldCharType="end"/>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时00分前最后收到的投标文件为准,投标文件无法打开的，由投标人自行承担后果。</w:t>
            </w:r>
          </w:p>
          <w:p w14:paraId="3644781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"mailto:3、投标人在2021年11月23日8时30分至2021年11月23日9时内将投标文件的密码（投标单位名称+密码）发送至czsctgczx@163.com（滁州市城投工程咨询管理有限公司邮箱）。不在规定时间内发送密码的，投标将被拒绝。"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2、投标人在2024年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时00分至2024年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时30分将投标文件的密码（投标单位名称+密码）发送至czsctgczx@163.com（滁州市城投工程咨询管理有限公司邮箱）。未在规定时间内发送密码的，投标将被拒绝。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 w:val="24"/>
                <w:szCs w:val="24"/>
                <w:highlight w:val="none"/>
                <w:lang w:val="en-US"/>
              </w:rPr>
              <w:fldChar w:fldCharType="end"/>
            </w:r>
          </w:p>
        </w:tc>
      </w:tr>
      <w:tr w14:paraId="4E127BB6">
        <w:tblPrEx>
          <w:tblCellMar>
            <w:top w:w="0" w:type="dxa"/>
            <w:left w:w="0" w:type="dxa"/>
            <w:bottom w:w="0" w:type="dxa"/>
            <w:right w:w="0" w:type="dxa"/>
          </w:tblCellMar>
        </w:tblPrEx>
        <w:trPr>
          <w:trHeight w:val="91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492768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881" w:type="dxa"/>
            <w:tcBorders>
              <w:top w:val="single" w:color="auto" w:sz="8" w:space="0"/>
              <w:left w:val="single" w:color="auto" w:sz="4" w:space="0"/>
              <w:bottom w:val="single" w:color="auto" w:sz="8" w:space="0"/>
              <w:right w:val="single" w:color="auto" w:sz="4" w:space="0"/>
            </w:tcBorders>
            <w:vAlign w:val="center"/>
          </w:tcPr>
          <w:p w14:paraId="6E06674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w:t>
            </w:r>
          </w:p>
        </w:tc>
        <w:tc>
          <w:tcPr>
            <w:tcW w:w="7255" w:type="dxa"/>
            <w:tcBorders>
              <w:top w:val="single" w:color="auto" w:sz="8" w:space="0"/>
              <w:left w:val="single" w:color="auto" w:sz="4" w:space="0"/>
              <w:bottom w:val="single" w:color="auto" w:sz="8" w:space="0"/>
              <w:right w:val="single" w:color="auto" w:sz="8" w:space="0"/>
            </w:tcBorders>
            <w:vAlign w:val="center"/>
          </w:tcPr>
          <w:p w14:paraId="138D7444">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开标时间：2024年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点00分（北京时间）</w:t>
            </w:r>
          </w:p>
          <w:p w14:paraId="61B23E04">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开标地点：滁州市龙蟠大道109号房产商务大厦6楼</w:t>
            </w:r>
            <w:r>
              <w:rPr>
                <w:rFonts w:hint="eastAsia" w:ascii="宋体" w:hAnsi="宋体" w:cs="宋体"/>
                <w:color w:val="auto"/>
                <w:sz w:val="24"/>
                <w:szCs w:val="24"/>
                <w:highlight w:val="none"/>
                <w:u w:val="single"/>
                <w:lang w:val="en-US" w:eastAsia="zh-CN"/>
              </w:rPr>
              <w:t>622</w:t>
            </w:r>
            <w:r>
              <w:rPr>
                <w:rFonts w:hint="eastAsia" w:ascii="宋体" w:hAnsi="宋体" w:eastAsia="宋体" w:cs="宋体"/>
                <w:color w:val="auto"/>
                <w:sz w:val="24"/>
                <w:szCs w:val="24"/>
                <w:highlight w:val="none"/>
                <w:u w:val="single"/>
                <w:lang w:eastAsia="zh-CN"/>
              </w:rPr>
              <w:t>会议室</w:t>
            </w:r>
          </w:p>
        </w:tc>
      </w:tr>
      <w:tr w14:paraId="05D6E342">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0841605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881" w:type="dxa"/>
            <w:tcBorders>
              <w:top w:val="single" w:color="auto" w:sz="8" w:space="0"/>
              <w:left w:val="single" w:color="auto" w:sz="4" w:space="0"/>
              <w:bottom w:val="single" w:color="auto" w:sz="8" w:space="0"/>
              <w:right w:val="single" w:color="auto" w:sz="4" w:space="0"/>
            </w:tcBorders>
            <w:vAlign w:val="center"/>
          </w:tcPr>
          <w:p w14:paraId="6E18BD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14:paraId="6B65797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本项目的招标代理服务费</w:t>
            </w:r>
            <w:r>
              <w:rPr>
                <w:rFonts w:hint="eastAsia" w:ascii="宋体" w:hAnsi="宋体" w:cs="宋体"/>
                <w:color w:val="auto"/>
                <w:kern w:val="0"/>
                <w:sz w:val="24"/>
                <w:szCs w:val="24"/>
                <w:highlight w:val="none"/>
                <w:u w:val="single"/>
                <w:lang w:val="en-US" w:eastAsia="zh-CN"/>
              </w:rPr>
              <w:t xml:space="preserve"> 1000 </w:t>
            </w:r>
            <w:r>
              <w:rPr>
                <w:rFonts w:hint="eastAsia" w:ascii="宋体" w:hAnsi="宋体" w:eastAsia="宋体" w:cs="宋体"/>
                <w:color w:val="auto"/>
                <w:kern w:val="0"/>
                <w:sz w:val="24"/>
                <w:szCs w:val="24"/>
                <w:highlight w:val="none"/>
              </w:rPr>
              <w:t>元和专家评委费（专家评委费以实际发生为准），由中标人在领取中标通知书时，一次性支付给代理公司。</w:t>
            </w:r>
          </w:p>
        </w:tc>
      </w:tr>
      <w:tr w14:paraId="6ADFA718">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786F65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881" w:type="dxa"/>
            <w:tcBorders>
              <w:top w:val="single" w:color="auto" w:sz="8" w:space="0"/>
              <w:left w:val="single" w:color="auto" w:sz="4" w:space="0"/>
              <w:bottom w:val="single" w:color="auto" w:sz="8" w:space="0"/>
              <w:right w:val="single" w:color="auto" w:sz="4" w:space="0"/>
            </w:tcBorders>
            <w:vAlign w:val="center"/>
          </w:tcPr>
          <w:p w14:paraId="5996AAA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付款方式、时间、条件</w:t>
            </w:r>
          </w:p>
        </w:tc>
        <w:tc>
          <w:tcPr>
            <w:tcW w:w="7255" w:type="dxa"/>
            <w:tcBorders>
              <w:top w:val="single" w:color="auto" w:sz="8" w:space="0"/>
              <w:left w:val="single" w:color="auto" w:sz="4" w:space="0"/>
              <w:bottom w:val="single" w:color="auto" w:sz="8" w:space="0"/>
              <w:right w:val="single" w:color="auto" w:sz="8" w:space="0"/>
            </w:tcBorders>
            <w:vAlign w:val="center"/>
          </w:tcPr>
          <w:p w14:paraId="05BE4D3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复审单位完成对跟审单位全部成果的复核并出具复核报告，经跟审单位认可和甲方确认后，待项目完成竣工结算审核后，一次性支付基本费和审核成果费（其中审核成果费根据复审单位提供的复审报告在跟审单位审核的结算造价基础上的核减率计算，以上付款均无息）</w:t>
            </w:r>
            <w:r>
              <w:rPr>
                <w:rFonts w:hint="eastAsia" w:ascii="宋体" w:hAnsi="宋体" w:eastAsia="宋体" w:cs="宋体"/>
                <w:color w:val="auto"/>
                <w:kern w:val="0"/>
                <w:sz w:val="24"/>
                <w:szCs w:val="24"/>
                <w:highlight w:val="none"/>
              </w:rPr>
              <w:t>。</w:t>
            </w:r>
          </w:p>
        </w:tc>
      </w:tr>
      <w:tr w14:paraId="21BCCD8C">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844C66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p>
        </w:tc>
        <w:tc>
          <w:tcPr>
            <w:tcW w:w="1881" w:type="dxa"/>
            <w:tcBorders>
              <w:top w:val="single" w:color="auto" w:sz="8" w:space="0"/>
              <w:left w:val="single" w:color="auto" w:sz="4" w:space="0"/>
              <w:bottom w:val="single" w:color="auto" w:sz="8" w:space="0"/>
              <w:right w:val="single" w:color="auto" w:sz="4" w:space="0"/>
            </w:tcBorders>
            <w:vAlign w:val="center"/>
          </w:tcPr>
          <w:p w14:paraId="2BF07632">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招标文件获取方式和时间</w:t>
            </w:r>
          </w:p>
        </w:tc>
        <w:tc>
          <w:tcPr>
            <w:tcW w:w="7255" w:type="dxa"/>
            <w:tcBorders>
              <w:top w:val="single" w:color="auto" w:sz="8" w:space="0"/>
              <w:left w:val="single" w:color="auto" w:sz="4" w:space="0"/>
              <w:bottom w:val="single" w:color="auto" w:sz="8" w:space="0"/>
              <w:right w:val="single" w:color="auto" w:sz="8" w:space="0"/>
            </w:tcBorders>
          </w:tcPr>
          <w:p w14:paraId="3B21B84E">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招标文件获取方式：网上下载；</w:t>
            </w:r>
          </w:p>
          <w:p w14:paraId="79D5E030">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获取时间：招标文件发布至投标截止时间。</w:t>
            </w:r>
          </w:p>
        </w:tc>
      </w:tr>
      <w:tr w14:paraId="11C4345D">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2ABE1CD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6</w:t>
            </w:r>
          </w:p>
        </w:tc>
        <w:tc>
          <w:tcPr>
            <w:tcW w:w="1881" w:type="dxa"/>
            <w:tcBorders>
              <w:top w:val="single" w:color="auto" w:sz="8" w:space="0"/>
              <w:left w:val="single" w:color="auto" w:sz="4" w:space="0"/>
              <w:bottom w:val="single" w:color="auto" w:sz="8" w:space="0"/>
              <w:right w:val="single" w:color="auto" w:sz="4" w:space="0"/>
            </w:tcBorders>
            <w:vAlign w:val="center"/>
          </w:tcPr>
          <w:p w14:paraId="5999B3DF">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特别提示</w:t>
            </w:r>
          </w:p>
        </w:tc>
        <w:tc>
          <w:tcPr>
            <w:tcW w:w="7255" w:type="dxa"/>
            <w:tcBorders>
              <w:top w:val="single" w:color="auto" w:sz="8" w:space="0"/>
              <w:left w:val="single" w:color="auto" w:sz="4" w:space="0"/>
              <w:bottom w:val="single" w:color="auto" w:sz="8" w:space="0"/>
              <w:right w:val="single" w:color="auto" w:sz="8" w:space="0"/>
            </w:tcBorders>
          </w:tcPr>
          <w:p w14:paraId="284F159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投标人单方面出现其他投标人材料的，由评标委员会否决其投标。</w:t>
            </w:r>
          </w:p>
        </w:tc>
      </w:tr>
    </w:tbl>
    <w:p w14:paraId="2C3B0256">
      <w:pPr>
        <w:spacing w:line="420" w:lineRule="exact"/>
        <w:rPr>
          <w:rFonts w:ascii="仿宋" w:hAnsi="仿宋" w:eastAsia="仿宋" w:cs="仿宋"/>
          <w:color w:val="auto"/>
          <w:sz w:val="32"/>
          <w:szCs w:val="32"/>
          <w:highlight w:val="none"/>
        </w:rPr>
      </w:pPr>
    </w:p>
    <w:p w14:paraId="42BD12FD">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749DDFE">
      <w:pPr>
        <w:spacing w:before="95" w:beforeLines="30" w:after="95" w:afterLines="30" w:line="440" w:lineRule="exact"/>
        <w:jc w:val="center"/>
        <w:outlineLvl w:val="1"/>
        <w:rPr>
          <w:rFonts w:ascii="宋体" w:hAnsi="宋体" w:cs="宋体"/>
          <w:b/>
          <w:bCs/>
          <w:color w:val="auto"/>
          <w:sz w:val="24"/>
          <w:szCs w:val="24"/>
          <w:highlight w:val="none"/>
        </w:rPr>
      </w:pPr>
      <w:bookmarkStart w:id="42" w:name="_Toc515"/>
      <w:r>
        <w:rPr>
          <w:rFonts w:hint="eastAsia" w:ascii="宋体" w:hAnsi="宋体" w:cs="宋体"/>
          <w:b/>
          <w:bCs/>
          <w:color w:val="auto"/>
          <w:sz w:val="24"/>
          <w:szCs w:val="24"/>
          <w:highlight w:val="none"/>
        </w:rPr>
        <w:t>一、总  则</w:t>
      </w:r>
      <w:bookmarkEnd w:id="42"/>
    </w:p>
    <w:p w14:paraId="4D1678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1.工程概况</w:t>
      </w:r>
    </w:p>
    <w:p w14:paraId="3C70734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1.1本次招标工程名称：玄武岩新型建材一期年产300万吨玄武岩建筑骨料和100万吨机制砂项目，磐谷高科凹凸棒初加工1号线延伸改造、2号3号线新建项目结算复审服务招标</w:t>
      </w:r>
    </w:p>
    <w:p w14:paraId="65C0230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工程地址：</w:t>
      </w:r>
      <w:r>
        <w:rPr>
          <w:rFonts w:hint="eastAsia" w:ascii="宋体" w:hAnsi="宋体" w:cs="宋体"/>
          <w:color w:val="auto"/>
          <w:sz w:val="24"/>
          <w:szCs w:val="24"/>
          <w:highlight w:val="none"/>
          <w:lang w:val="en-US" w:eastAsia="zh-CN"/>
        </w:rPr>
        <w:t>明光市</w:t>
      </w:r>
    </w:p>
    <w:p w14:paraId="0EEB4B9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建设单位：滁州市兴滁矿业投资集团有限公司  </w:t>
      </w:r>
      <w:r>
        <w:rPr>
          <w:rFonts w:hint="eastAsia" w:ascii="宋体" w:hAnsi="宋体" w:cs="宋体"/>
          <w:color w:val="auto"/>
          <w:sz w:val="24"/>
          <w:szCs w:val="24"/>
          <w:highlight w:val="none"/>
          <w:lang w:val="en-US" w:eastAsia="zh-CN"/>
        </w:rPr>
        <w:t xml:space="preserve"> </w:t>
      </w:r>
    </w:p>
    <w:p w14:paraId="639B0E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1.2本工程建设规模：见投标人须知前附表。</w:t>
      </w:r>
      <w:r>
        <w:rPr>
          <w:rFonts w:hint="eastAsia" w:ascii="宋体" w:hAnsi="宋体" w:cs="宋体"/>
          <w:color w:val="auto"/>
          <w:kern w:val="0"/>
          <w:sz w:val="24"/>
          <w:szCs w:val="24"/>
          <w:highlight w:val="none"/>
        </w:rPr>
        <w:t xml:space="preserve"> </w:t>
      </w:r>
    </w:p>
    <w:p w14:paraId="2D25025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2. 招标范围</w:t>
      </w:r>
    </w:p>
    <w:p w14:paraId="22849E5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49F06B2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3.承包方式</w:t>
      </w:r>
    </w:p>
    <w:p w14:paraId="2909E1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3.1承包方式：</w:t>
      </w:r>
      <w:r>
        <w:rPr>
          <w:rFonts w:hint="eastAsia" w:ascii="宋体" w:hAnsi="宋体" w:cs="宋体"/>
          <w:color w:val="auto"/>
          <w:sz w:val="24"/>
          <w:szCs w:val="24"/>
          <w:highlight w:val="none"/>
          <w:u w:val="single"/>
        </w:rPr>
        <w:t xml:space="preserve">总承包 </w:t>
      </w:r>
      <w:r>
        <w:rPr>
          <w:rFonts w:hint="eastAsia" w:ascii="宋体" w:hAnsi="宋体" w:cs="宋体"/>
          <w:color w:val="auto"/>
          <w:sz w:val="24"/>
          <w:szCs w:val="24"/>
          <w:highlight w:val="none"/>
        </w:rPr>
        <w:t>。</w:t>
      </w:r>
    </w:p>
    <w:p w14:paraId="3EA4902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4.工期要求</w:t>
      </w:r>
    </w:p>
    <w:p w14:paraId="30FF19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04A0D2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5.质量要求</w:t>
      </w:r>
    </w:p>
    <w:p w14:paraId="274FAB9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6694E2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6.投标人资质等级要求</w:t>
      </w:r>
    </w:p>
    <w:p w14:paraId="139E451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7463A1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7.资金来源</w:t>
      </w:r>
    </w:p>
    <w:p w14:paraId="3F58EBA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7.1资金来源：</w:t>
      </w:r>
      <w:r>
        <w:rPr>
          <w:rFonts w:hint="eastAsia" w:ascii="宋体" w:hAnsi="宋体" w:cs="宋体"/>
          <w:color w:val="auto"/>
          <w:sz w:val="24"/>
          <w:szCs w:val="24"/>
          <w:highlight w:val="none"/>
          <w:u w:val="single"/>
        </w:rPr>
        <w:t xml:space="preserve"> 自筹资金 </w:t>
      </w:r>
      <w:r>
        <w:rPr>
          <w:rFonts w:hint="eastAsia" w:ascii="宋体" w:hAnsi="宋体" w:cs="宋体"/>
          <w:color w:val="auto"/>
          <w:sz w:val="24"/>
          <w:szCs w:val="24"/>
          <w:highlight w:val="none"/>
        </w:rPr>
        <w:t>；资金已落实。</w:t>
      </w:r>
    </w:p>
    <w:p w14:paraId="4DA663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8.标段划分</w:t>
      </w:r>
    </w:p>
    <w:p w14:paraId="4BDB6630">
      <w:pPr>
        <w:keepNext w:val="0"/>
        <w:keepLines w:val="0"/>
        <w:pageBreakBefore w:val="0"/>
        <w:widowControl w:val="0"/>
        <w:kinsoku/>
        <w:wordWrap/>
        <w:overflowPunct/>
        <w:topLinePunct w:val="0"/>
        <w:autoSpaceDE/>
        <w:autoSpaceDN/>
        <w:bidi w:val="0"/>
        <w:adjustRightInd/>
        <w:snapToGrid/>
        <w:spacing w:line="440" w:lineRule="exact"/>
        <w:ind w:right="-155" w:rightChars="-74"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8.1该工程划分：</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 xml:space="preserve">个标段  </w:t>
      </w:r>
    </w:p>
    <w:p w14:paraId="7D0DDC0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9.招标方式</w:t>
      </w:r>
    </w:p>
    <w:p w14:paraId="3C74EB9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9.1本工程招标方式：</w:t>
      </w:r>
      <w:r>
        <w:rPr>
          <w:rFonts w:hint="eastAsia" w:ascii="宋体" w:hAnsi="宋体" w:cs="宋体"/>
          <w:color w:val="auto"/>
          <w:sz w:val="24"/>
          <w:szCs w:val="24"/>
          <w:highlight w:val="none"/>
          <w:u w:val="single"/>
        </w:rPr>
        <w:t xml:space="preserve"> 自行招标 </w:t>
      </w:r>
      <w:r>
        <w:rPr>
          <w:rFonts w:hint="eastAsia" w:ascii="宋体" w:hAnsi="宋体" w:cs="宋体"/>
          <w:color w:val="auto"/>
          <w:sz w:val="24"/>
          <w:szCs w:val="24"/>
          <w:highlight w:val="none"/>
        </w:rPr>
        <w:t>。</w:t>
      </w:r>
    </w:p>
    <w:p w14:paraId="1F61E70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10.计价方式</w:t>
      </w:r>
    </w:p>
    <w:p w14:paraId="7A91667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10.1本工程合同计价方式：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单价合同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3551CB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11.评标办法</w:t>
      </w:r>
    </w:p>
    <w:p w14:paraId="491F0AA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11.1本工程评标办法：</w:t>
      </w:r>
      <w:r>
        <w:rPr>
          <w:rFonts w:hint="eastAsia" w:ascii="宋体" w:hAnsi="宋体" w:cs="宋体"/>
          <w:color w:val="auto"/>
          <w:sz w:val="24"/>
          <w:szCs w:val="24"/>
          <w:highlight w:val="none"/>
          <w:u w:val="single"/>
          <w:lang w:val="en-US" w:eastAsia="zh-CN"/>
        </w:rPr>
        <w:t>综合评估</w:t>
      </w:r>
      <w:r>
        <w:rPr>
          <w:rFonts w:hint="eastAsia" w:ascii="宋体" w:hAnsi="宋体" w:cs="宋体"/>
          <w:color w:val="auto"/>
          <w:sz w:val="24"/>
          <w:szCs w:val="24"/>
          <w:highlight w:val="none"/>
          <w:u w:val="single"/>
        </w:rPr>
        <w:t>法</w:t>
      </w:r>
      <w:r>
        <w:rPr>
          <w:rFonts w:hint="eastAsia" w:ascii="宋体" w:hAnsi="宋体" w:cs="宋体"/>
          <w:color w:val="auto"/>
          <w:sz w:val="24"/>
          <w:szCs w:val="24"/>
          <w:highlight w:val="none"/>
        </w:rPr>
        <w:t>。</w:t>
      </w:r>
    </w:p>
    <w:p w14:paraId="4D225146">
      <w:pPr>
        <w:spacing w:before="95" w:beforeLines="30" w:after="95" w:afterLines="30" w:line="440" w:lineRule="exact"/>
        <w:jc w:val="center"/>
        <w:outlineLvl w:val="1"/>
        <w:rPr>
          <w:rFonts w:ascii="宋体" w:hAnsi="宋体" w:cs="宋体"/>
          <w:color w:val="auto"/>
          <w:highlight w:val="none"/>
        </w:rPr>
      </w:pPr>
      <w:bookmarkStart w:id="43" w:name="_Toc29988"/>
      <w:r>
        <w:rPr>
          <w:rFonts w:hint="eastAsia" w:ascii="宋体" w:hAnsi="宋体" w:cs="宋体"/>
          <w:b/>
          <w:bCs/>
          <w:color w:val="auto"/>
          <w:sz w:val="24"/>
          <w:szCs w:val="24"/>
          <w:highlight w:val="none"/>
        </w:rPr>
        <w:t>二、招标文件</w:t>
      </w:r>
      <w:bookmarkEnd w:id="43"/>
    </w:p>
    <w:p w14:paraId="25EEB68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招标文件的编制依据</w:t>
      </w:r>
    </w:p>
    <w:p w14:paraId="3CD8ED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根据《中华人民共和国招标投标法》、《工程建设项目施工招标投标办法》（七部委联合部令第30号）、《评标委员会和评标方法暂行规定》（七部委联合部令第12号）、《建设工程工程量清单计价规范》（GB50500-2013）、《安徽省建设工程工程量清单计价规范》（DBJ34/T-206-2005）和《滁州市工程量清单计价方式招标评标实施细则（试行）》等相关法律法规和规章及部、省、市级规范性文件的规定，编制本招标文件。</w:t>
      </w:r>
    </w:p>
    <w:p w14:paraId="5708BD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bCs/>
          <w:color w:val="auto"/>
          <w:sz w:val="24"/>
          <w:szCs w:val="24"/>
          <w:highlight w:val="none"/>
        </w:rPr>
        <w:t>招标文件的组成</w:t>
      </w:r>
    </w:p>
    <w:p w14:paraId="1E141B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招标文件包括内容：</w:t>
      </w:r>
    </w:p>
    <w:p w14:paraId="4E813CC5">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投标须知</w:t>
      </w:r>
    </w:p>
    <w:p w14:paraId="7FDF30E6">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14:paraId="58460C99">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14:paraId="16EAA3BC">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技术标准和要求</w:t>
      </w:r>
    </w:p>
    <w:p w14:paraId="7892F9C2">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14:paraId="2D50CFE4">
      <w:pPr>
        <w:adjustRightInd w:val="0"/>
        <w:snapToGrid w:val="0"/>
        <w:spacing w:line="440" w:lineRule="exact"/>
        <w:ind w:firstLine="1200" w:firstLineChars="50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第六章  招标单位、招标代理机构对本招标文件的确认</w:t>
      </w:r>
    </w:p>
    <w:p w14:paraId="20B94E5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13.2除13.1内容外，招标答疑亦为招标文件的组成部分，对招标人和投标人起约束作用。</w:t>
      </w:r>
    </w:p>
    <w:p w14:paraId="3FB1AB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13.3投标人应仔细检查招标文件的所有内容，</w:t>
      </w:r>
      <w:r>
        <w:rPr>
          <w:rFonts w:hint="eastAsia" w:ascii="宋体" w:hAnsi="宋体" w:eastAsia="宋体" w:cs="宋体"/>
          <w:bCs/>
          <w:color w:val="auto"/>
          <w:sz w:val="24"/>
          <w:szCs w:val="24"/>
          <w:highlight w:val="none"/>
        </w:rPr>
        <w:t>如有残缺等问题应在</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11</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日1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时前</w:t>
      </w:r>
      <w:r>
        <w:rPr>
          <w:rFonts w:hint="eastAsia" w:ascii="宋体" w:hAnsi="宋体" w:eastAsia="宋体" w:cs="宋体"/>
          <w:bCs/>
          <w:color w:val="auto"/>
          <w:sz w:val="24"/>
          <w:szCs w:val="24"/>
          <w:highlight w:val="none"/>
        </w:rPr>
        <w:t>投标人将所遇到的问题以电子邮件形式传czsctgczx@163.com滁州市城投工程咨询管理有限公司电子邮箱</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否则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3420D3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bCs/>
          <w:color w:val="auto"/>
          <w:sz w:val="24"/>
          <w:szCs w:val="24"/>
          <w:highlight w:val="none"/>
        </w:rPr>
        <w:t>招标文件的澄清、修改、补充、解释</w:t>
      </w:r>
    </w:p>
    <w:p w14:paraId="302E50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14.1</w:t>
      </w:r>
      <w:r>
        <w:rPr>
          <w:rFonts w:hint="eastAsia" w:ascii="宋体" w:hAnsi="宋体" w:eastAsia="宋体" w:cs="宋体"/>
          <w:color w:val="auto"/>
          <w:kern w:val="0"/>
          <w:sz w:val="24"/>
          <w:szCs w:val="24"/>
          <w:highlight w:val="none"/>
          <w:lang w:val="zh-CN"/>
        </w:rPr>
        <w:t>招标文件发出后</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招标人可对招标文件进行必要的澄清、修改和补充</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澄清内容</w:t>
      </w:r>
      <w:r>
        <w:rPr>
          <w:rFonts w:hint="eastAsia" w:ascii="宋体" w:hAnsi="宋体" w:eastAsia="宋体" w:cs="宋体"/>
          <w:color w:val="auto"/>
          <w:kern w:val="0"/>
          <w:sz w:val="24"/>
          <w:szCs w:val="24"/>
          <w:highlight w:val="none"/>
        </w:rPr>
        <w:t>将于</w:t>
      </w:r>
      <w:r>
        <w:rPr>
          <w:rFonts w:hint="eastAsia" w:ascii="宋体" w:hAnsi="宋体" w:eastAsia="宋体" w:cs="宋体"/>
          <w:b/>
          <w:color w:val="auto"/>
          <w:kern w:val="0"/>
          <w:sz w:val="24"/>
          <w:szCs w:val="24"/>
          <w:highlight w:val="none"/>
        </w:rPr>
        <w:t>202</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年</w:t>
      </w:r>
      <w:r>
        <w:rPr>
          <w:rFonts w:hint="eastAsia" w:ascii="宋体" w:hAnsi="宋体" w:cs="宋体"/>
          <w:b/>
          <w:color w:val="auto"/>
          <w:kern w:val="0"/>
          <w:sz w:val="24"/>
          <w:szCs w:val="24"/>
          <w:highlight w:val="none"/>
          <w:lang w:val="en-US" w:eastAsia="zh-CN"/>
        </w:rPr>
        <w:t>11</w:t>
      </w:r>
      <w:r>
        <w:rPr>
          <w:rFonts w:hint="eastAsia" w:ascii="宋体" w:hAnsi="宋体" w:eastAsia="宋体" w:cs="宋体"/>
          <w:b/>
          <w:color w:val="auto"/>
          <w:kern w:val="0"/>
          <w:sz w:val="24"/>
          <w:szCs w:val="24"/>
          <w:highlight w:val="none"/>
        </w:rPr>
        <w:t>月</w:t>
      </w:r>
      <w:r>
        <w:rPr>
          <w:rFonts w:hint="eastAsia" w:ascii="宋体" w:hAnsi="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rPr>
        <w:t>日17时</w:t>
      </w:r>
      <w:r>
        <w:rPr>
          <w:rFonts w:hint="eastAsia" w:ascii="宋体" w:hAnsi="宋体" w:eastAsia="宋体" w:cs="宋体"/>
          <w:color w:val="auto"/>
          <w:kern w:val="0"/>
          <w:sz w:val="24"/>
          <w:szCs w:val="24"/>
          <w:highlight w:val="none"/>
        </w:rPr>
        <w:t>后</w:t>
      </w:r>
      <w:r>
        <w:rPr>
          <w:rFonts w:hint="eastAsia" w:ascii="宋体" w:hAnsi="宋体" w:cs="宋体"/>
          <w:color w:val="auto"/>
          <w:kern w:val="0"/>
          <w:sz w:val="24"/>
          <w:szCs w:val="24"/>
          <w:highlight w:val="none"/>
          <w:lang w:val="en-US" w:eastAsia="zh-CN"/>
        </w:rPr>
        <w:t>在网站予以公布</w:t>
      </w:r>
      <w:r>
        <w:rPr>
          <w:rFonts w:hint="eastAsia" w:ascii="宋体" w:hAnsi="宋体" w:eastAsia="宋体" w:cs="宋体"/>
          <w:color w:val="auto"/>
          <w:kern w:val="0"/>
          <w:sz w:val="24"/>
          <w:szCs w:val="24"/>
          <w:highlight w:val="none"/>
          <w:lang w:val="zh-CN"/>
        </w:rPr>
        <w:t>。招标文件的修改内容作为招标文件的组成部分，具有约束作用。</w:t>
      </w:r>
    </w:p>
    <w:p w14:paraId="5F76F47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本招标文件由招标人委托的招标代理机构负责解释。</w:t>
      </w:r>
    </w:p>
    <w:p w14:paraId="6E259CF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15.踏勘现场及投标预备会</w:t>
      </w:r>
    </w:p>
    <w:p w14:paraId="332D16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踏勘现场</w:t>
      </w:r>
    </w:p>
    <w:p w14:paraId="76B6942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15.1.1</w:t>
      </w:r>
      <w:r>
        <w:rPr>
          <w:rFonts w:hint="eastAsia" w:ascii="宋体" w:hAnsi="宋体" w:eastAsia="宋体" w:cs="宋体"/>
          <w:color w:val="auto"/>
          <w:kern w:val="0"/>
          <w:sz w:val="24"/>
          <w:szCs w:val="24"/>
          <w:highlight w:val="none"/>
        </w:rPr>
        <w:t>不再集中召开招标答疑会；投标人自行组织勘察现场。</w:t>
      </w:r>
    </w:p>
    <w:p w14:paraId="41CF6BF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15.2  投标预备会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本项目不采用</w:t>
      </w:r>
      <w:r>
        <w:rPr>
          <w:rFonts w:hint="eastAsia" w:ascii="宋体" w:hAnsi="宋体" w:cs="宋体"/>
          <w:color w:val="auto"/>
          <w:sz w:val="24"/>
          <w:szCs w:val="24"/>
          <w:highlight w:val="none"/>
          <w:lang w:eastAsia="zh-CN"/>
        </w:rPr>
        <w:t>）</w:t>
      </w:r>
    </w:p>
    <w:p w14:paraId="215220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招标文件的发出</w:t>
      </w:r>
    </w:p>
    <w:p w14:paraId="15EF26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16.1招标文件、招标文件的澄清、修改、补充及招标答疑等均应报招标人备案后，方可发出。</w:t>
      </w:r>
    </w:p>
    <w:p w14:paraId="2FE070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最高投标限价的作用和说明</w:t>
      </w:r>
    </w:p>
    <w:p w14:paraId="6133C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bookmarkStart w:id="44" w:name="_Toc2485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见投标须知前附表。</w:t>
      </w:r>
    </w:p>
    <w:p w14:paraId="032BC71D">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三、投标文件的编制</w:t>
      </w:r>
      <w:bookmarkEnd w:id="44"/>
    </w:p>
    <w:p w14:paraId="4B38F004">
      <w:pPr>
        <w:pStyle w:val="3"/>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 投标文件的组成</w:t>
      </w:r>
    </w:p>
    <w:p w14:paraId="1A796016">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22．投标报价</w:t>
      </w:r>
    </w:p>
    <w:p w14:paraId="560C2BEC">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 投标人的投标报价包括按合同规定的范围所提供的全部服务所需的费用，即招标范围内人员工资、办公费用、成本、利润及税金等全部费用。</w:t>
      </w:r>
    </w:p>
    <w:p w14:paraId="3FE737F7">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 投标报价不按规定报价的，其投标文件按无效标处理。</w:t>
      </w:r>
    </w:p>
    <w:p w14:paraId="3680C549">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23.投标有效期</w:t>
      </w:r>
    </w:p>
    <w:p w14:paraId="61ECB4A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23.1投标有效期为</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日历天（从投标截止之日算起）。在此期限内，凡符合本招标文件要求的投标文件均保持有效。</w:t>
      </w:r>
    </w:p>
    <w:p w14:paraId="6597329A">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w:t>
      </w:r>
    </w:p>
    <w:p w14:paraId="60A97121">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 投标保证金</w:t>
      </w:r>
    </w:p>
    <w:p w14:paraId="523DF971">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24.1 详见须知前附表。</w:t>
      </w:r>
    </w:p>
    <w:p w14:paraId="34BA9F6E">
      <w:pPr>
        <w:spacing w:before="95" w:beforeLines="30" w:after="95" w:afterLines="30" w:line="440" w:lineRule="exact"/>
        <w:jc w:val="center"/>
        <w:outlineLvl w:val="1"/>
        <w:rPr>
          <w:rFonts w:ascii="宋体" w:hAnsi="宋体" w:cs="宋体"/>
          <w:b/>
          <w:bCs/>
          <w:color w:val="auto"/>
          <w:sz w:val="24"/>
          <w:szCs w:val="24"/>
          <w:highlight w:val="none"/>
        </w:rPr>
      </w:pPr>
      <w:bookmarkStart w:id="45" w:name="_Toc27519"/>
      <w:r>
        <w:rPr>
          <w:rFonts w:hint="eastAsia" w:ascii="宋体" w:hAnsi="宋体" w:cs="宋体"/>
          <w:b/>
          <w:bCs/>
          <w:color w:val="auto"/>
          <w:sz w:val="24"/>
          <w:szCs w:val="24"/>
          <w:highlight w:val="none"/>
        </w:rPr>
        <w:t>四、投标文件的密封和递交</w:t>
      </w:r>
      <w:bookmarkEnd w:id="45"/>
    </w:p>
    <w:p w14:paraId="4A95D4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投标文件的份数和签署</w:t>
      </w:r>
    </w:p>
    <w:p w14:paraId="61B8582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25.1  投标文件：</w:t>
      </w:r>
      <w:r>
        <w:rPr>
          <w:rFonts w:hint="eastAsia" w:ascii="宋体" w:hAnsi="宋体" w:cs="宋体"/>
          <w:color w:val="auto"/>
          <w:sz w:val="24"/>
          <w:szCs w:val="24"/>
          <w:highlight w:val="none"/>
          <w:lang w:val="en-US" w:eastAsia="zh-CN"/>
        </w:rPr>
        <w:t xml:space="preserve"> 网上递交的电子投标文件：一份。以投标人在投标截止时间前网上递交的电子投标文件为准，逾期提交的，投标文件将被拒绝。</w:t>
      </w:r>
    </w:p>
    <w:p w14:paraId="085D77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pacing w:val="-4"/>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投标文件中的授权书、投标函应当在格式文本要求的相应位置签字和盖章，否则，应当否决其投标。</w:t>
      </w:r>
    </w:p>
    <w:p w14:paraId="5C9787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投标文件的提交</w:t>
      </w:r>
    </w:p>
    <w:p w14:paraId="028D0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  投标文件提交的收件人、截止时间及地点：详见须知前附表</w:t>
      </w:r>
    </w:p>
    <w:p w14:paraId="16C8E6E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  迟交的投标文件</w:t>
      </w:r>
    </w:p>
    <w:p w14:paraId="19E5FAC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.2.1招标人在本须知第2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.1款规定的投标截止时间以后收到的投标文件，将被拒绝。</w:t>
      </w:r>
    </w:p>
    <w:p w14:paraId="249B55B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投标文件的补充、修改与撤回</w:t>
      </w:r>
    </w:p>
    <w:p w14:paraId="6689993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  投标人在提交投标文件以后，在规定的投标截止时间之前，可以书面形式补充、修改或撤回已提交的投标文件，并以书面形式通知招标人。补充、修改的内容为投标文件的组成部分。</w:t>
      </w:r>
    </w:p>
    <w:p w14:paraId="389102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  投标人对投标文件的补充、修改，应按本须知第25条、第26条和第27条有关规定密封、标记和提交，并在投标文件上清楚标明“补充”、“修改”字样。</w:t>
      </w:r>
    </w:p>
    <w:p w14:paraId="5C3CA19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  在投标截止时间之后，投标人不得补充、修改投标文件。</w:t>
      </w:r>
    </w:p>
    <w:p w14:paraId="32E5F31B">
      <w:pPr>
        <w:spacing w:before="95" w:beforeLines="30" w:after="95" w:afterLines="30" w:line="440" w:lineRule="exact"/>
        <w:jc w:val="center"/>
        <w:outlineLvl w:val="1"/>
        <w:rPr>
          <w:rFonts w:ascii="宋体" w:hAnsi="宋体" w:cs="宋体"/>
          <w:b/>
          <w:bCs/>
          <w:color w:val="auto"/>
          <w:sz w:val="24"/>
          <w:szCs w:val="24"/>
          <w:highlight w:val="none"/>
        </w:rPr>
      </w:pPr>
      <w:bookmarkStart w:id="46" w:name="_Toc18173"/>
      <w:r>
        <w:rPr>
          <w:rFonts w:hint="eastAsia" w:ascii="宋体" w:hAnsi="宋体" w:cs="宋体"/>
          <w:b/>
          <w:bCs/>
          <w:color w:val="auto"/>
          <w:sz w:val="24"/>
          <w:szCs w:val="24"/>
          <w:highlight w:val="none"/>
        </w:rPr>
        <w:t>五、开标、评标和定标</w:t>
      </w:r>
      <w:bookmarkEnd w:id="46"/>
    </w:p>
    <w:p w14:paraId="575CEB25">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开标</w:t>
      </w:r>
    </w:p>
    <w:p w14:paraId="062E95A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开标的时间和地点</w:t>
      </w:r>
    </w:p>
    <w:p w14:paraId="5B1555B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.1.1招标人按本须知第2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1条提交投标文件的截止时间和地点公开开标。</w:t>
      </w:r>
    </w:p>
    <w:p w14:paraId="214EA519">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  参与开标的相关部门：招标人等。</w:t>
      </w:r>
    </w:p>
    <w:p w14:paraId="5F6E403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  对参加开标的投标人的要求</w:t>
      </w:r>
    </w:p>
    <w:p w14:paraId="468B0E8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val="en-US" w:eastAsia="zh-CN"/>
        </w:rPr>
        <w:t>无需达到开标现场</w:t>
      </w:r>
      <w:r>
        <w:rPr>
          <w:rFonts w:hint="eastAsia" w:ascii="宋体" w:hAnsi="宋体" w:eastAsia="宋体" w:cs="宋体"/>
          <w:b/>
          <w:bCs/>
          <w:color w:val="auto"/>
          <w:sz w:val="24"/>
          <w:szCs w:val="24"/>
          <w:highlight w:val="none"/>
        </w:rPr>
        <w:t>。</w:t>
      </w:r>
    </w:p>
    <w:p w14:paraId="1F423F64">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  开标程序</w:t>
      </w:r>
    </w:p>
    <w:p w14:paraId="7A045408">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①开标会议由招标代理机构：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滁州市城投工程咨询管理有限公司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（招标代理公司）主持；</w:t>
      </w:r>
    </w:p>
    <w:p w14:paraId="4EE547EA">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评标委员会对投标文件进行评审</w:t>
      </w:r>
      <w:r>
        <w:rPr>
          <w:rFonts w:hint="eastAsia" w:ascii="宋体" w:hAnsi="宋体" w:eastAsia="宋体" w:cs="宋体"/>
          <w:color w:val="auto"/>
          <w:sz w:val="24"/>
          <w:szCs w:val="24"/>
          <w:highlight w:val="none"/>
        </w:rPr>
        <w:t>；</w:t>
      </w:r>
    </w:p>
    <w:p w14:paraId="4E59181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经投标文件评审后，由评标委员会按修正后的投标报价由低到高顺序排序，确定中标候选人；</w:t>
      </w:r>
    </w:p>
    <w:p w14:paraId="5E622127">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rPr>
        <w:t>代理公司对开标过程进行记录，并存档备查。</w:t>
      </w:r>
    </w:p>
    <w:p w14:paraId="6CCAE039">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评标</w:t>
      </w:r>
    </w:p>
    <w:p w14:paraId="6315C6F5">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  评标办法</w:t>
      </w:r>
    </w:p>
    <w:p w14:paraId="1EC1BD6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.1.1评标委员会按照第三章“评标办法”规定的方法、评审因素、标准和程序对投标文件进行评审。第三章“评标办法”没有规定的方法、评审因素和标准，不作为评标依据。</w:t>
      </w:r>
    </w:p>
    <w:p w14:paraId="4B5CA44B">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否决投标情况</w:t>
      </w:r>
    </w:p>
    <w:p w14:paraId="1CE6BD7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  投标文件出现下列情形之一的，应当否决其投标：</w:t>
      </w:r>
    </w:p>
    <w:p w14:paraId="5FE38E64">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逾期送达的；</w:t>
      </w:r>
    </w:p>
    <w:p w14:paraId="417BE21A">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无单位盖章、无法定代表人或法定代表人授权的代理人签字或盖章的；；</w:t>
      </w:r>
    </w:p>
    <w:p w14:paraId="7EE392E8">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未按规定的格式填写，内容不全或关键字迹模糊、无法辨认的；</w:t>
      </w:r>
    </w:p>
    <w:p w14:paraId="79556643">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④服务</w:t>
      </w:r>
      <w:r>
        <w:rPr>
          <w:rFonts w:hint="eastAsia" w:ascii="宋体" w:hAnsi="宋体" w:eastAsia="宋体" w:cs="宋体"/>
          <w:color w:val="auto"/>
          <w:sz w:val="24"/>
          <w:szCs w:val="24"/>
          <w:highlight w:val="none"/>
        </w:rPr>
        <w:t>期或质量不符合招标文件要求的</w:t>
      </w:r>
      <w:r>
        <w:rPr>
          <w:rFonts w:hint="eastAsia" w:ascii="宋体" w:hAnsi="宋体" w:cs="宋体"/>
          <w:color w:val="auto"/>
          <w:sz w:val="24"/>
          <w:szCs w:val="24"/>
          <w:highlight w:val="none"/>
          <w:lang w:eastAsia="zh-CN"/>
        </w:rPr>
        <w:t>；</w:t>
      </w:r>
    </w:p>
    <w:p w14:paraId="5AFE46B0">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⑤</w:t>
      </w:r>
      <w:r>
        <w:rPr>
          <w:rFonts w:hint="eastAsia" w:ascii="宋体" w:hAnsi="宋体" w:cs="宋体"/>
          <w:color w:val="auto"/>
          <w:sz w:val="24"/>
          <w:szCs w:val="24"/>
          <w:highlight w:val="none"/>
          <w:lang w:val="en-US" w:eastAsia="zh-CN"/>
        </w:rPr>
        <w:t>投标报价高于最高限价的；</w:t>
      </w:r>
    </w:p>
    <w:p w14:paraId="03FD2918">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rPr>
        <w:t>法律、法规、规章和招标文件规定的其他否决投标情形；</w:t>
      </w:r>
    </w:p>
    <w:p w14:paraId="1B0895C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定标</w:t>
      </w:r>
    </w:p>
    <w:p w14:paraId="442959A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bookmarkStart w:id="47" w:name="_Toc21491"/>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中标人的确定</w:t>
      </w:r>
    </w:p>
    <w:p w14:paraId="190A2D1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.1.1除投标人须知前附表规定评标委员会直接确定中标人外，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依据评标委员会推荐的中标候选人确定中标人，评标委员会推荐中标候选人的人数见投标人须知前附表。</w:t>
      </w:r>
    </w:p>
    <w:p w14:paraId="2946062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.1.2中标人确定后，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应将中标信息在网站上公告。</w:t>
      </w:r>
    </w:p>
    <w:p w14:paraId="1FEBF9C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中标通知书</w:t>
      </w:r>
    </w:p>
    <w:p w14:paraId="6722CA46">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或采购代理机构应在中标人确定之日起2个工作日内，向中标人发出中标通知书。</w:t>
      </w:r>
    </w:p>
    <w:p w14:paraId="107D83C1">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六、合同的授予</w:t>
      </w:r>
      <w:bookmarkEnd w:id="47"/>
    </w:p>
    <w:p w14:paraId="07254B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合同授予标准</w:t>
      </w:r>
    </w:p>
    <w:p w14:paraId="105766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  本招标工程的合同授予按本须知第32条规定所确定的中标人。</w:t>
      </w:r>
    </w:p>
    <w:p w14:paraId="4ED9447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合同协议书的签订</w:t>
      </w:r>
    </w:p>
    <w:p w14:paraId="3E5E1B7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  中标通知书发放后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日内，按照招标文件和中标人的投标文件订立书面合同。招标人和中标人不得再行订立背离合同实质性内容的其他协议。</w:t>
      </w:r>
    </w:p>
    <w:p w14:paraId="35B32E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  招标人如不按本投标须知第33条的规定与中标人订立合同，或者招标人、中标人订立背离合同实质性内容的协议，招标人应当按给投标人造成的损失予以赔偿，同时依法承担相应法律责任。</w:t>
      </w:r>
    </w:p>
    <w:p w14:paraId="1CB933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  中标人如不按本投标须知第33条的规定与招标人订立合同，则招标人将取消其中标资格，给招标人造成的损失予以赔偿，同时依法承担相应法律责任。</w:t>
      </w:r>
    </w:p>
    <w:p w14:paraId="438ACC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  中标人应当按照合同约定履行义务，完成中标项目的实施，不得将中标项目转让（转包）给他人。</w:t>
      </w:r>
    </w:p>
    <w:p w14:paraId="78EDF8C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.履约保证金</w:t>
      </w:r>
    </w:p>
    <w:p w14:paraId="7EE78D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详见须知前附表</w:t>
      </w:r>
    </w:p>
    <w:p w14:paraId="2D2E93C6">
      <w:pPr>
        <w:adjustRightInd w:val="0"/>
        <w:snapToGrid w:val="0"/>
        <w:spacing w:line="440" w:lineRule="exact"/>
        <w:jc w:val="center"/>
        <w:rPr>
          <w:rFonts w:hint="eastAsia" w:ascii="黑体" w:eastAsia="黑体"/>
          <w:color w:val="auto"/>
          <w:sz w:val="28"/>
          <w:szCs w:val="28"/>
          <w:highlight w:val="none"/>
        </w:rPr>
      </w:pPr>
      <w:bookmarkStart w:id="48" w:name="_Toc449028874"/>
    </w:p>
    <w:p w14:paraId="535B1F9B">
      <w:pPr>
        <w:adjustRightInd w:val="0"/>
        <w:snapToGrid w:val="0"/>
        <w:spacing w:line="440" w:lineRule="exact"/>
        <w:jc w:val="center"/>
        <w:rPr>
          <w:rFonts w:hint="eastAsia" w:ascii="黑体" w:eastAsia="黑体"/>
          <w:color w:val="auto"/>
          <w:sz w:val="28"/>
          <w:szCs w:val="28"/>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纪律和监督</w:t>
      </w:r>
      <w:bookmarkEnd w:id="48"/>
    </w:p>
    <w:p w14:paraId="67F21CDF">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5</w:t>
      </w:r>
      <w:r>
        <w:rPr>
          <w:rFonts w:hint="eastAsia" w:ascii="宋体"/>
          <w:b/>
          <w:color w:val="auto"/>
          <w:sz w:val="24"/>
          <w:szCs w:val="24"/>
          <w:highlight w:val="none"/>
        </w:rPr>
        <w:t>. 对</w:t>
      </w:r>
      <w:r>
        <w:rPr>
          <w:rFonts w:hint="eastAsia" w:ascii="宋体"/>
          <w:b/>
          <w:color w:val="auto"/>
          <w:sz w:val="24"/>
          <w:szCs w:val="24"/>
          <w:highlight w:val="none"/>
          <w:lang w:eastAsia="zh-CN"/>
        </w:rPr>
        <w:t>招标人</w:t>
      </w:r>
      <w:r>
        <w:rPr>
          <w:rFonts w:hint="eastAsia" w:ascii="宋体"/>
          <w:b/>
          <w:color w:val="auto"/>
          <w:sz w:val="24"/>
          <w:szCs w:val="24"/>
          <w:highlight w:val="none"/>
        </w:rPr>
        <w:t xml:space="preserve">的纪律要求 </w:t>
      </w:r>
    </w:p>
    <w:p w14:paraId="3809AF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5</w:t>
      </w:r>
      <w:r>
        <w:rPr>
          <w:rFonts w:hint="eastAsia" w:ascii="宋体"/>
          <w:color w:val="auto"/>
          <w:kern w:val="10"/>
          <w:sz w:val="24"/>
          <w:szCs w:val="24"/>
          <w:highlight w:val="none"/>
        </w:rPr>
        <w:t>.1</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 xml:space="preserve">不得泄漏招标投标活动中应当保密的情况和资料，不得与投标人串通损害国家利益，社会公共利益或者他人合法权益。 </w:t>
      </w:r>
    </w:p>
    <w:p w14:paraId="6F6A8511">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6</w:t>
      </w:r>
      <w:r>
        <w:rPr>
          <w:rFonts w:hint="eastAsia" w:ascii="宋体"/>
          <w:b/>
          <w:color w:val="auto"/>
          <w:sz w:val="24"/>
          <w:szCs w:val="24"/>
          <w:highlight w:val="none"/>
        </w:rPr>
        <w:t xml:space="preserve">. 对投标人的纪律要求 </w:t>
      </w:r>
    </w:p>
    <w:p w14:paraId="796450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6</w:t>
      </w:r>
      <w:r>
        <w:rPr>
          <w:rFonts w:hint="eastAsia" w:ascii="宋体"/>
          <w:color w:val="auto"/>
          <w:kern w:val="10"/>
          <w:sz w:val="24"/>
          <w:szCs w:val="24"/>
          <w:highlight w:val="none"/>
        </w:rPr>
        <w:t>.1投标人不得相互串通投标或者与</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串通投标，不得向</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或者评标委员会成员行贿谋取中标，不得以他人名义投标或者以其他方式弄虚作假骗取中标；投标人不得以任何方式干扰、影响评标工作。</w:t>
      </w:r>
    </w:p>
    <w:p w14:paraId="4DE1C6EF">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7</w:t>
      </w:r>
      <w:r>
        <w:rPr>
          <w:rFonts w:hint="eastAsia" w:ascii="宋体"/>
          <w:b/>
          <w:color w:val="auto"/>
          <w:sz w:val="24"/>
          <w:szCs w:val="24"/>
          <w:highlight w:val="none"/>
        </w:rPr>
        <w:t xml:space="preserve">. 对评标委员会成员的纪律要求 </w:t>
      </w:r>
    </w:p>
    <w:p w14:paraId="5B7BBE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.1评标委员会成员不得收受他人的财物或者其他好处，不得向他人透漏对投标文件的评审和比较、中标候选人的推荐情况以及评标有关的其他情况。</w:t>
      </w:r>
    </w:p>
    <w:p w14:paraId="3CC65B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14:paraId="2495737F">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lang w:val="en-US" w:eastAsia="zh-CN"/>
        </w:rPr>
        <w:t>39</w:t>
      </w:r>
      <w:r>
        <w:rPr>
          <w:rFonts w:hint="eastAsia" w:ascii="宋体"/>
          <w:b/>
          <w:color w:val="auto"/>
          <w:sz w:val="24"/>
          <w:szCs w:val="24"/>
          <w:highlight w:val="none"/>
        </w:rPr>
        <w:t xml:space="preserve">. 对与评标活动有关的工作人员的纪律要求 </w:t>
      </w:r>
    </w:p>
    <w:p w14:paraId="71991A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lang w:val="en-US" w:eastAsia="zh-CN"/>
        </w:rPr>
        <w:t>39</w:t>
      </w:r>
      <w:r>
        <w:rPr>
          <w:rFonts w:hint="eastAsia" w:ascii="宋体"/>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A7F365F">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bookmarkStart w:id="49" w:name="_Toc449028875"/>
    </w:p>
    <w:p w14:paraId="058F07C6">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八、质疑与投诉</w:t>
      </w:r>
      <w:bookmarkEnd w:id="49"/>
    </w:p>
    <w:p w14:paraId="781A841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异议</w:t>
      </w:r>
    </w:p>
    <w:p w14:paraId="1485A3B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.1  若投标人或者其他利害关系人对</w:t>
      </w:r>
      <w:r>
        <w:rPr>
          <w:rFonts w:hint="eastAsia" w:ascii="宋体" w:hAnsi="Times New Roman" w:eastAsia="宋体" w:cs="Times New Roman"/>
          <w:color w:val="auto"/>
          <w:kern w:val="10"/>
          <w:sz w:val="24"/>
          <w:szCs w:val="24"/>
          <w:highlight w:val="none"/>
          <w:lang w:val="en-US" w:eastAsia="zh-CN"/>
        </w:rPr>
        <w:t>中标</w:t>
      </w:r>
      <w:r>
        <w:rPr>
          <w:rFonts w:hint="eastAsia" w:ascii="宋体" w:hAnsi="Times New Roman" w:eastAsia="宋体" w:cs="Times New Roman"/>
          <w:color w:val="auto"/>
          <w:kern w:val="10"/>
          <w:sz w:val="24"/>
          <w:szCs w:val="24"/>
          <w:highlight w:val="none"/>
          <w:lang w:eastAsia="zh-CN"/>
        </w:rPr>
        <w:t>结果有异议，可在公示期内以书面形式，并在工作时间内（上午8:00-12:00,下午2:30-5:30）向招标人或招标代理机构提出异议。</w:t>
      </w:r>
    </w:p>
    <w:p w14:paraId="33C4A3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异议应以书面形式实名提出，书面异议材料应当包括以下内容：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（1）异议人的名称、地址、有效联系方式；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（2）项目名称、项目编号、标段号（如有）；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（3）被异议人名称；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（4）具体的异议事项、基本事实及必要的证明材料；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（5）明确的请求及主张；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（6）提起异议的日期。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（7）异议人为法人的，应当由法定代表人或授权代表签字并加盖公章；为其他组织或个人的，异议材料须由其主要负责人或者异议人本人签字，并附有效身份证明复印件。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（8）异议人需要修改、补充异议材料的，应当在招标人或招标代理机构规定的期限内提交修改或补充材料。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xml:space="preserve">  </w:t>
      </w:r>
      <w:r>
        <w:rPr>
          <w:rFonts w:hint="eastAsia" w:ascii="宋体" w:hAnsi="Times New Roman" w:eastAsia="宋体" w:cs="Times New Roman"/>
          <w:color w:val="auto"/>
          <w:kern w:val="10"/>
          <w:sz w:val="24"/>
          <w:szCs w:val="24"/>
          <w:highlight w:val="none"/>
          <w:lang w:val="en-US" w:eastAsia="zh-CN"/>
        </w:rPr>
        <w:t xml:space="preserve"> 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val="en-US" w:eastAsia="zh-CN"/>
        </w:rPr>
        <w:t>.2</w:t>
      </w:r>
      <w:r>
        <w:rPr>
          <w:rFonts w:hint="eastAsia" w:ascii="宋体" w:hAnsi="Times New Roman" w:eastAsia="宋体" w:cs="Times New Roman"/>
          <w:color w:val="auto"/>
          <w:kern w:val="10"/>
          <w:sz w:val="24"/>
          <w:szCs w:val="24"/>
          <w:highlight w:val="none"/>
          <w:lang w:eastAsia="zh-CN"/>
        </w:rPr>
        <w:t> </w:t>
      </w:r>
      <w:r>
        <w:rPr>
          <w:rFonts w:hint="eastAsia" w:ascii="宋体" w:hAnsi="Times New Roman" w:eastAsia="宋体" w:cs="Times New Roman"/>
          <w:color w:val="auto"/>
          <w:kern w:val="10"/>
          <w:sz w:val="24"/>
          <w:szCs w:val="24"/>
          <w:highlight w:val="none"/>
          <w:lang w:val="en-US" w:eastAsia="zh-CN"/>
        </w:rPr>
        <w:t xml:space="preserve">  </w:t>
      </w:r>
      <w:r>
        <w:rPr>
          <w:rFonts w:hint="eastAsia" w:ascii="宋体" w:hAnsi="Times New Roman" w:eastAsia="宋体" w:cs="Times New Roman"/>
          <w:color w:val="auto"/>
          <w:kern w:val="10"/>
          <w:sz w:val="24"/>
          <w:szCs w:val="24"/>
          <w:highlight w:val="none"/>
          <w:lang w:eastAsia="zh-CN"/>
        </w:rPr>
        <w:t>有下列情形之一的，不予受理：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（1）提出异议的主体不是所异议项目投标人或者其他利害关系人的；</w:t>
      </w:r>
    </w:p>
    <w:p w14:paraId="7FE9AF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cs="Times New Roman"/>
          <w:color w:val="auto"/>
          <w:kern w:val="10"/>
          <w:sz w:val="24"/>
          <w:szCs w:val="24"/>
          <w:highlight w:val="none"/>
          <w:lang w:eastAsia="zh-CN"/>
        </w:rPr>
        <w:t>（</w:t>
      </w:r>
      <w:r>
        <w:rPr>
          <w:rFonts w:hint="eastAsia" w:ascii="宋体" w:cs="Times New Roman"/>
          <w:color w:val="auto"/>
          <w:kern w:val="10"/>
          <w:sz w:val="24"/>
          <w:szCs w:val="24"/>
          <w:highlight w:val="none"/>
          <w:lang w:val="en-US" w:eastAsia="zh-CN"/>
        </w:rPr>
        <w:t>2）</w:t>
      </w:r>
      <w:r>
        <w:rPr>
          <w:rFonts w:hint="eastAsia" w:ascii="宋体" w:hAnsi="Times New Roman" w:eastAsia="宋体" w:cs="Times New Roman"/>
          <w:color w:val="auto"/>
          <w:kern w:val="10"/>
          <w:sz w:val="24"/>
          <w:szCs w:val="24"/>
          <w:highlight w:val="none"/>
          <w:lang w:eastAsia="zh-CN"/>
        </w:rPr>
        <w:t>对于依法必须招标的项目，未在公示期间提出异议的；</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（3）异议材料不完整的；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（4）异议事项含有主观猜测等内容且未提供有效线索、难以查证的；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（5）对其他投标人的投标文件详细内容异议，无法提供合法来源渠道的；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（6）异议事项已进入投诉处理、行政复议或行政诉讼程序的。</w:t>
      </w:r>
    </w:p>
    <w:p w14:paraId="4CE16F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.3 投标人或其他利害关系人对招标文件有异议的，应在投标截止时间10日前以网上留言或书面形式（包括信函、电报、传真等可以有形的表现所载内容的形式，下同）提出。招标人将在收到异议之日起3日内作出答复。</w:t>
      </w:r>
    </w:p>
    <w:p w14:paraId="4BBE22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.4投标人对开标有异议的，应当在开标现场提出，招标人当场作出答复，并制作记录。异议与答复应通过电子交易系统进行。</w:t>
      </w:r>
    </w:p>
    <w:p w14:paraId="0D12EB7F">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 投诉</w:t>
      </w:r>
    </w:p>
    <w:p w14:paraId="5B2C18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w:t>
      </w:r>
      <w:r>
        <w:rPr>
          <w:rFonts w:hint="eastAsia" w:ascii="宋体" w:hAnsi="宋体" w:cs="宋体"/>
          <w:color w:val="auto"/>
          <w:sz w:val="24"/>
          <w:szCs w:val="24"/>
          <w:highlight w:val="none"/>
        </w:rPr>
        <w:t>投标人和其他利害关系人认为本次招标活动违反法律、法规和规章规定的，有权向有关行政监督部门投诉。投诉应当有明确的请求和必要的证明材料。</w:t>
      </w:r>
    </w:p>
    <w:p w14:paraId="39DB94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41.2</w:t>
      </w:r>
      <w:r>
        <w:rPr>
          <w:rFonts w:hint="eastAsia" w:ascii="宋体" w:hAnsi="宋体" w:cs="宋体"/>
          <w:color w:val="auto"/>
          <w:sz w:val="24"/>
          <w:szCs w:val="24"/>
          <w:highlight w:val="none"/>
        </w:rPr>
        <w:t>投标人和其他利害关系人对评标结果等事项投诉的，应当在开标期间或中标</w:t>
      </w:r>
      <w:r>
        <w:rPr>
          <w:rFonts w:hint="eastAsia" w:ascii="宋体" w:hAnsi="宋体" w:cs="宋体"/>
          <w:color w:val="auto"/>
          <w:sz w:val="24"/>
          <w:szCs w:val="24"/>
          <w:highlight w:val="none"/>
          <w:lang w:val="en-US" w:eastAsia="zh-CN"/>
        </w:rPr>
        <w:t>结果</w:t>
      </w:r>
      <w:r>
        <w:rPr>
          <w:rFonts w:hint="eastAsia" w:ascii="宋体" w:hAnsi="宋体" w:cs="宋体"/>
          <w:color w:val="auto"/>
          <w:sz w:val="24"/>
          <w:szCs w:val="24"/>
          <w:highlight w:val="none"/>
        </w:rPr>
        <w:t>公示期间，先向招标人提出异议。</w:t>
      </w:r>
      <w:r>
        <w:rPr>
          <w:rFonts w:hint="eastAsia" w:ascii="宋体" w:hAnsi="宋体" w:cs="宋体"/>
          <w:b/>
          <w:bCs/>
          <w:color w:val="auto"/>
          <w:sz w:val="24"/>
          <w:szCs w:val="24"/>
          <w:highlight w:val="none"/>
        </w:rPr>
        <w:t>注：一份质疑（异议）函只能针对一个项目提出质疑（异议），且针对同一招标采购程序环节的质疑（异议）应当一次性提出。</w:t>
      </w:r>
    </w:p>
    <w:p w14:paraId="5BD29BF2">
      <w:pPr>
        <w:rPr>
          <w:rFonts w:ascii="仿宋" w:hAnsi="仿宋" w:eastAsia="仿宋" w:cs="仿宋"/>
          <w:b/>
          <w:color w:val="auto"/>
          <w:sz w:val="24"/>
          <w:szCs w:val="24"/>
          <w:highlight w:val="none"/>
        </w:rPr>
      </w:pPr>
      <w:r>
        <w:rPr>
          <w:rFonts w:ascii="宋体"/>
          <w:b/>
          <w:color w:val="auto"/>
          <w:sz w:val="24"/>
          <w:szCs w:val="24"/>
          <w:highlight w:val="none"/>
        </w:rPr>
        <w:br w:type="page"/>
      </w:r>
    </w:p>
    <w:p w14:paraId="1CD9A4A2">
      <w:pPr>
        <w:spacing w:before="156" w:beforeLines="50" w:after="156" w:afterLines="50"/>
        <w:jc w:val="center"/>
        <w:outlineLvl w:val="0"/>
        <w:rPr>
          <w:rFonts w:hint="eastAsia" w:ascii="宋体"/>
          <w:b/>
          <w:color w:val="auto"/>
          <w:sz w:val="32"/>
          <w:szCs w:val="32"/>
          <w:highlight w:val="none"/>
        </w:rPr>
      </w:pPr>
      <w:bookmarkStart w:id="50" w:name="_Toc14115"/>
      <w:bookmarkStart w:id="51" w:name="_Toc58430316"/>
      <w:bookmarkStart w:id="52" w:name="_Toc32192"/>
      <w:bookmarkStart w:id="53" w:name="_Toc31589_WPSOffice_Level1"/>
      <w:bookmarkStart w:id="54" w:name="_Toc12737"/>
      <w:bookmarkStart w:id="55" w:name="_Toc3222"/>
      <w:r>
        <w:rPr>
          <w:rFonts w:hint="eastAsia" w:ascii="宋体"/>
          <w:b/>
          <w:color w:val="auto"/>
          <w:sz w:val="32"/>
          <w:szCs w:val="32"/>
          <w:highlight w:val="none"/>
        </w:rPr>
        <w:t>第三章 评标办法（</w:t>
      </w:r>
      <w:r>
        <w:rPr>
          <w:rFonts w:hint="eastAsia" w:ascii="宋体"/>
          <w:b/>
          <w:color w:val="auto"/>
          <w:sz w:val="32"/>
          <w:szCs w:val="32"/>
          <w:highlight w:val="none"/>
          <w:lang w:eastAsia="zh-CN"/>
        </w:rPr>
        <w:t>综合评估法</w:t>
      </w:r>
      <w:r>
        <w:rPr>
          <w:rFonts w:hint="eastAsia" w:ascii="宋体"/>
          <w:b/>
          <w:color w:val="auto"/>
          <w:sz w:val="32"/>
          <w:szCs w:val="32"/>
          <w:highlight w:val="none"/>
        </w:rPr>
        <w:t>）</w:t>
      </w:r>
      <w:bookmarkEnd w:id="50"/>
      <w:bookmarkEnd w:id="51"/>
      <w:bookmarkEnd w:id="52"/>
    </w:p>
    <w:p w14:paraId="7DFFA895">
      <w:pPr>
        <w:spacing w:before="156" w:beforeLines="50" w:after="156" w:afterLines="50" w:line="440" w:lineRule="exact"/>
        <w:jc w:val="center"/>
        <w:outlineLvl w:val="1"/>
        <w:rPr>
          <w:rFonts w:hint="eastAsia" w:ascii="宋体"/>
          <w:b/>
          <w:color w:val="auto"/>
          <w:sz w:val="28"/>
          <w:szCs w:val="28"/>
          <w:highlight w:val="none"/>
        </w:rPr>
      </w:pPr>
      <w:bookmarkStart w:id="56" w:name="_Toc449028877"/>
      <w:bookmarkStart w:id="57" w:name="_Toc362983801"/>
      <w:bookmarkStart w:id="58" w:name="_Toc58430317"/>
      <w:bookmarkStart w:id="59" w:name="_Toc267320058"/>
      <w:bookmarkStart w:id="60" w:name="_Toc363135205"/>
      <w:r>
        <w:rPr>
          <w:rFonts w:hint="eastAsia" w:ascii="宋体"/>
          <w:b/>
          <w:color w:val="auto"/>
          <w:sz w:val="28"/>
          <w:szCs w:val="28"/>
          <w:highlight w:val="none"/>
        </w:rPr>
        <w:t>一、总</w:t>
      </w:r>
      <w:r>
        <w:rPr>
          <w:rFonts w:hint="eastAsia" w:ascii="宋体"/>
          <w:b/>
          <w:color w:val="auto"/>
          <w:sz w:val="28"/>
          <w:szCs w:val="28"/>
          <w:highlight w:val="none"/>
          <w:lang w:val="en-US" w:eastAsia="zh-CN"/>
        </w:rPr>
        <w:t xml:space="preserve"> </w:t>
      </w:r>
      <w:r>
        <w:rPr>
          <w:rFonts w:hint="eastAsia" w:ascii="宋体"/>
          <w:b/>
          <w:color w:val="auto"/>
          <w:sz w:val="28"/>
          <w:szCs w:val="28"/>
          <w:highlight w:val="none"/>
        </w:rPr>
        <w:t>则</w:t>
      </w:r>
      <w:bookmarkEnd w:id="56"/>
      <w:bookmarkEnd w:id="57"/>
      <w:bookmarkEnd w:id="58"/>
    </w:p>
    <w:p w14:paraId="40E422E8">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eastAsia="宋体"/>
          <w:b/>
          <w:color w:val="auto"/>
          <w:sz w:val="24"/>
          <w:szCs w:val="24"/>
          <w:highlight w:val="none"/>
          <w:lang w:eastAsia="zh-CN"/>
        </w:rPr>
      </w:pPr>
      <w:r>
        <w:rPr>
          <w:rFonts w:hint="eastAsia" w:ascii="宋体"/>
          <w:b/>
          <w:color w:val="auto"/>
          <w:sz w:val="24"/>
          <w:szCs w:val="24"/>
          <w:highlight w:val="none"/>
        </w:rPr>
        <w:t xml:space="preserve"> 1. 本次评标采用</w:t>
      </w:r>
      <w:r>
        <w:rPr>
          <w:rFonts w:hint="eastAsia" w:ascii="宋体"/>
          <w:b/>
          <w:color w:val="auto"/>
          <w:sz w:val="24"/>
          <w:szCs w:val="24"/>
          <w:highlight w:val="none"/>
          <w:lang w:eastAsia="zh-CN"/>
        </w:rPr>
        <w:t>综合评估法</w:t>
      </w:r>
    </w:p>
    <w:p w14:paraId="0AFA6F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color w:val="auto"/>
          <w:sz w:val="24"/>
          <w:szCs w:val="24"/>
          <w:highlight w:val="none"/>
        </w:rPr>
        <w:t>1.1</w:t>
      </w:r>
      <w:r>
        <w:rPr>
          <w:rFonts w:hint="eastAsia" w:ascii="宋体"/>
          <w:color w:val="auto"/>
          <w:sz w:val="24"/>
          <w:szCs w:val="24"/>
          <w:highlight w:val="none"/>
          <w:lang w:eastAsia="zh-CN"/>
        </w:rPr>
        <w:t>综合评估法</w:t>
      </w:r>
      <w:r>
        <w:rPr>
          <w:rFonts w:hint="eastAsia" w:ascii="宋体"/>
          <w:color w:val="auto"/>
          <w:sz w:val="24"/>
          <w:szCs w:val="24"/>
          <w:highlight w:val="none"/>
        </w:rPr>
        <w:t>是指投标文件满足招标文件全部实质性要求且按照评审因素的量化指标评审总得分从高到低的</w:t>
      </w:r>
      <w:r>
        <w:rPr>
          <w:rFonts w:hint="eastAsia" w:ascii="宋体"/>
          <w:color w:val="auto"/>
          <w:sz w:val="24"/>
          <w:szCs w:val="24"/>
          <w:highlight w:val="none"/>
          <w:lang w:eastAsia="zh-CN"/>
        </w:rPr>
        <w:t>投标人</w:t>
      </w:r>
      <w:r>
        <w:rPr>
          <w:rFonts w:hint="eastAsia" w:ascii="宋体"/>
          <w:color w:val="auto"/>
          <w:sz w:val="24"/>
          <w:szCs w:val="24"/>
          <w:highlight w:val="none"/>
        </w:rPr>
        <w:t>为中标候选人的评标方法。</w:t>
      </w:r>
    </w:p>
    <w:p w14:paraId="6F15852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1.2</w:t>
      </w:r>
      <w:r>
        <w:rPr>
          <w:rFonts w:hint="eastAsia" w:ascii="宋体"/>
          <w:color w:val="auto"/>
          <w:sz w:val="24"/>
          <w:szCs w:val="24"/>
          <w:highlight w:val="none"/>
          <w:lang w:eastAsia="zh-CN"/>
        </w:rPr>
        <w:t>综合评估法</w:t>
      </w:r>
      <w:r>
        <w:rPr>
          <w:rFonts w:hint="eastAsia" w:ascii="宋体"/>
          <w:color w:val="auto"/>
          <w:sz w:val="24"/>
          <w:szCs w:val="24"/>
          <w:highlight w:val="none"/>
        </w:rPr>
        <w:t>一般适用于较为复杂、评价指标难以量化且价格为非主要因素的非标准定制商品和非通用服务项目的项目评审。</w:t>
      </w:r>
    </w:p>
    <w:p w14:paraId="20DBE61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b/>
          <w:color w:val="auto"/>
          <w:sz w:val="24"/>
          <w:szCs w:val="24"/>
          <w:highlight w:val="none"/>
        </w:rPr>
      </w:pPr>
      <w:r>
        <w:rPr>
          <w:rFonts w:hint="eastAsia" w:ascii="宋体"/>
          <w:b/>
          <w:color w:val="auto"/>
          <w:sz w:val="24"/>
          <w:szCs w:val="24"/>
          <w:highlight w:val="none"/>
        </w:rPr>
        <w:t>2．评标程序</w:t>
      </w:r>
    </w:p>
    <w:p w14:paraId="220DBE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2.1投标文件的初审</w:t>
      </w:r>
    </w:p>
    <w:p w14:paraId="261DD02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2.1.1资格性检查。依据法律法规和招标文件的规定，对投标文件进行审查，以确定投标人是否具备投标资格。 </w:t>
      </w:r>
    </w:p>
    <w:p w14:paraId="7CB26AF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2.1.2符合性检查。依据招标文件的规定，从投标文件的有效性、完整性和对招标文件的响应程度进行审查，以确定投标人是否对招标文件的实质性要求作出响应。</w:t>
      </w:r>
    </w:p>
    <w:p w14:paraId="36921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2.2投标文件的澄清</w:t>
      </w:r>
    </w:p>
    <w:p w14:paraId="26E26B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14:paraId="23DEBD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6093E9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2.2.3  </w:t>
      </w:r>
      <w:r>
        <w:rPr>
          <w:rFonts w:hint="eastAsia" w:ascii="宋体"/>
          <w:color w:val="auto"/>
          <w:sz w:val="24"/>
          <w:szCs w:val="24"/>
          <w:highlight w:val="none"/>
          <w:lang w:eastAsia="zh-CN"/>
        </w:rPr>
        <w:t>招标人</w:t>
      </w:r>
      <w:r>
        <w:rPr>
          <w:rFonts w:hint="eastAsia" w:ascii="宋体"/>
          <w:color w:val="auto"/>
          <w:sz w:val="24"/>
          <w:szCs w:val="24"/>
          <w:highlight w:val="none"/>
        </w:rPr>
        <w:t>不接受投标人主动提出的澄清。</w:t>
      </w:r>
    </w:p>
    <w:p w14:paraId="023E33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2.3比较与评价</w:t>
      </w:r>
    </w:p>
    <w:p w14:paraId="312510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2．3.1按招标文件中规定的评标方法和标准，对资格性检查和符合性检查合格的投标文件进行资信、商务评估，综合比较与评价。 </w:t>
      </w:r>
      <w:r>
        <w:rPr>
          <w:rFonts w:hint="eastAsia" w:ascii="宋体"/>
          <w:color w:val="auto"/>
          <w:sz w:val="24"/>
          <w:szCs w:val="24"/>
          <w:highlight w:val="none"/>
        </w:rPr>
        <w:br w:type="textWrapping"/>
      </w:r>
      <w:r>
        <w:rPr>
          <w:rFonts w:hint="eastAsia" w:ascii="宋体"/>
          <w:color w:val="auto"/>
          <w:sz w:val="24"/>
          <w:szCs w:val="24"/>
          <w:highlight w:val="none"/>
        </w:rPr>
        <w:t xml:space="preserve">    2.4推荐中标候选人名单</w:t>
      </w:r>
    </w:p>
    <w:p w14:paraId="377057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2.4.1中标候选人数量应当根据采购需要确定，但必须按顺序排列中标候选人。</w:t>
      </w:r>
    </w:p>
    <w:p w14:paraId="2B4071E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2.5在投标文件的审查、澄清、评价和比较以及授予合同过程中，投标人对</w:t>
      </w:r>
      <w:r>
        <w:rPr>
          <w:rFonts w:hint="eastAsia" w:ascii="宋体"/>
          <w:color w:val="auto"/>
          <w:sz w:val="24"/>
          <w:szCs w:val="24"/>
          <w:highlight w:val="none"/>
          <w:lang w:eastAsia="zh-CN"/>
        </w:rPr>
        <w:t>招标人</w:t>
      </w:r>
      <w:r>
        <w:rPr>
          <w:rFonts w:hint="eastAsia" w:ascii="宋体"/>
          <w:color w:val="auto"/>
          <w:sz w:val="24"/>
          <w:szCs w:val="24"/>
          <w:highlight w:val="none"/>
        </w:rPr>
        <w:t>和评标委员会成员施加影响的任何行为，都将导致取消其中标资格。</w:t>
      </w:r>
    </w:p>
    <w:p w14:paraId="6BAF55D7">
      <w:pPr>
        <w:spacing w:before="156" w:beforeLines="50" w:after="156" w:afterLines="50" w:line="360" w:lineRule="auto"/>
        <w:outlineLvl w:val="1"/>
        <w:rPr>
          <w:rFonts w:ascii="宋体"/>
          <w:b/>
          <w:color w:val="auto"/>
          <w:sz w:val="24"/>
          <w:szCs w:val="24"/>
          <w:highlight w:val="none"/>
        </w:rPr>
        <w:sectPr>
          <w:footerReference r:id="rId9" w:type="default"/>
          <w:pgSz w:w="11906" w:h="16838"/>
          <w:pgMar w:top="1440" w:right="1040" w:bottom="1440" w:left="1406" w:header="851" w:footer="992" w:gutter="0"/>
          <w:pgNumType w:fmt="decimal" w:start="1"/>
          <w:cols w:space="720" w:num="1"/>
          <w:docGrid w:type="lines" w:linePitch="312" w:charSpace="0"/>
        </w:sectPr>
      </w:pPr>
      <w:bookmarkStart w:id="61" w:name="_Toc362983802"/>
    </w:p>
    <w:p w14:paraId="279A30A9">
      <w:pPr>
        <w:jc w:val="center"/>
        <w:outlineLvl w:val="1"/>
        <w:rPr>
          <w:rFonts w:hint="eastAsia" w:ascii="宋体" w:eastAsia="宋体"/>
          <w:b/>
          <w:color w:val="auto"/>
          <w:sz w:val="28"/>
          <w:szCs w:val="28"/>
          <w:highlight w:val="none"/>
          <w:lang w:eastAsia="zh-CN"/>
        </w:rPr>
      </w:pPr>
      <w:bookmarkStart w:id="62" w:name="_Toc449028878"/>
      <w:bookmarkStart w:id="63" w:name="_Toc58430318"/>
      <w:r>
        <w:rPr>
          <w:rFonts w:hint="eastAsia" w:ascii="宋体"/>
          <w:b/>
          <w:color w:val="auto"/>
          <w:sz w:val="28"/>
          <w:szCs w:val="28"/>
          <w:highlight w:val="none"/>
        </w:rPr>
        <w:t>二、投标文件</w:t>
      </w:r>
      <w:bookmarkEnd w:id="61"/>
      <w:bookmarkEnd w:id="62"/>
      <w:bookmarkEnd w:id="63"/>
      <w:r>
        <w:rPr>
          <w:rFonts w:hint="eastAsia" w:ascii="宋体"/>
          <w:b/>
          <w:color w:val="auto"/>
          <w:sz w:val="28"/>
          <w:szCs w:val="28"/>
          <w:highlight w:val="none"/>
          <w:lang w:val="en-US" w:eastAsia="zh-CN"/>
        </w:rPr>
        <w:t>评审</w:t>
      </w:r>
    </w:p>
    <w:p w14:paraId="47262C84">
      <w:pPr>
        <w:pageBreakBefore w:val="0"/>
        <w:widowControl w:val="0"/>
        <w:kinsoku/>
        <w:wordWrap/>
        <w:overflowPunct/>
        <w:topLinePunct w:val="0"/>
        <w:autoSpaceDN/>
        <w:bidi w:val="0"/>
        <w:adjustRightInd/>
        <w:snapToGrid/>
        <w:spacing w:line="440" w:lineRule="exact"/>
        <w:ind w:firstLine="422" w:firstLineChars="200"/>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1</w:t>
      </w:r>
      <w:r>
        <w:rPr>
          <w:rFonts w:hint="eastAsia" w:ascii="宋体"/>
          <w:b/>
          <w:color w:val="auto"/>
          <w:sz w:val="21"/>
          <w:szCs w:val="21"/>
          <w:highlight w:val="none"/>
        </w:rPr>
        <w:t>.资格性审查:</w:t>
      </w:r>
    </w:p>
    <w:p w14:paraId="4B7CD064">
      <w:pPr>
        <w:pageBreakBefore w:val="0"/>
        <w:widowControl w:val="0"/>
        <w:kinsoku/>
        <w:wordWrap/>
        <w:overflowPunct/>
        <w:topLinePunct w:val="0"/>
        <w:autoSpaceDN/>
        <w:bidi w:val="0"/>
        <w:adjustRightInd/>
        <w:snapToGrid/>
        <w:spacing w:line="440" w:lineRule="exact"/>
        <w:ind w:firstLine="420" w:firstLineChars="200"/>
        <w:textAlignment w:val="auto"/>
        <w:rPr>
          <w:rFonts w:hint="eastAsia"/>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rPr>
        <w:t>.1</w:t>
      </w:r>
      <w:r>
        <w:rPr>
          <w:rFonts w:hint="eastAsia"/>
          <w:color w:val="auto"/>
          <w:sz w:val="21"/>
          <w:szCs w:val="21"/>
          <w:highlight w:val="none"/>
        </w:rPr>
        <w:t>评审细则</w:t>
      </w:r>
    </w:p>
    <w:tbl>
      <w:tblPr>
        <w:tblStyle w:val="45"/>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61"/>
        <w:gridCol w:w="6412"/>
        <w:gridCol w:w="1932"/>
      </w:tblGrid>
      <w:tr w14:paraId="4E80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30" w:type="dxa"/>
            <w:gridSpan w:val="2"/>
            <w:noWrap w:val="0"/>
            <w:vAlign w:val="center"/>
          </w:tcPr>
          <w:p w14:paraId="675FE74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条款号</w:t>
            </w:r>
          </w:p>
        </w:tc>
        <w:tc>
          <w:tcPr>
            <w:tcW w:w="6412" w:type="dxa"/>
            <w:noWrap w:val="0"/>
            <w:vAlign w:val="center"/>
          </w:tcPr>
          <w:p w14:paraId="1DE3C24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审查内容</w:t>
            </w:r>
          </w:p>
        </w:tc>
        <w:tc>
          <w:tcPr>
            <w:tcW w:w="1932" w:type="dxa"/>
            <w:noWrap w:val="0"/>
            <w:vAlign w:val="center"/>
          </w:tcPr>
          <w:p w14:paraId="461BA12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宋体" w:hAnsi="宋体" w:cs="宋体"/>
                <w:b/>
                <w:bCs/>
                <w:color w:val="auto"/>
                <w:szCs w:val="21"/>
              </w:rPr>
              <w:t>评审标准</w:t>
            </w:r>
          </w:p>
        </w:tc>
      </w:tr>
      <w:tr w14:paraId="4243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9" w:type="dxa"/>
            <w:vMerge w:val="restart"/>
            <w:noWrap w:val="0"/>
            <w:vAlign w:val="center"/>
          </w:tcPr>
          <w:p w14:paraId="79DC909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61" w:type="dxa"/>
            <w:vMerge w:val="restart"/>
            <w:noWrap w:val="0"/>
            <w:vAlign w:val="center"/>
          </w:tcPr>
          <w:p w14:paraId="3A29F08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审查资料</w:t>
            </w:r>
          </w:p>
        </w:tc>
        <w:tc>
          <w:tcPr>
            <w:tcW w:w="6412" w:type="dxa"/>
            <w:noWrap w:val="0"/>
            <w:vAlign w:val="top"/>
          </w:tcPr>
          <w:p w14:paraId="648169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法定代表人身份证明文件和本人有效身份证(或法定代表人授权委托书和委托代理人有效身份证) （格式见附件）</w:t>
            </w:r>
          </w:p>
        </w:tc>
        <w:tc>
          <w:tcPr>
            <w:tcW w:w="1932" w:type="dxa"/>
            <w:vMerge w:val="restart"/>
            <w:noWrap w:val="0"/>
            <w:vAlign w:val="center"/>
          </w:tcPr>
          <w:p w14:paraId="5C6458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检验电子投标文件</w:t>
            </w:r>
          </w:p>
        </w:tc>
      </w:tr>
      <w:tr w14:paraId="0A09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9" w:type="dxa"/>
            <w:vMerge w:val="continue"/>
            <w:noWrap w:val="0"/>
            <w:vAlign w:val="center"/>
          </w:tcPr>
          <w:p w14:paraId="167139E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7FFF24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14048A9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color w:val="auto"/>
                <w:sz w:val="21"/>
                <w:szCs w:val="21"/>
                <w:highlight w:val="none"/>
              </w:rPr>
            </w:pPr>
            <w:r>
              <w:rPr>
                <w:rFonts w:hint="eastAsia" w:ascii="宋体" w:hAnsi="宋体" w:cs="宋体"/>
                <w:color w:val="auto"/>
                <w:sz w:val="21"/>
                <w:szCs w:val="21"/>
                <w:highlight w:val="none"/>
              </w:rPr>
              <w:t>诚信投标承诺书（格式见附件）</w:t>
            </w:r>
          </w:p>
        </w:tc>
        <w:tc>
          <w:tcPr>
            <w:tcW w:w="1932" w:type="dxa"/>
            <w:vMerge w:val="continue"/>
            <w:noWrap w:val="0"/>
            <w:vAlign w:val="top"/>
          </w:tcPr>
          <w:p w14:paraId="5594C64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ascii="宋体" w:hAnsi="宋体" w:cs="宋体"/>
                <w:color w:val="auto"/>
                <w:sz w:val="21"/>
                <w:szCs w:val="21"/>
                <w:highlight w:val="none"/>
              </w:rPr>
            </w:pPr>
          </w:p>
        </w:tc>
      </w:tr>
      <w:tr w14:paraId="0FD1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9" w:type="dxa"/>
            <w:vMerge w:val="continue"/>
            <w:noWrap w:val="0"/>
            <w:vAlign w:val="center"/>
          </w:tcPr>
          <w:p w14:paraId="293EA18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23F05A0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3412EC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投标人营业执照</w:t>
            </w:r>
            <w:r>
              <w:rPr>
                <w:rFonts w:hint="eastAsia" w:ascii="宋体" w:hAnsi="宋体"/>
                <w:color w:val="auto"/>
                <w:sz w:val="21"/>
                <w:szCs w:val="21"/>
                <w:highlight w:val="none"/>
              </w:rPr>
              <w:t>（或三证合一的有效证件）</w:t>
            </w:r>
          </w:p>
        </w:tc>
        <w:tc>
          <w:tcPr>
            <w:tcW w:w="1932" w:type="dxa"/>
            <w:vMerge w:val="continue"/>
            <w:noWrap w:val="0"/>
            <w:vAlign w:val="top"/>
          </w:tcPr>
          <w:p w14:paraId="398942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0EFB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669" w:type="dxa"/>
            <w:vMerge w:val="continue"/>
            <w:noWrap w:val="0"/>
            <w:vAlign w:val="center"/>
          </w:tcPr>
          <w:p w14:paraId="49D11AE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1D2E2A9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5ED6D1D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拟派项目负责人的有效身份证及资质要求的相关证书</w:t>
            </w:r>
          </w:p>
        </w:tc>
        <w:tc>
          <w:tcPr>
            <w:tcW w:w="1932" w:type="dxa"/>
            <w:vMerge w:val="continue"/>
            <w:noWrap w:val="0"/>
            <w:vAlign w:val="top"/>
          </w:tcPr>
          <w:p w14:paraId="50E843D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2C97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69" w:type="dxa"/>
            <w:vMerge w:val="continue"/>
            <w:noWrap w:val="0"/>
            <w:vAlign w:val="center"/>
          </w:tcPr>
          <w:p w14:paraId="54E0BC0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08B34C8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689A9D0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投标人的法定代表人(或委托代理人)和拟任项目负责人须持有社保部门出具的本单位为其缴纳的投标前近</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932" w:type="dxa"/>
            <w:vMerge w:val="continue"/>
            <w:noWrap w:val="0"/>
            <w:vAlign w:val="top"/>
          </w:tcPr>
          <w:p w14:paraId="1ED21CA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1A03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Merge w:val="continue"/>
            <w:noWrap w:val="0"/>
            <w:vAlign w:val="center"/>
          </w:tcPr>
          <w:p w14:paraId="1161F7F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bookmarkStart w:id="64" w:name="_Toc1191"/>
            <w:bookmarkStart w:id="65" w:name="_Toc58430320"/>
            <w:bookmarkStart w:id="66" w:name="_Toc449028880"/>
          </w:p>
        </w:tc>
        <w:tc>
          <w:tcPr>
            <w:tcW w:w="1061" w:type="dxa"/>
            <w:vMerge w:val="continue"/>
            <w:noWrap w:val="0"/>
            <w:vAlign w:val="center"/>
          </w:tcPr>
          <w:p w14:paraId="5622FAB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644B6DF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项目组成员注册证书和证明专业的证明材料。</w:t>
            </w:r>
          </w:p>
        </w:tc>
        <w:tc>
          <w:tcPr>
            <w:tcW w:w="1932" w:type="dxa"/>
            <w:vMerge w:val="continue"/>
            <w:noWrap w:val="0"/>
            <w:vAlign w:val="top"/>
          </w:tcPr>
          <w:p w14:paraId="66413EA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p>
        </w:tc>
      </w:tr>
      <w:bookmarkEnd w:id="64"/>
    </w:tbl>
    <w:p w14:paraId="1EDC52AF">
      <w:pPr>
        <w:pStyle w:val="3"/>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67" w:name="_Toc37230750"/>
      <w:bookmarkStart w:id="68" w:name="_Toc506107320"/>
      <w:bookmarkStart w:id="69" w:name="_Toc15058909"/>
      <w:bookmarkStart w:id="70" w:name="_Toc324404867"/>
      <w:bookmarkStart w:id="71" w:name="_Toc17672"/>
      <w:r>
        <w:rPr>
          <w:rFonts w:hint="eastAsia" w:ascii="宋体" w:hAnsi="宋体" w:eastAsia="宋体" w:cs="宋体"/>
          <w:color w:val="auto"/>
          <w:sz w:val="21"/>
          <w:szCs w:val="21"/>
          <w:highlight w:val="none"/>
        </w:rPr>
        <w:t>2.审查办法</w:t>
      </w:r>
      <w:bookmarkEnd w:id="67"/>
      <w:bookmarkEnd w:id="68"/>
      <w:bookmarkEnd w:id="69"/>
      <w:bookmarkEnd w:id="70"/>
      <w:bookmarkEnd w:id="71"/>
    </w:p>
    <w:p w14:paraId="56911811">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1、由资格审查委员会（评审委员会）按资格审查办法前附表中资格审查必要合格条件评审表要求对投标人审查资料进行核验。投标人有下列情形之一的，其资格审查为不合格：</w:t>
      </w:r>
      <w:bookmarkStart w:id="72" w:name="_Toc37230751"/>
      <w:bookmarkStart w:id="73" w:name="_Toc324404868"/>
      <w:bookmarkStart w:id="74" w:name="_Toc7413"/>
      <w:bookmarkStart w:id="75" w:name="_Toc506107321"/>
      <w:bookmarkStart w:id="76" w:name="_Toc15058910"/>
    </w:p>
    <w:p w14:paraId="55B50D61">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①逾期送达的；</w:t>
      </w:r>
    </w:p>
    <w:p w14:paraId="4EEEBAC1">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②无单位盖章、无法定代表人或法定代表人授权的代理人签字或盖章的；；</w:t>
      </w:r>
    </w:p>
    <w:p w14:paraId="38F85344">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③未按规定的格式填写，内容不全或关键字迹模糊、无法辨认的；</w:t>
      </w:r>
    </w:p>
    <w:p w14:paraId="2EA59961">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④服务期或质量不符合招标文件要求的</w:t>
      </w:r>
    </w:p>
    <w:p w14:paraId="3D9AE9E6">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⑤法律、法规、规章和招标文件规定的其他否决投标情形。</w:t>
      </w:r>
    </w:p>
    <w:p w14:paraId="4DE6944F">
      <w:pPr>
        <w:pStyle w:val="3"/>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3.资格审查委员会和审查标准</w:t>
      </w:r>
      <w:bookmarkEnd w:id="72"/>
      <w:bookmarkEnd w:id="73"/>
      <w:bookmarkEnd w:id="74"/>
      <w:bookmarkEnd w:id="75"/>
      <w:bookmarkEnd w:id="76"/>
    </w:p>
    <w:p w14:paraId="50A7F6AB">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资格审查由招标单位依法组建的资格审查委员会（或评审委员会）负责。审查标准见资格审查办法前附表。</w:t>
      </w:r>
    </w:p>
    <w:p w14:paraId="1B634873">
      <w:pPr>
        <w:pStyle w:val="3"/>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77" w:name="_Toc7217"/>
      <w:bookmarkStart w:id="78" w:name="_Toc506107322"/>
      <w:bookmarkStart w:id="79" w:name="_Toc324404869"/>
      <w:bookmarkStart w:id="80" w:name="_Toc15058911"/>
      <w:bookmarkStart w:id="81" w:name="_Toc37230752"/>
      <w:r>
        <w:rPr>
          <w:rFonts w:hint="eastAsia" w:ascii="宋体" w:hAnsi="宋体" w:eastAsia="宋体" w:cs="宋体"/>
          <w:color w:val="auto"/>
          <w:sz w:val="21"/>
          <w:szCs w:val="21"/>
          <w:highlight w:val="none"/>
        </w:rPr>
        <w:t>4.审查结果</w:t>
      </w:r>
      <w:bookmarkEnd w:id="77"/>
      <w:bookmarkEnd w:id="78"/>
      <w:bookmarkEnd w:id="79"/>
      <w:bookmarkEnd w:id="80"/>
      <w:bookmarkEnd w:id="81"/>
    </w:p>
    <w:p w14:paraId="210838C6">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只有通过资格审查的投标人才能进入下一步的评审程序。</w:t>
      </w:r>
    </w:p>
    <w:p w14:paraId="073C0A1D">
      <w:pPr>
        <w:spacing w:line="400" w:lineRule="exact"/>
        <w:jc w:val="center"/>
        <w:outlineLvl w:val="1"/>
        <w:rPr>
          <w:rFonts w:hint="eastAsia" w:ascii="宋体"/>
          <w:b/>
          <w:color w:val="auto"/>
          <w:sz w:val="21"/>
          <w:szCs w:val="21"/>
          <w:highlight w:val="none"/>
        </w:rPr>
      </w:pPr>
    </w:p>
    <w:p w14:paraId="4F0D9F96">
      <w:pPr>
        <w:spacing w:line="400" w:lineRule="exact"/>
        <w:jc w:val="center"/>
        <w:outlineLvl w:val="1"/>
        <w:rPr>
          <w:rFonts w:hint="eastAsia" w:ascii="宋体"/>
          <w:b/>
          <w:color w:val="auto"/>
          <w:sz w:val="21"/>
          <w:szCs w:val="21"/>
          <w:highlight w:val="none"/>
        </w:rPr>
      </w:pPr>
    </w:p>
    <w:p w14:paraId="4392BAAF">
      <w:pPr>
        <w:spacing w:line="400" w:lineRule="exact"/>
        <w:jc w:val="center"/>
        <w:outlineLvl w:val="1"/>
        <w:rPr>
          <w:rFonts w:hint="eastAsia" w:ascii="宋体"/>
          <w:b/>
          <w:color w:val="auto"/>
          <w:sz w:val="21"/>
          <w:szCs w:val="21"/>
          <w:highlight w:val="none"/>
        </w:rPr>
      </w:pPr>
      <w:r>
        <w:rPr>
          <w:rFonts w:hint="eastAsia" w:ascii="宋体"/>
          <w:b/>
          <w:color w:val="auto"/>
          <w:sz w:val="21"/>
          <w:szCs w:val="21"/>
          <w:highlight w:val="none"/>
        </w:rPr>
        <w:t>比较与评价</w:t>
      </w:r>
      <w:bookmarkEnd w:id="65"/>
      <w:bookmarkEnd w:id="66"/>
    </w:p>
    <w:p w14:paraId="72BC3792">
      <w:pPr>
        <w:keepNext w:val="0"/>
        <w:keepLines w:val="0"/>
        <w:pageBreakBefore w:val="0"/>
        <w:widowControl w:val="0"/>
        <w:kinsoku/>
        <w:overflowPunct/>
        <w:topLinePunct w:val="0"/>
        <w:autoSpaceDE/>
        <w:autoSpaceDN/>
        <w:bidi w:val="0"/>
        <w:adjustRightInd/>
        <w:snapToGrid/>
        <w:spacing w:line="440" w:lineRule="exact"/>
        <w:ind w:firstLine="417" w:firstLineChars="198"/>
        <w:textAlignment w:val="auto"/>
        <w:rPr>
          <w:rFonts w:ascii="宋体"/>
          <w:b/>
          <w:color w:val="auto"/>
          <w:sz w:val="21"/>
          <w:szCs w:val="21"/>
          <w:highlight w:val="none"/>
        </w:rPr>
      </w:pPr>
      <w:r>
        <w:rPr>
          <w:rFonts w:hint="eastAsia" w:ascii="宋体" w:hAnsi="宋体"/>
          <w:b/>
          <w:color w:val="auto"/>
          <w:sz w:val="21"/>
          <w:szCs w:val="21"/>
          <w:highlight w:val="none"/>
        </w:rPr>
        <w:t xml:space="preserve"> </w:t>
      </w: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bookmarkStart w:id="82" w:name="_Toc362983805"/>
      <w:r>
        <w:rPr>
          <w:rFonts w:hint="eastAsia" w:ascii="宋体" w:hAnsi="宋体"/>
          <w:b/>
          <w:color w:val="auto"/>
          <w:sz w:val="21"/>
          <w:szCs w:val="21"/>
          <w:highlight w:val="none"/>
        </w:rPr>
        <w:t xml:space="preserve"> </w:t>
      </w:r>
      <w:r>
        <w:rPr>
          <w:rFonts w:hint="eastAsia" w:ascii="宋体"/>
          <w:b/>
          <w:color w:val="auto"/>
          <w:sz w:val="21"/>
          <w:szCs w:val="21"/>
          <w:highlight w:val="none"/>
        </w:rPr>
        <w:t>详细评审即按招标文件中规定的评标方法和标准，评标委员会将对通过初审的投标文件，进行商务部分评估、综合比较与评价。</w:t>
      </w:r>
    </w:p>
    <w:p w14:paraId="65BBC541">
      <w:pPr>
        <w:keepNext w:val="0"/>
        <w:keepLines w:val="0"/>
        <w:pageBreakBefore w:val="0"/>
        <w:widowControl w:val="0"/>
        <w:kinsoku/>
        <w:overflowPunct/>
        <w:topLinePunct w:val="0"/>
        <w:autoSpaceDE/>
        <w:autoSpaceDN/>
        <w:bidi w:val="0"/>
        <w:adjustRightInd/>
        <w:snapToGrid/>
        <w:spacing w:line="440" w:lineRule="exact"/>
        <w:ind w:firstLine="517" w:firstLineChars="245"/>
        <w:textAlignment w:val="auto"/>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资信评审细则（26分）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1620"/>
        <w:gridCol w:w="6600"/>
      </w:tblGrid>
      <w:tr w14:paraId="5C20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3CD83B5">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69F5A1E">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评分因素</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88FECCF">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评审细则</w:t>
            </w:r>
          </w:p>
        </w:tc>
      </w:tr>
      <w:tr w14:paraId="419C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288EB8AE">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945B4CA">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企业业绩</w:t>
            </w:r>
          </w:p>
          <w:p w14:paraId="20004932">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A28B202">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投标人自</w:t>
            </w:r>
            <w:r>
              <w:rPr>
                <w:rFonts w:hint="eastAsia" w:ascii="宋体" w:hAnsi="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年1</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rPr>
              <w:t>1日至投标文件提交截止时间前，承担过单个合同施工总金额</w:t>
            </w:r>
            <w:r>
              <w:rPr>
                <w:rFonts w:hint="eastAsia" w:ascii="宋体" w:hAnsi="宋体" w:cs="宋体"/>
                <w:color w:val="auto"/>
                <w:kern w:val="2"/>
                <w:sz w:val="21"/>
                <w:szCs w:val="21"/>
                <w:highlight w:val="none"/>
                <w:lang w:val="en-US" w:eastAsia="zh-CN"/>
              </w:rPr>
              <w:t>1亿</w:t>
            </w:r>
            <w:r>
              <w:rPr>
                <w:rFonts w:hint="eastAsia" w:ascii="宋体" w:hAnsi="宋体" w:eastAsia="宋体" w:cs="宋体"/>
                <w:color w:val="auto"/>
                <w:kern w:val="2"/>
                <w:sz w:val="21"/>
                <w:szCs w:val="21"/>
                <w:highlight w:val="none"/>
              </w:rPr>
              <w:t>元以上的</w:t>
            </w:r>
            <w:r>
              <w:rPr>
                <w:rFonts w:hint="eastAsia" w:ascii="宋体" w:hAnsi="宋体" w:cs="宋体"/>
                <w:color w:val="auto"/>
                <w:kern w:val="2"/>
                <w:sz w:val="21"/>
                <w:szCs w:val="21"/>
                <w:highlight w:val="none"/>
                <w:lang w:val="en-US" w:eastAsia="zh-CN"/>
              </w:rPr>
              <w:t>工业厂房</w:t>
            </w:r>
            <w:r>
              <w:rPr>
                <w:rFonts w:hint="eastAsia" w:ascii="宋体" w:hAnsi="宋体" w:cs="宋体"/>
                <w:color w:val="auto"/>
                <w:kern w:val="2"/>
                <w:sz w:val="21"/>
                <w:szCs w:val="21"/>
                <w:highlight w:val="none"/>
                <w:lang w:val="en-US" w:eastAsia="zh-CN"/>
              </w:rPr>
              <w:t>结算复核或跟踪审计业绩的</w:t>
            </w:r>
            <w:r>
              <w:rPr>
                <w:rFonts w:hint="eastAsia" w:ascii="宋体" w:hAnsi="宋体" w:cs="宋体"/>
                <w:color w:val="auto"/>
                <w:kern w:val="2"/>
                <w:sz w:val="21"/>
                <w:szCs w:val="21"/>
                <w:highlight w:val="none"/>
                <w:lang w:val="en-US" w:eastAsia="zh-CN"/>
              </w:rPr>
              <w:t>，得10分，满分10分。</w:t>
            </w:r>
          </w:p>
          <w:p w14:paraId="4E61299F">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电子投标文件须</w:t>
            </w:r>
            <w:r>
              <w:rPr>
                <w:rFonts w:hint="eastAsia" w:ascii="宋体" w:hAnsi="宋体" w:eastAsia="宋体" w:cs="宋体"/>
                <w:color w:val="auto"/>
                <w:kern w:val="2"/>
                <w:sz w:val="21"/>
                <w:szCs w:val="21"/>
                <w:highlight w:val="none"/>
              </w:rPr>
              <w:t>同时提供①咨询成果报告（文件），咨询成果报告（文件）是指投标人作为</w:t>
            </w:r>
            <w:r>
              <w:rPr>
                <w:rFonts w:hint="eastAsia" w:ascii="宋体" w:hAnsi="宋体" w:cs="宋体"/>
                <w:color w:val="auto"/>
                <w:kern w:val="2"/>
                <w:sz w:val="21"/>
                <w:szCs w:val="21"/>
                <w:highlight w:val="none"/>
                <w:lang w:val="en-US" w:eastAsia="zh-CN"/>
              </w:rPr>
              <w:t>结算复核</w:t>
            </w:r>
            <w:r>
              <w:rPr>
                <w:rFonts w:hint="eastAsia" w:ascii="宋体" w:hAnsi="宋体" w:eastAsia="宋体" w:cs="宋体"/>
                <w:color w:val="auto"/>
                <w:kern w:val="2"/>
                <w:sz w:val="21"/>
                <w:szCs w:val="21"/>
                <w:highlight w:val="none"/>
              </w:rPr>
              <w:t>单位</w:t>
            </w:r>
            <w:r>
              <w:rPr>
                <w:rFonts w:hint="eastAsia" w:ascii="宋体" w:hAnsi="宋体" w:cs="宋体"/>
                <w:color w:val="auto"/>
                <w:kern w:val="2"/>
                <w:sz w:val="21"/>
                <w:szCs w:val="21"/>
                <w:highlight w:val="none"/>
                <w:lang w:val="en-US" w:eastAsia="zh-CN"/>
              </w:rPr>
              <w:t>或跟踪审计</w:t>
            </w:r>
            <w:r>
              <w:rPr>
                <w:rFonts w:hint="eastAsia" w:ascii="宋体" w:hAnsi="宋体" w:eastAsia="宋体" w:cs="宋体"/>
                <w:color w:val="auto"/>
                <w:kern w:val="2"/>
                <w:sz w:val="21"/>
                <w:szCs w:val="21"/>
                <w:highlight w:val="none"/>
              </w:rPr>
              <w:t>单位出具的经建设单位认可的</w:t>
            </w:r>
            <w:r>
              <w:rPr>
                <w:rFonts w:hint="eastAsia" w:ascii="宋体" w:hAnsi="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rPr>
              <w:t>文件主要页面，业绩时间以成果文件出具时间为准，金额以成果文件</w:t>
            </w:r>
            <w:r>
              <w:rPr>
                <w:rFonts w:hint="eastAsia" w:ascii="宋体" w:hAnsi="宋体" w:cs="宋体"/>
                <w:color w:val="auto"/>
                <w:kern w:val="2"/>
                <w:sz w:val="21"/>
                <w:szCs w:val="21"/>
                <w:highlight w:val="none"/>
                <w:lang w:val="en-US" w:eastAsia="zh-CN"/>
              </w:rPr>
              <w:t>审定金额</w:t>
            </w:r>
            <w:r>
              <w:rPr>
                <w:rFonts w:hint="eastAsia" w:ascii="宋体" w:hAnsi="宋体" w:cs="宋体"/>
                <w:color w:val="auto"/>
                <w:kern w:val="2"/>
                <w:sz w:val="21"/>
                <w:szCs w:val="21"/>
                <w:highlight w:val="none"/>
                <w:lang w:val="en-US" w:eastAsia="zh-CN"/>
              </w:rPr>
              <w:t>为准</w:t>
            </w:r>
            <w:r>
              <w:rPr>
                <w:rFonts w:hint="eastAsia" w:ascii="宋体" w:hAnsi="宋体" w:eastAsia="宋体" w:cs="宋体"/>
                <w:color w:val="auto"/>
                <w:kern w:val="2"/>
                <w:sz w:val="21"/>
                <w:szCs w:val="21"/>
                <w:highlight w:val="none"/>
              </w:rPr>
              <w:t>；②合同</w:t>
            </w:r>
            <w:r>
              <w:rPr>
                <w:rFonts w:hint="eastAsia" w:ascii="宋体" w:hAnsi="宋体" w:cs="宋体"/>
                <w:color w:val="auto"/>
                <w:kern w:val="2"/>
                <w:sz w:val="21"/>
                <w:szCs w:val="21"/>
                <w:highlight w:val="none"/>
                <w:lang w:eastAsia="zh-CN"/>
              </w:rPr>
              <w:t>。</w:t>
            </w:r>
          </w:p>
        </w:tc>
      </w:tr>
      <w:tr w14:paraId="1BFC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7102EFB">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66E73CF">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项目负责人业绩</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CEF898F">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项目负责人</w:t>
            </w:r>
            <w:r>
              <w:rPr>
                <w:rFonts w:hint="eastAsia" w:ascii="宋体" w:hAnsi="宋体" w:eastAsia="宋体" w:cs="宋体"/>
                <w:color w:val="auto"/>
                <w:kern w:val="2"/>
                <w:sz w:val="21"/>
                <w:szCs w:val="21"/>
                <w:highlight w:val="none"/>
              </w:rPr>
              <w:t>自</w:t>
            </w:r>
            <w:r>
              <w:rPr>
                <w:rFonts w:hint="eastAsia" w:ascii="宋体" w:hAnsi="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年1</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rPr>
              <w:t>1日至投标文件提交截止时间前，承担过单个合同施工总金额1亿元以上的</w:t>
            </w:r>
            <w:r>
              <w:rPr>
                <w:rFonts w:hint="eastAsia" w:ascii="宋体" w:hAnsi="宋体" w:cs="宋体"/>
                <w:color w:val="auto"/>
                <w:kern w:val="2"/>
                <w:sz w:val="21"/>
                <w:szCs w:val="21"/>
                <w:highlight w:val="none"/>
                <w:lang w:val="en-US" w:eastAsia="zh-CN"/>
              </w:rPr>
              <w:t>工业厂房</w:t>
            </w:r>
            <w:r>
              <w:rPr>
                <w:rFonts w:hint="eastAsia" w:ascii="宋体" w:hAnsi="宋体" w:cs="宋体"/>
                <w:color w:val="auto"/>
                <w:kern w:val="2"/>
                <w:sz w:val="21"/>
                <w:szCs w:val="21"/>
                <w:highlight w:val="none"/>
                <w:lang w:val="en-US" w:eastAsia="zh-CN"/>
              </w:rPr>
              <w:t>结算复核或跟踪审计业绩的</w:t>
            </w:r>
            <w:r>
              <w:rPr>
                <w:rFonts w:hint="eastAsia" w:ascii="宋体" w:hAnsi="宋体" w:cs="宋体"/>
                <w:color w:val="auto"/>
                <w:kern w:val="2"/>
                <w:sz w:val="21"/>
                <w:szCs w:val="21"/>
                <w:highlight w:val="none"/>
                <w:lang w:val="en-US" w:eastAsia="zh-CN"/>
              </w:rPr>
              <w:t>，得10分，满分10分。</w:t>
            </w:r>
          </w:p>
          <w:p w14:paraId="341BC8D6">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电子投标文件须</w:t>
            </w:r>
            <w:r>
              <w:rPr>
                <w:rFonts w:hint="eastAsia" w:ascii="宋体" w:hAnsi="宋体" w:eastAsia="宋体" w:cs="宋体"/>
                <w:color w:val="auto"/>
                <w:kern w:val="2"/>
                <w:sz w:val="21"/>
                <w:szCs w:val="21"/>
                <w:highlight w:val="none"/>
              </w:rPr>
              <w:t>同时提供①咨询成果报告（文件），咨询成果报告（文件）是指投标人作为</w:t>
            </w:r>
            <w:r>
              <w:rPr>
                <w:rFonts w:hint="eastAsia" w:ascii="宋体" w:hAnsi="宋体" w:cs="宋体"/>
                <w:color w:val="auto"/>
                <w:kern w:val="2"/>
                <w:sz w:val="21"/>
                <w:szCs w:val="21"/>
                <w:highlight w:val="none"/>
                <w:lang w:val="en-US" w:eastAsia="zh-CN"/>
              </w:rPr>
              <w:t>结算复核</w:t>
            </w:r>
            <w:r>
              <w:rPr>
                <w:rFonts w:hint="eastAsia" w:ascii="宋体" w:hAnsi="宋体" w:eastAsia="宋体" w:cs="宋体"/>
                <w:color w:val="auto"/>
                <w:kern w:val="2"/>
                <w:sz w:val="21"/>
                <w:szCs w:val="21"/>
                <w:highlight w:val="none"/>
              </w:rPr>
              <w:t>单位</w:t>
            </w:r>
            <w:r>
              <w:rPr>
                <w:rFonts w:hint="eastAsia" w:ascii="宋体" w:hAnsi="宋体" w:cs="宋体"/>
                <w:color w:val="auto"/>
                <w:kern w:val="2"/>
                <w:sz w:val="21"/>
                <w:szCs w:val="21"/>
                <w:highlight w:val="none"/>
                <w:lang w:val="en-US" w:eastAsia="zh-CN"/>
              </w:rPr>
              <w:t>或跟踪审计</w:t>
            </w:r>
            <w:r>
              <w:rPr>
                <w:rFonts w:hint="eastAsia" w:ascii="宋体" w:hAnsi="宋体" w:eastAsia="宋体" w:cs="宋体"/>
                <w:color w:val="auto"/>
                <w:kern w:val="2"/>
                <w:sz w:val="21"/>
                <w:szCs w:val="21"/>
                <w:highlight w:val="none"/>
              </w:rPr>
              <w:t>单位出具的经建设单位认可的</w:t>
            </w:r>
            <w:r>
              <w:rPr>
                <w:rFonts w:hint="eastAsia" w:ascii="宋体" w:hAnsi="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rPr>
              <w:t>文件主要页面，业绩时间以成果文件出具时间为准，金额以成果文件</w:t>
            </w:r>
            <w:r>
              <w:rPr>
                <w:rFonts w:hint="eastAsia" w:ascii="宋体" w:hAnsi="宋体" w:cs="宋体"/>
                <w:color w:val="auto"/>
                <w:kern w:val="2"/>
                <w:sz w:val="21"/>
                <w:szCs w:val="21"/>
                <w:highlight w:val="none"/>
                <w:lang w:val="en-US" w:eastAsia="zh-CN"/>
              </w:rPr>
              <w:t>审定金额</w:t>
            </w:r>
            <w:r>
              <w:rPr>
                <w:rFonts w:hint="eastAsia" w:ascii="宋体" w:hAnsi="宋体" w:eastAsia="宋体" w:cs="宋体"/>
                <w:color w:val="auto"/>
                <w:kern w:val="2"/>
                <w:sz w:val="21"/>
                <w:szCs w:val="21"/>
                <w:highlight w:val="none"/>
              </w:rPr>
              <w:t>为准；②合同</w:t>
            </w:r>
            <w:r>
              <w:rPr>
                <w:rFonts w:hint="eastAsia" w:ascii="宋体" w:hAnsi="宋体" w:cs="宋体"/>
                <w:color w:val="auto"/>
                <w:kern w:val="2"/>
                <w:sz w:val="21"/>
                <w:szCs w:val="21"/>
                <w:highlight w:val="none"/>
                <w:lang w:eastAsia="zh-CN"/>
              </w:rPr>
              <w:t>。</w:t>
            </w:r>
            <w:r>
              <w:rPr>
                <w:rFonts w:hint="default" w:ascii="宋体" w:hAnsi="宋体" w:eastAsia="宋体" w:cs="宋体"/>
                <w:color w:val="auto"/>
                <w:kern w:val="2"/>
                <w:sz w:val="21"/>
                <w:szCs w:val="21"/>
                <w:highlight w:val="none"/>
                <w:lang w:eastAsia="zh-CN"/>
              </w:rPr>
              <w:t>③</w:t>
            </w:r>
            <w:r>
              <w:rPr>
                <w:rFonts w:hint="eastAsia" w:ascii="宋体" w:hAnsi="宋体" w:cs="宋体"/>
                <w:color w:val="auto"/>
                <w:kern w:val="2"/>
                <w:sz w:val="21"/>
                <w:szCs w:val="21"/>
                <w:highlight w:val="none"/>
                <w:lang w:val="en-US" w:eastAsia="zh-CN"/>
              </w:rPr>
              <w:t>咨询成果报告（文件）项目负责人印章和合同中（如有项目负责人姓名）项目负责人姓名不一致的，不予认</w:t>
            </w:r>
            <w:r>
              <w:rPr>
                <w:rFonts w:hint="eastAsia" w:ascii="宋体" w:hAnsi="宋体" w:eastAsia="宋体" w:cs="宋体"/>
                <w:color w:val="auto"/>
                <w:kern w:val="2"/>
                <w:sz w:val="21"/>
                <w:szCs w:val="21"/>
                <w:highlight w:val="none"/>
                <w:lang w:val="en-US" w:eastAsia="zh-CN"/>
              </w:rPr>
              <w:t>可。④项目负</w:t>
            </w:r>
            <w:r>
              <w:rPr>
                <w:rFonts w:hint="eastAsia" w:ascii="宋体" w:hAnsi="宋体" w:cs="宋体"/>
                <w:color w:val="auto"/>
                <w:kern w:val="2"/>
                <w:sz w:val="21"/>
                <w:szCs w:val="21"/>
                <w:highlight w:val="none"/>
                <w:lang w:val="en-US" w:eastAsia="zh-CN"/>
              </w:rPr>
              <w:t>责人业绩和企业业绩不得为同一个业绩。</w:t>
            </w:r>
          </w:p>
        </w:tc>
      </w:tr>
      <w:tr w14:paraId="6EA0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1B2391B">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9034B22">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项目组人员</w:t>
            </w:r>
          </w:p>
          <w:p w14:paraId="550D478C">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76C9040">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1.拟派的项目负责人具有工程类（</w:t>
            </w:r>
            <w:r>
              <w:rPr>
                <w:rFonts w:hint="eastAsia" w:ascii="宋体" w:hAnsi="宋体" w:eastAsia="宋体" w:cs="宋体"/>
                <w:color w:val="auto"/>
                <w:kern w:val="2"/>
                <w:sz w:val="21"/>
                <w:szCs w:val="21"/>
                <w:highlight w:val="none"/>
              </w:rPr>
              <w:t>或工程经济类</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高级</w:t>
            </w:r>
            <w:r>
              <w:rPr>
                <w:rFonts w:hint="eastAsia" w:ascii="宋体" w:hAnsi="宋体" w:eastAsia="宋体" w:cs="宋体"/>
                <w:color w:val="auto"/>
                <w:kern w:val="2"/>
                <w:sz w:val="21"/>
                <w:szCs w:val="21"/>
                <w:highlight w:val="none"/>
                <w:lang w:val="en-US" w:eastAsia="zh-CN"/>
              </w:rPr>
              <w:t>及以上</w:t>
            </w:r>
            <w:r>
              <w:rPr>
                <w:rFonts w:hint="eastAsia" w:ascii="宋体" w:hAnsi="宋体" w:eastAsia="宋体" w:cs="宋体"/>
                <w:color w:val="auto"/>
                <w:kern w:val="2"/>
                <w:sz w:val="21"/>
                <w:szCs w:val="21"/>
                <w:highlight w:val="none"/>
              </w:rPr>
              <w:t>职称</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val="en-US" w:eastAsia="zh-CN"/>
              </w:rPr>
              <w:t>得2分。</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提供上述人员相关职称证书。</w:t>
            </w:r>
          </w:p>
          <w:p w14:paraId="2A225A3F">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2.项目组成员（不含项目负责人）</w:t>
            </w:r>
            <w:r>
              <w:rPr>
                <w:rFonts w:hint="eastAsia" w:ascii="宋体" w:hAnsi="宋体" w:eastAsia="宋体" w:cs="宋体"/>
                <w:color w:val="auto"/>
                <w:kern w:val="2"/>
                <w:sz w:val="21"/>
                <w:szCs w:val="21"/>
                <w:highlight w:val="none"/>
              </w:rPr>
              <w:t>具有工程类（或工程经济类）高级</w:t>
            </w:r>
            <w:r>
              <w:rPr>
                <w:rFonts w:hint="eastAsia" w:ascii="宋体" w:hAnsi="宋体" w:eastAsia="宋体" w:cs="宋体"/>
                <w:color w:val="auto"/>
                <w:kern w:val="2"/>
                <w:sz w:val="21"/>
                <w:szCs w:val="21"/>
                <w:highlight w:val="none"/>
                <w:lang w:val="en-US" w:eastAsia="zh-CN"/>
              </w:rPr>
              <w:t>及以上</w:t>
            </w:r>
            <w:r>
              <w:rPr>
                <w:rFonts w:hint="eastAsia" w:ascii="宋体" w:hAnsi="宋体" w:eastAsia="宋体" w:cs="宋体"/>
                <w:color w:val="auto"/>
                <w:kern w:val="2"/>
                <w:sz w:val="21"/>
                <w:szCs w:val="21"/>
                <w:highlight w:val="none"/>
              </w:rPr>
              <w:t>职称的，每</w:t>
            </w:r>
            <w:r>
              <w:rPr>
                <w:rFonts w:hint="eastAsia" w:ascii="宋体" w:hAnsi="宋体" w:eastAsia="宋体" w:cs="宋体"/>
                <w:color w:val="auto"/>
                <w:kern w:val="2"/>
                <w:sz w:val="21"/>
                <w:szCs w:val="21"/>
                <w:highlight w:val="none"/>
                <w:lang w:val="en-US" w:eastAsia="zh-CN"/>
              </w:rPr>
              <w:t>提供</w:t>
            </w:r>
            <w:r>
              <w:rPr>
                <w:rFonts w:hint="eastAsia" w:ascii="宋体" w:hAnsi="宋体" w:eastAsia="宋体" w:cs="宋体"/>
                <w:color w:val="auto"/>
                <w:kern w:val="2"/>
                <w:sz w:val="21"/>
                <w:szCs w:val="21"/>
                <w:highlight w:val="none"/>
              </w:rPr>
              <w:t>1人加</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分，满分</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提供上述人员相关职称证书。</w:t>
            </w:r>
          </w:p>
        </w:tc>
      </w:tr>
    </w:tbl>
    <w:p w14:paraId="78AB877B">
      <w:pPr>
        <w:spacing w:line="44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cs="宋体"/>
          <w:b/>
          <w:bCs/>
          <w:color w:val="auto"/>
          <w:szCs w:val="21"/>
          <w:lang w:val="en-US" w:eastAsia="zh-CN"/>
        </w:rPr>
        <w:t>2</w:t>
      </w:r>
      <w:r>
        <w:rPr>
          <w:rFonts w:hint="eastAsia" w:ascii="宋体" w:hAnsi="宋体" w:eastAsia="宋体" w:cs="宋体"/>
          <w:b/>
          <w:bCs/>
          <w:color w:val="auto"/>
          <w:szCs w:val="21"/>
        </w:rPr>
        <w:t>商务标评审细则（</w:t>
      </w:r>
      <w:r>
        <w:rPr>
          <w:rFonts w:hint="eastAsia" w:ascii="宋体" w:hAnsi="宋体" w:cs="宋体"/>
          <w:b/>
          <w:bCs/>
          <w:color w:val="auto"/>
          <w:szCs w:val="21"/>
          <w:lang w:val="en-US" w:eastAsia="zh-CN"/>
        </w:rPr>
        <w:t>74</w:t>
      </w:r>
      <w:r>
        <w:rPr>
          <w:rFonts w:hint="eastAsia" w:ascii="宋体" w:hAnsi="宋体" w:eastAsia="宋体" w:cs="宋体"/>
          <w:b/>
          <w:bCs/>
          <w:color w:val="auto"/>
          <w:szCs w:val="21"/>
        </w:rPr>
        <w:t>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65"/>
        <w:gridCol w:w="6855"/>
      </w:tblGrid>
      <w:tr w14:paraId="335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59B5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5" w:type="dxa"/>
            <w:noWrap w:val="0"/>
            <w:vAlign w:val="center"/>
          </w:tcPr>
          <w:p w14:paraId="33FCA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5" w:type="dxa"/>
            <w:noWrap w:val="0"/>
            <w:vAlign w:val="center"/>
          </w:tcPr>
          <w:p w14:paraId="58A5C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r>
      <w:tr w14:paraId="27D7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noWrap w:val="0"/>
            <w:vAlign w:val="center"/>
          </w:tcPr>
          <w:p w14:paraId="06035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365" w:type="dxa"/>
            <w:noWrap w:val="0"/>
            <w:vAlign w:val="center"/>
          </w:tcPr>
          <w:p w14:paraId="47BA3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w:t>
            </w:r>
          </w:p>
          <w:p w14:paraId="0F865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855" w:type="dxa"/>
            <w:noWrap w:val="0"/>
            <w:vAlign w:val="center"/>
          </w:tcPr>
          <w:p w14:paraId="5E1BB44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1</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招标人设置投标报价最高限价，各投标人有效报价不得高于最高限价，否则，其投标文件按无效标处理；</w:t>
            </w:r>
          </w:p>
          <w:p w14:paraId="6C61363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2</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评标基准值为B</w:t>
            </w:r>
            <w:r>
              <w:rPr>
                <w:rFonts w:hint="eastAsia" w:cs="宋体"/>
                <w:b w:val="0"/>
                <w:bCs/>
                <w:color w:val="auto"/>
                <w:sz w:val="21"/>
                <w:szCs w:val="21"/>
                <w:highlight w:val="none"/>
                <w:lang w:eastAsia="zh-CN"/>
              </w:rPr>
              <w:t>，</w:t>
            </w:r>
            <w:r>
              <w:rPr>
                <w:rFonts w:hint="eastAsia" w:ascii="宋体" w:hAnsi="宋体" w:cs="宋体"/>
                <w:color w:val="auto"/>
                <w:szCs w:val="21"/>
                <w:highlight w:val="none"/>
              </w:rPr>
              <w:t>B为通过资信及商务评审，且资信得分大于等于所有有效投标人资信</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rPr>
              <w:t>算术平均值</w:t>
            </w:r>
            <w:r>
              <w:rPr>
                <w:rFonts w:hint="eastAsia" w:ascii="宋体" w:hAnsi="宋体" w:cs="宋体"/>
                <w:color w:val="auto"/>
                <w:szCs w:val="21"/>
                <w:highlight w:val="none"/>
                <w:lang w:val="en-US" w:eastAsia="zh-CN"/>
              </w:rPr>
              <w:t>的算术平均值</w:t>
            </w:r>
            <w:r>
              <w:rPr>
                <w:rFonts w:hint="eastAsia" w:ascii="宋体" w:hAnsi="宋体" w:cs="宋体"/>
                <w:color w:val="auto"/>
                <w:szCs w:val="21"/>
                <w:highlight w:val="none"/>
              </w:rPr>
              <w:t>。</w:t>
            </w:r>
          </w:p>
          <w:p w14:paraId="1F6F113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3</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各有效投标人的投标报价（</w:t>
            </w:r>
            <w:r>
              <w:rPr>
                <w:rFonts w:hint="eastAsia" w:cs="宋体"/>
                <w:b w:val="0"/>
                <w:bCs/>
                <w:color w:val="auto"/>
                <w:sz w:val="21"/>
                <w:szCs w:val="21"/>
                <w:highlight w:val="none"/>
                <w:lang w:val="en-US" w:eastAsia="zh-CN"/>
              </w:rPr>
              <w:t>两个项目</w:t>
            </w:r>
            <w:r>
              <w:rPr>
                <w:rFonts w:hint="eastAsia" w:ascii="Times New Roman" w:hAnsi="Times New Roman" w:eastAsia="宋体" w:cs="宋体"/>
                <w:b w:val="0"/>
                <w:bCs/>
                <w:color w:val="auto"/>
                <w:sz w:val="21"/>
                <w:szCs w:val="21"/>
                <w:highlight w:val="none"/>
              </w:rPr>
              <w:t>基本费用</w:t>
            </w:r>
            <w:r>
              <w:rPr>
                <w:rFonts w:hint="eastAsia" w:cs="宋体"/>
                <w:b w:val="0"/>
                <w:bCs/>
                <w:color w:val="auto"/>
                <w:sz w:val="21"/>
                <w:szCs w:val="21"/>
                <w:highlight w:val="none"/>
                <w:lang w:val="en-US" w:eastAsia="zh-CN"/>
              </w:rPr>
              <w:t>合计</w:t>
            </w:r>
            <w:r>
              <w:rPr>
                <w:rFonts w:hint="eastAsia" w:ascii="Times New Roman" w:hAnsi="Times New Roman" w:eastAsia="宋体" w:cs="宋体"/>
                <w:b w:val="0"/>
                <w:bCs/>
                <w:color w:val="auto"/>
                <w:sz w:val="21"/>
                <w:szCs w:val="21"/>
                <w:highlight w:val="none"/>
              </w:rPr>
              <w:t>）与评标基准值B相比，相同的得</w:t>
            </w:r>
            <w:r>
              <w:rPr>
                <w:rFonts w:hint="eastAsia" w:cs="宋体"/>
                <w:b w:val="0"/>
                <w:bCs/>
                <w:color w:val="auto"/>
                <w:sz w:val="21"/>
                <w:szCs w:val="21"/>
                <w:highlight w:val="none"/>
                <w:lang w:val="en-US" w:eastAsia="zh-CN"/>
              </w:rPr>
              <w:t>满分</w:t>
            </w:r>
            <w:r>
              <w:rPr>
                <w:rFonts w:hint="eastAsia" w:ascii="Times New Roman" w:hAnsi="Times New Roman" w:eastAsia="宋体" w:cs="宋体"/>
                <w:b w:val="0"/>
                <w:bCs/>
                <w:color w:val="auto"/>
                <w:sz w:val="21"/>
                <w:szCs w:val="21"/>
                <w:highlight w:val="none"/>
              </w:rPr>
              <w:t>，每增加1%扣</w:t>
            </w:r>
            <w:r>
              <w:rPr>
                <w:rFonts w:hint="eastAsia" w:cs="宋体"/>
                <w:b w:val="0"/>
                <w:bCs/>
                <w:color w:val="auto"/>
                <w:sz w:val="21"/>
                <w:szCs w:val="21"/>
                <w:highlight w:val="none"/>
                <w:lang w:val="en-US" w:eastAsia="zh-CN"/>
              </w:rPr>
              <w:t>0.5</w:t>
            </w:r>
            <w:r>
              <w:rPr>
                <w:rFonts w:hint="eastAsia" w:ascii="Times New Roman" w:hAnsi="Times New Roman" w:eastAsia="宋体" w:cs="宋体"/>
                <w:b w:val="0"/>
                <w:bCs/>
                <w:color w:val="auto"/>
                <w:sz w:val="21"/>
                <w:szCs w:val="21"/>
                <w:highlight w:val="none"/>
              </w:rPr>
              <w:t>分，每减少1%扣0.</w:t>
            </w:r>
            <w:r>
              <w:rPr>
                <w:rFonts w:hint="eastAsia" w:cs="宋体"/>
                <w:b w:val="0"/>
                <w:bCs/>
                <w:color w:val="auto"/>
                <w:sz w:val="21"/>
                <w:szCs w:val="21"/>
                <w:highlight w:val="none"/>
                <w:lang w:val="en-US" w:eastAsia="zh-CN"/>
              </w:rPr>
              <w:t>2</w:t>
            </w:r>
            <w:r>
              <w:rPr>
                <w:rFonts w:hint="eastAsia" w:ascii="Times New Roman" w:hAnsi="Times New Roman" w:eastAsia="宋体"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分；不足1%时按插入法计算，百分数取两位小数，小数点后第三位四舍五入。</w:t>
            </w:r>
          </w:p>
          <w:p w14:paraId="0E0FCA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4</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本项分值由招标代理机构负责组织计算，报评标委员会进行审核。</w:t>
            </w:r>
          </w:p>
        </w:tc>
      </w:tr>
      <w:tr w14:paraId="0F02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0" w:type="dxa"/>
            <w:gridSpan w:val="3"/>
            <w:noWrap w:val="0"/>
            <w:vAlign w:val="center"/>
          </w:tcPr>
          <w:p w14:paraId="425F3DF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cs="宋体"/>
                <w:b/>
                <w:color w:val="auto"/>
                <w:sz w:val="21"/>
                <w:szCs w:val="21"/>
                <w:highlight w:val="none"/>
                <w:lang w:val="en-US" w:eastAsia="zh-CN"/>
              </w:rPr>
            </w:pPr>
            <w:r>
              <w:rPr>
                <w:rFonts w:hint="eastAsia" w:ascii="宋体" w:cs="宋体"/>
                <w:b/>
                <w:color w:val="auto"/>
                <w:sz w:val="21"/>
                <w:szCs w:val="21"/>
                <w:highlight w:val="none"/>
                <w:lang w:val="en-US" w:eastAsia="zh-CN"/>
              </w:rPr>
              <w:t>注：</w:t>
            </w:r>
          </w:p>
          <w:p w14:paraId="30667C9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lang w:val="en-US" w:eastAsia="zh-CN"/>
              </w:rPr>
            </w:pPr>
            <w:r>
              <w:rPr>
                <w:rFonts w:hint="eastAsia" w:ascii="宋体" w:cs="宋体"/>
                <w:b/>
                <w:color w:val="auto"/>
                <w:sz w:val="21"/>
                <w:szCs w:val="21"/>
                <w:highlight w:val="none"/>
                <w:lang w:val="en-US" w:eastAsia="zh-CN"/>
              </w:rPr>
              <w:t>1.投标单位所报费率为</w:t>
            </w:r>
            <w:r>
              <w:rPr>
                <w:rFonts w:hint="eastAsia"/>
                <w:b/>
                <w:bCs/>
                <w:color w:val="auto"/>
                <w:sz w:val="21"/>
                <w:szCs w:val="21"/>
                <w:highlight w:val="none"/>
              </w:rPr>
              <w:t>0或负数的</w:t>
            </w:r>
            <w:r>
              <w:rPr>
                <w:rFonts w:hint="eastAsia"/>
                <w:b/>
                <w:bCs/>
                <w:color w:val="auto"/>
                <w:sz w:val="21"/>
                <w:szCs w:val="21"/>
                <w:highlight w:val="none"/>
                <w:lang w:eastAsia="zh-CN"/>
              </w:rPr>
              <w:t>，</w:t>
            </w:r>
            <w:r>
              <w:rPr>
                <w:rFonts w:hint="eastAsia"/>
                <w:b/>
                <w:bCs/>
                <w:color w:val="auto"/>
                <w:sz w:val="21"/>
                <w:szCs w:val="21"/>
                <w:highlight w:val="none"/>
                <w:lang w:val="en-US" w:eastAsia="zh-CN"/>
              </w:rPr>
              <w:t>其报价不参与评标基准值的计算，且商务标不得分。</w:t>
            </w:r>
          </w:p>
          <w:p w14:paraId="3A506A5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rPr>
            </w:pPr>
            <w:r>
              <w:rPr>
                <w:rFonts w:hint="eastAsia"/>
                <w:b/>
                <w:bCs/>
                <w:color w:val="auto"/>
                <w:sz w:val="21"/>
                <w:szCs w:val="21"/>
                <w:highlight w:val="none"/>
                <w:lang w:val="en-US" w:eastAsia="zh-CN"/>
              </w:rPr>
              <w:t>2.上述投标报价按玄武岩新型建材一期年产300万吨玄武岩建筑骨料和100万吨机制砂项目基本费用+磐谷高科凹凸棒初加工1号线延伸改造、2号3号线新建项目基本费用之和进行计算报价得分。</w:t>
            </w:r>
          </w:p>
        </w:tc>
      </w:tr>
      <w:bookmarkEnd w:id="59"/>
      <w:bookmarkEnd w:id="82"/>
    </w:tbl>
    <w:p w14:paraId="13A77AAD">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3" w:name="_Toc95223429"/>
      <w:r>
        <w:rPr>
          <w:rFonts w:hint="eastAsia" w:ascii="黑体" w:hAnsi="黑体" w:cs="黑体"/>
          <w:color w:val="auto"/>
          <w:sz w:val="21"/>
          <w:szCs w:val="21"/>
          <w:highlight w:val="none"/>
        </w:rPr>
        <w:t>1. 评标方法</w:t>
      </w:r>
    </w:p>
    <w:p w14:paraId="5CCFDD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应当不超过2名，并标明排序，但投标报价低于其成本的除外。如总得分相等，以投标报价低的优先，投标报价仍相等，由评标委员会主任委员或招标人随机抽取确定排名。</w:t>
      </w:r>
    </w:p>
    <w:bookmarkEnd w:id="83"/>
    <w:p w14:paraId="6B8AEBB0">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4" w:name="_Toc95223430"/>
      <w:r>
        <w:rPr>
          <w:rFonts w:hint="eastAsia" w:ascii="黑体" w:hAnsi="黑体" w:cs="黑体"/>
          <w:color w:val="auto"/>
          <w:sz w:val="21"/>
          <w:szCs w:val="21"/>
          <w:highlight w:val="none"/>
        </w:rPr>
        <w:t>2.评标委员会的职责</w:t>
      </w:r>
      <w:bookmarkEnd w:id="84"/>
    </w:p>
    <w:p w14:paraId="69941D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7893B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7F6B389">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85"/>
    </w:p>
    <w:p w14:paraId="1EA87D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评标先做准备工作，再进行资格、然后进行商务标评审。</w:t>
      </w:r>
    </w:p>
    <w:p w14:paraId="36890ABF">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6" w:name="_Toc95223432"/>
      <w:r>
        <w:rPr>
          <w:rFonts w:hint="eastAsia" w:ascii="黑体" w:hAnsi="黑体" w:cs="黑体"/>
          <w:color w:val="auto"/>
          <w:sz w:val="21"/>
          <w:szCs w:val="21"/>
          <w:highlight w:val="none"/>
        </w:rPr>
        <w:t>3.1评标准备工作</w:t>
      </w:r>
      <w:bookmarkEnd w:id="86"/>
    </w:p>
    <w:p w14:paraId="742AD8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4037D2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4E1DD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500945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44F520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66CA4AF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7" w:name="_Toc95223433"/>
      <w:r>
        <w:rPr>
          <w:rFonts w:hint="eastAsia" w:ascii="黑体" w:hAnsi="黑体" w:cs="黑体"/>
          <w:color w:val="auto"/>
          <w:sz w:val="21"/>
          <w:szCs w:val="21"/>
          <w:highlight w:val="none"/>
        </w:rPr>
        <w:t>3.2</w:t>
      </w:r>
      <w:bookmarkEnd w:id="87"/>
      <w:bookmarkStart w:id="88" w:name="_Toc95223434"/>
      <w:r>
        <w:rPr>
          <w:rFonts w:hint="eastAsia" w:ascii="黑体" w:hAnsi="黑体" w:cs="黑体"/>
          <w:color w:val="auto"/>
          <w:sz w:val="21"/>
          <w:szCs w:val="21"/>
          <w:highlight w:val="none"/>
        </w:rPr>
        <w:t>商务标评审</w:t>
      </w:r>
      <w:bookmarkEnd w:id="88"/>
    </w:p>
    <w:p w14:paraId="43D945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47645AF6">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p>
    <w:p w14:paraId="25AED3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资信评审</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商务标评审后，推荐中标候选人，并标明排序。</w:t>
      </w:r>
    </w:p>
    <w:p w14:paraId="4447AD8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9" w:name="_Toc95223435"/>
      <w:r>
        <w:rPr>
          <w:rFonts w:hint="eastAsia" w:ascii="黑体" w:hAnsi="黑体" w:cs="黑体"/>
          <w:color w:val="auto"/>
          <w:sz w:val="21"/>
          <w:szCs w:val="21"/>
          <w:highlight w:val="none"/>
        </w:rPr>
        <w:t>4.评审内容</w:t>
      </w:r>
      <w:bookmarkEnd w:id="89"/>
    </w:p>
    <w:p w14:paraId="62C75555">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0" w:name="_Toc95223436"/>
      <w:r>
        <w:rPr>
          <w:rFonts w:hint="eastAsia" w:ascii="黑体" w:hAnsi="黑体" w:cs="黑体"/>
          <w:color w:val="auto"/>
          <w:sz w:val="21"/>
          <w:szCs w:val="21"/>
          <w:highlight w:val="none"/>
        </w:rPr>
        <w:t>4.1</w:t>
      </w:r>
      <w:bookmarkEnd w:id="90"/>
      <w:bookmarkStart w:id="91" w:name="_Toc95223437"/>
      <w:r>
        <w:rPr>
          <w:rFonts w:hint="eastAsia" w:ascii="黑体" w:hAnsi="黑体" w:cs="黑体"/>
          <w:color w:val="auto"/>
          <w:sz w:val="21"/>
          <w:szCs w:val="21"/>
          <w:highlight w:val="none"/>
        </w:rPr>
        <w:t>商务标评审</w:t>
      </w:r>
      <w:bookmarkEnd w:id="91"/>
    </w:p>
    <w:p w14:paraId="6A1EBC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只有通过资信评审的投标才能够进入本阶段评审。</w:t>
      </w:r>
    </w:p>
    <w:p w14:paraId="0F4755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22F77E99">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2" w:name="_Toc95223438"/>
      <w:r>
        <w:rPr>
          <w:rFonts w:hint="eastAsia" w:ascii="黑体" w:hAnsi="黑体" w:cs="黑体"/>
          <w:color w:val="auto"/>
          <w:sz w:val="21"/>
          <w:szCs w:val="21"/>
          <w:highlight w:val="none"/>
        </w:rPr>
        <w:t>5.无效投标条款</w:t>
      </w:r>
      <w:bookmarkEnd w:id="92"/>
    </w:p>
    <w:p w14:paraId="59BC47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58A43F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未在投标截止时间前递交有效</w:t>
      </w:r>
      <w:r>
        <w:rPr>
          <w:rFonts w:hint="eastAsia" w:ascii="宋体" w:hAnsi="宋体" w:cs="宋体"/>
          <w:color w:val="auto"/>
          <w:szCs w:val="21"/>
          <w:highlight w:val="none"/>
          <w:lang w:val="en-US" w:eastAsia="zh-CN"/>
        </w:rPr>
        <w:t>电子</w:t>
      </w:r>
      <w:r>
        <w:rPr>
          <w:rFonts w:hint="eastAsia" w:ascii="宋体" w:hAnsi="宋体" w:cs="宋体"/>
          <w:color w:val="auto"/>
          <w:szCs w:val="21"/>
          <w:highlight w:val="none"/>
        </w:rPr>
        <w:t>投标文件的，投标将被拒绝；</w:t>
      </w:r>
    </w:p>
    <w:p w14:paraId="1CF982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256312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（1）投标人有串通投标、视为串通投标、弄虚作假、行贿等违法行为。</w:t>
      </w:r>
    </w:p>
    <w:p w14:paraId="3C34D2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（2）投标文件没有对招标文件的实质性要求和条件作出响应。</w:t>
      </w:r>
    </w:p>
    <w:p w14:paraId="31D8D1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（3）实质性内容不全或关键字迹模糊、无法辨认的，经评委会一致认定的。</w:t>
      </w:r>
    </w:p>
    <w:p w14:paraId="6A402B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（4）未按规定的格式填写，经评委会一致认定的。</w:t>
      </w:r>
    </w:p>
    <w:p w14:paraId="656E7E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（5）同一投标人提交两个以上不同的投标文件或者投标报价，但招标文件规定提交备选投标的除外。</w:t>
      </w:r>
    </w:p>
    <w:p w14:paraId="4BF035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（6）投标文件中存在招标人不能接受的其他实质性条件。</w:t>
      </w:r>
    </w:p>
    <w:p w14:paraId="0B7603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（7）投标文件中填报的拟任项目负责人与资格审查通过的项目负责人前后不一致的。</w:t>
      </w:r>
    </w:p>
    <w:p w14:paraId="7DABB8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14:paraId="51CA36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（9）投标人单方面出现其他投标人材料。</w:t>
      </w:r>
    </w:p>
    <w:p w14:paraId="1842EB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（10）法律、法规规定的其他情形。</w:t>
      </w:r>
    </w:p>
    <w:p w14:paraId="5CA1319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3" w:name="_Toc95223439"/>
      <w:r>
        <w:rPr>
          <w:rFonts w:hint="eastAsia" w:ascii="黑体" w:hAnsi="黑体" w:cs="黑体"/>
          <w:color w:val="auto"/>
          <w:sz w:val="21"/>
          <w:szCs w:val="21"/>
          <w:highlight w:val="none"/>
        </w:rPr>
        <w:t>6.投标文件的澄清和补正</w:t>
      </w:r>
      <w:bookmarkEnd w:id="93"/>
    </w:p>
    <w:p w14:paraId="45E451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6ABED18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3BA77E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1A6A7C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9E11E06">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4" w:name="_Toc95223440"/>
      <w:r>
        <w:rPr>
          <w:rFonts w:hint="eastAsia" w:ascii="黑体" w:hAnsi="黑体" w:cs="黑体"/>
          <w:color w:val="auto"/>
          <w:sz w:val="21"/>
          <w:szCs w:val="21"/>
          <w:highlight w:val="none"/>
        </w:rPr>
        <w:t>7.评分标准</w:t>
      </w:r>
      <w:bookmarkEnd w:id="94"/>
    </w:p>
    <w:p w14:paraId="50EF0B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7.1评分标准：见资信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商务评分表。</w:t>
      </w:r>
    </w:p>
    <w:p w14:paraId="3E1AE203">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5" w:name="_Toc95223441"/>
      <w:r>
        <w:rPr>
          <w:rFonts w:hint="eastAsia" w:ascii="黑体" w:hAnsi="黑体" w:cs="黑体"/>
          <w:color w:val="auto"/>
          <w:sz w:val="21"/>
          <w:szCs w:val="21"/>
          <w:highlight w:val="none"/>
        </w:rPr>
        <w:t>8.评审结果</w:t>
      </w:r>
      <w:bookmarkEnd w:id="95"/>
    </w:p>
    <w:p w14:paraId="68713B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8.1除“投标人须知”及其前附表授权直接确定中标人外，评标委员会按照总得分由高到低顺序推荐中标候选人。</w:t>
      </w:r>
    </w:p>
    <w:p w14:paraId="1AFC23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3449DD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428C78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114B77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14:paraId="175D12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4C8B1C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05949B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B0044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7AE039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444C06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75DDCF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63C80B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3C0056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19F037C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6" w:name="_Toc95223442"/>
      <w:r>
        <w:rPr>
          <w:rFonts w:hint="eastAsia" w:ascii="黑体" w:hAnsi="黑体" w:cs="黑体"/>
          <w:color w:val="auto"/>
          <w:sz w:val="21"/>
          <w:szCs w:val="21"/>
          <w:highlight w:val="none"/>
        </w:rPr>
        <w:t>9.其他</w:t>
      </w:r>
      <w:bookmarkEnd w:id="96"/>
    </w:p>
    <w:p w14:paraId="64BE1F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32C32145">
      <w:pPr>
        <w:rPr>
          <w:rFonts w:hint="eastAsia" w:ascii="宋体" w:hAnsi="宋体" w:eastAsia="宋体" w:cs="宋体"/>
          <w:color w:val="auto"/>
          <w:kern w:val="2"/>
          <w:sz w:val="28"/>
          <w:szCs w:val="28"/>
          <w:highlight w:val="none"/>
          <w:lang w:val="en-US" w:eastAsia="zh-CN"/>
        </w:rPr>
      </w:pPr>
      <w:bookmarkStart w:id="97" w:name="_Toc58430328"/>
      <w:r>
        <w:rPr>
          <w:rFonts w:hint="eastAsia" w:ascii="宋体" w:hAnsi="宋体" w:eastAsia="宋体" w:cs="宋体"/>
          <w:color w:val="auto"/>
          <w:kern w:val="2"/>
          <w:sz w:val="28"/>
          <w:szCs w:val="28"/>
          <w:highlight w:val="none"/>
          <w:lang w:val="en-US" w:eastAsia="zh-CN"/>
        </w:rPr>
        <w:br w:type="page"/>
      </w:r>
    </w:p>
    <w:p w14:paraId="45DF5F82">
      <w:pPr>
        <w:pStyle w:val="2"/>
        <w:pageBreakBefore w:val="0"/>
        <w:kinsoku/>
        <w:wordWrap/>
        <w:overflowPunct/>
        <w:topLinePunct w:val="0"/>
        <w:autoSpaceDE/>
        <w:autoSpaceDN/>
        <w:bidi w:val="0"/>
        <w:spacing w:before="0" w:after="0" w:line="560" w:lineRule="exact"/>
        <w:textAlignment w:val="auto"/>
        <w:outlineLvl w:val="0"/>
        <w:rPr>
          <w:rFonts w:hint="eastAsia" w:ascii="宋体" w:hAnsi="宋体" w:eastAsia="宋体" w:cs="宋体"/>
          <w:color w:val="auto"/>
          <w:kern w:val="2"/>
          <w:sz w:val="28"/>
          <w:szCs w:val="28"/>
          <w:highlight w:val="none"/>
        </w:rPr>
      </w:pPr>
      <w:bookmarkStart w:id="98" w:name="_Toc13446"/>
      <w:r>
        <w:rPr>
          <w:rFonts w:hint="eastAsia" w:ascii="宋体" w:hAnsi="宋体" w:eastAsia="宋体" w:cs="宋体"/>
          <w:color w:val="auto"/>
          <w:kern w:val="2"/>
          <w:sz w:val="28"/>
          <w:szCs w:val="28"/>
          <w:highlight w:val="none"/>
          <w:lang w:val="en-US" w:eastAsia="zh-CN"/>
        </w:rPr>
        <w:t>第四章</w:t>
      </w:r>
      <w:r>
        <w:rPr>
          <w:rFonts w:hint="eastAsia" w:ascii="宋体" w:hAnsi="宋体" w:eastAsia="宋体" w:cs="宋体"/>
          <w:color w:val="auto"/>
          <w:kern w:val="2"/>
          <w:sz w:val="28"/>
          <w:szCs w:val="28"/>
          <w:highlight w:val="none"/>
        </w:rPr>
        <w:t xml:space="preserve">  采购需求及服务要求</w:t>
      </w:r>
      <w:bookmarkEnd w:id="60"/>
      <w:bookmarkEnd w:id="97"/>
      <w:bookmarkEnd w:id="98"/>
    </w:p>
    <w:p w14:paraId="4EF4EA19">
      <w:pPr>
        <w:keepNext w:val="0"/>
        <w:keepLines w:val="0"/>
        <w:pageBreakBefore w:val="0"/>
        <w:widowControl/>
        <w:kinsoku/>
        <w:wordWrap/>
        <w:overflowPunct/>
        <w:topLinePunct w:val="0"/>
        <w:bidi w:val="0"/>
        <w:snapToGrid/>
        <w:spacing w:line="500" w:lineRule="exact"/>
        <w:ind w:firstLine="420" w:firstLineChars="200"/>
        <w:textAlignment w:val="auto"/>
        <w:rPr>
          <w:rFonts w:hint="default" w:ascii="宋体" w:hAnsi="宋体" w:cs="宋体"/>
          <w:color w:val="auto"/>
          <w:kern w:val="0"/>
          <w:highlight w:val="none"/>
          <w:lang w:val="en-US"/>
        </w:rPr>
      </w:pPr>
      <w:bookmarkStart w:id="99" w:name="_Toc25362"/>
      <w:bookmarkStart w:id="100" w:name="_Toc14427"/>
      <w:r>
        <w:rPr>
          <w:rFonts w:hint="eastAsia" w:ascii="宋体" w:hAnsi="宋体" w:cs="宋体"/>
          <w:color w:val="auto"/>
          <w:kern w:val="0"/>
          <w:highlight w:val="none"/>
          <w:lang w:val="en-US" w:eastAsia="zh-CN"/>
        </w:rPr>
        <w:t>一、对玄武岩新型建材一期年产300万吨玄武岩建筑骨料和100万吨机制砂项目、磐谷高科凹凸棒初加工1号线延伸改造、2号3号线新建项目分别出具复审报告。</w:t>
      </w:r>
    </w:p>
    <w:p w14:paraId="0922084C">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lang w:val="en-US" w:eastAsia="zh-CN"/>
        </w:rPr>
        <w:t>二、</w:t>
      </w:r>
      <w:r>
        <w:rPr>
          <w:rFonts w:hint="eastAsia" w:ascii="宋体" w:hAnsi="宋体" w:cs="宋体"/>
          <w:color w:val="auto"/>
          <w:kern w:val="0"/>
          <w:highlight w:val="none"/>
        </w:rPr>
        <w:t>对跟踪审计单位的审计成果进行复审，主要包括但不限于以下内容：</w:t>
      </w:r>
    </w:p>
    <w:p w14:paraId="3E702D77">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1.资料完整性审查，按照工程结算审计要求审查资料的完整性；</w:t>
      </w:r>
    </w:p>
    <w:p w14:paraId="03803496">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2.项目工程量计算、计价方式、对定额套用、工程类别、取费标准等合理性进行核查；</w:t>
      </w:r>
    </w:p>
    <w:p w14:paraId="302885A0">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3.工程变更、签证、索赔等手续合法、合规、合理性审查</w:t>
      </w:r>
      <w:r>
        <w:rPr>
          <w:rFonts w:hint="eastAsia" w:ascii="宋体" w:hAnsi="宋体" w:eastAsia="宋体" w:cs="宋体"/>
          <w:color w:val="auto"/>
          <w:kern w:val="0"/>
          <w:highlight w:val="none"/>
          <w:lang w:val="en-US" w:eastAsia="zh-CN"/>
        </w:rPr>
        <w:t>。</w:t>
      </w:r>
    </w:p>
    <w:p w14:paraId="2E564231">
      <w:pPr>
        <w:pStyle w:val="44"/>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4.其他法律、法规规定复审应完成的内容及招标人要求的内容</w:t>
      </w:r>
      <w:r>
        <w:rPr>
          <w:rFonts w:hint="eastAsia" w:ascii="宋体" w:hAnsi="宋体" w:cs="宋体"/>
          <w:color w:val="auto"/>
          <w:kern w:val="0"/>
          <w:highlight w:val="none"/>
          <w:lang w:val="en-US" w:eastAsia="zh-CN"/>
        </w:rPr>
        <w:t>。</w:t>
      </w:r>
    </w:p>
    <w:p w14:paraId="211CF33C">
      <w:pPr>
        <w:pStyle w:val="2"/>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14:paraId="34D0C535">
      <w:pPr>
        <w:pStyle w:val="2"/>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14:paraId="30FEF101">
      <w:pPr>
        <w:rPr>
          <w:rFonts w:hint="eastAsia" w:ascii="宋体" w:hAnsi="宋体" w:eastAsia="宋体" w:cs="宋体"/>
          <w:color w:val="auto"/>
          <w:kern w:val="2"/>
          <w:sz w:val="28"/>
          <w:szCs w:val="28"/>
          <w:highlight w:val="none"/>
        </w:rPr>
      </w:pPr>
    </w:p>
    <w:p w14:paraId="7203EB80">
      <w:pPr>
        <w:pStyle w:val="44"/>
        <w:rPr>
          <w:rFonts w:hint="eastAsia" w:ascii="宋体" w:hAnsi="宋体" w:eastAsia="宋体" w:cs="宋体"/>
          <w:color w:val="auto"/>
          <w:kern w:val="2"/>
          <w:sz w:val="28"/>
          <w:szCs w:val="28"/>
          <w:highlight w:val="none"/>
        </w:rPr>
      </w:pPr>
    </w:p>
    <w:p w14:paraId="249B0070">
      <w:pPr>
        <w:rPr>
          <w:rFonts w:hint="eastAsia" w:ascii="宋体" w:hAnsi="宋体" w:eastAsia="宋体" w:cs="宋体"/>
          <w:color w:val="auto"/>
          <w:kern w:val="2"/>
          <w:sz w:val="28"/>
          <w:szCs w:val="28"/>
          <w:highlight w:val="none"/>
        </w:rPr>
      </w:pPr>
    </w:p>
    <w:p w14:paraId="5CB68702">
      <w:pPr>
        <w:pStyle w:val="44"/>
        <w:rPr>
          <w:rFonts w:hint="eastAsia" w:ascii="宋体" w:hAnsi="宋体" w:eastAsia="宋体" w:cs="宋体"/>
          <w:color w:val="auto"/>
          <w:kern w:val="2"/>
          <w:sz w:val="28"/>
          <w:szCs w:val="28"/>
          <w:highlight w:val="none"/>
        </w:rPr>
      </w:pPr>
    </w:p>
    <w:p w14:paraId="31340503">
      <w:pPr>
        <w:rPr>
          <w:rFonts w:hint="eastAsia" w:ascii="宋体" w:hAnsi="宋体" w:eastAsia="宋体" w:cs="宋体"/>
          <w:color w:val="auto"/>
          <w:kern w:val="2"/>
          <w:sz w:val="28"/>
          <w:szCs w:val="28"/>
          <w:highlight w:val="none"/>
        </w:rPr>
      </w:pPr>
    </w:p>
    <w:p w14:paraId="1E3B2643">
      <w:pPr>
        <w:pStyle w:val="44"/>
        <w:rPr>
          <w:rFonts w:hint="eastAsia" w:ascii="宋体" w:hAnsi="宋体" w:eastAsia="宋体" w:cs="宋体"/>
          <w:color w:val="auto"/>
          <w:kern w:val="2"/>
          <w:sz w:val="28"/>
          <w:szCs w:val="28"/>
          <w:highlight w:val="none"/>
        </w:rPr>
      </w:pPr>
    </w:p>
    <w:p w14:paraId="60431B2B">
      <w:pPr>
        <w:rPr>
          <w:rFonts w:hint="eastAsia" w:ascii="宋体" w:hAnsi="宋体" w:eastAsia="宋体" w:cs="宋体"/>
          <w:color w:val="auto"/>
          <w:kern w:val="2"/>
          <w:sz w:val="28"/>
          <w:szCs w:val="28"/>
          <w:highlight w:val="none"/>
        </w:rPr>
      </w:pPr>
    </w:p>
    <w:p w14:paraId="671EF37E">
      <w:pPr>
        <w:pStyle w:val="44"/>
        <w:rPr>
          <w:rFonts w:hint="eastAsia" w:ascii="宋体" w:hAnsi="宋体" w:eastAsia="宋体" w:cs="宋体"/>
          <w:color w:val="auto"/>
          <w:kern w:val="2"/>
          <w:sz w:val="28"/>
          <w:szCs w:val="28"/>
          <w:highlight w:val="none"/>
        </w:rPr>
      </w:pPr>
    </w:p>
    <w:p w14:paraId="1F41CAAC">
      <w:pPr>
        <w:rPr>
          <w:rFonts w:hint="eastAsia" w:ascii="宋体" w:hAnsi="宋体" w:eastAsia="宋体" w:cs="宋体"/>
          <w:color w:val="auto"/>
          <w:kern w:val="2"/>
          <w:sz w:val="28"/>
          <w:szCs w:val="28"/>
          <w:highlight w:val="none"/>
        </w:rPr>
      </w:pPr>
    </w:p>
    <w:p w14:paraId="7B6C3D2D">
      <w:pPr>
        <w:pStyle w:val="44"/>
        <w:rPr>
          <w:rFonts w:hint="eastAsia" w:ascii="宋体" w:hAnsi="宋体" w:eastAsia="宋体" w:cs="宋体"/>
          <w:color w:val="auto"/>
          <w:kern w:val="2"/>
          <w:sz w:val="28"/>
          <w:szCs w:val="28"/>
          <w:highlight w:val="none"/>
        </w:rPr>
      </w:pPr>
    </w:p>
    <w:p w14:paraId="2683425C">
      <w:pPr>
        <w:rPr>
          <w:rFonts w:hint="eastAsia" w:ascii="宋体" w:hAnsi="宋体" w:eastAsia="宋体" w:cs="宋体"/>
          <w:color w:val="auto"/>
          <w:kern w:val="2"/>
          <w:sz w:val="28"/>
          <w:szCs w:val="28"/>
          <w:highlight w:val="none"/>
        </w:rPr>
      </w:pPr>
    </w:p>
    <w:p w14:paraId="3ED67302">
      <w:pPr>
        <w:pStyle w:val="44"/>
        <w:rPr>
          <w:rFonts w:hint="eastAsia" w:ascii="宋体" w:hAnsi="宋体" w:eastAsia="宋体" w:cs="宋体"/>
          <w:color w:val="auto"/>
          <w:kern w:val="2"/>
          <w:sz w:val="28"/>
          <w:szCs w:val="28"/>
          <w:highlight w:val="none"/>
        </w:rPr>
      </w:pPr>
    </w:p>
    <w:p w14:paraId="1B64A48E">
      <w:pPr>
        <w:rPr>
          <w:rFonts w:hint="eastAsia" w:ascii="宋体" w:hAnsi="宋体" w:eastAsia="宋体" w:cs="宋体"/>
          <w:color w:val="auto"/>
          <w:kern w:val="2"/>
          <w:sz w:val="28"/>
          <w:szCs w:val="28"/>
          <w:highlight w:val="none"/>
        </w:rPr>
      </w:pPr>
    </w:p>
    <w:p w14:paraId="5765C76D">
      <w:pPr>
        <w:pStyle w:val="44"/>
        <w:rPr>
          <w:rFonts w:hint="eastAsia" w:ascii="宋体" w:hAnsi="宋体" w:eastAsia="宋体" w:cs="宋体"/>
          <w:color w:val="auto"/>
          <w:kern w:val="2"/>
          <w:sz w:val="28"/>
          <w:szCs w:val="28"/>
          <w:highlight w:val="none"/>
        </w:rPr>
      </w:pPr>
    </w:p>
    <w:p w14:paraId="1E45805C">
      <w:pPr>
        <w:rPr>
          <w:rFonts w:hint="eastAsia" w:ascii="宋体" w:hAnsi="宋体" w:eastAsia="宋体" w:cs="宋体"/>
          <w:color w:val="auto"/>
          <w:kern w:val="2"/>
          <w:sz w:val="28"/>
          <w:szCs w:val="28"/>
          <w:highlight w:val="none"/>
        </w:rPr>
      </w:pPr>
    </w:p>
    <w:p w14:paraId="2C3A2BEC">
      <w:pPr>
        <w:pStyle w:val="44"/>
        <w:rPr>
          <w:rFonts w:hint="eastAsia" w:ascii="宋体" w:hAnsi="宋体" w:eastAsia="宋体" w:cs="宋体"/>
          <w:color w:val="auto"/>
          <w:kern w:val="2"/>
          <w:sz w:val="28"/>
          <w:szCs w:val="28"/>
          <w:highlight w:val="none"/>
        </w:rPr>
      </w:pPr>
    </w:p>
    <w:p w14:paraId="5C91AF05">
      <w:pPr>
        <w:rPr>
          <w:rFonts w:hint="eastAsia"/>
        </w:rPr>
      </w:pPr>
    </w:p>
    <w:p w14:paraId="53F60E1B">
      <w:pPr>
        <w:pStyle w:val="2"/>
        <w:pageBreakBefore w:val="0"/>
        <w:kinsoku/>
        <w:wordWrap/>
        <w:overflowPunct/>
        <w:topLinePunct w:val="0"/>
        <w:autoSpaceDE/>
        <w:autoSpaceDN/>
        <w:bidi w:val="0"/>
        <w:spacing w:before="0" w:after="0" w:line="560" w:lineRule="exact"/>
        <w:textAlignment w:val="auto"/>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五</w:t>
      </w:r>
      <w:r>
        <w:rPr>
          <w:rFonts w:hint="eastAsia" w:ascii="宋体" w:hAnsi="宋体" w:eastAsia="宋体" w:cs="宋体"/>
          <w:color w:val="auto"/>
          <w:kern w:val="2"/>
          <w:sz w:val="28"/>
          <w:szCs w:val="28"/>
          <w:highlight w:val="none"/>
        </w:rPr>
        <w:t>章  合同条款</w:t>
      </w:r>
      <w:bookmarkEnd w:id="53"/>
      <w:bookmarkEnd w:id="54"/>
      <w:bookmarkEnd w:id="55"/>
      <w:bookmarkEnd w:id="99"/>
      <w:bookmarkEnd w:id="100"/>
    </w:p>
    <w:p w14:paraId="3B489122">
      <w:pPr>
        <w:spacing w:before="304" w:beforeLines="100" w:after="304" w:afterLines="100" w:line="400" w:lineRule="exact"/>
        <w:jc w:val="center"/>
        <w:outlineLvl w:val="1"/>
        <w:rPr>
          <w:rFonts w:hint="eastAsia" w:ascii="汉仪大黑简" w:hAnsi="汉仪大黑简" w:eastAsia="汉仪大黑简" w:cs="汉仪大黑简"/>
          <w:b w:val="0"/>
          <w:color w:val="auto"/>
          <w:sz w:val="28"/>
          <w:szCs w:val="28"/>
          <w:highlight w:val="none"/>
        </w:rPr>
      </w:pPr>
      <w:bookmarkStart w:id="101" w:name="_Toc2057459953_WPSOffice_Level2"/>
      <w:bookmarkStart w:id="102" w:name="_Toc229131940_WPSOffice_Level2"/>
      <w:bookmarkStart w:id="103" w:name="_Toc1828535363_WPSOffice_Level2"/>
      <w:bookmarkStart w:id="104" w:name="_Toc1066543778_WPSOffice_Level2"/>
      <w:bookmarkStart w:id="105" w:name="_Toc1578578393_WPSOffice_Level2"/>
      <w:bookmarkStart w:id="106" w:name="_Toc21427"/>
      <w:bookmarkStart w:id="107" w:name="_Toc1270188953_WPSOffice_Level2"/>
      <w:bookmarkStart w:id="108" w:name="_Toc1318110684_WPSOffice_Level2"/>
      <w:r>
        <w:rPr>
          <w:rFonts w:hint="eastAsia" w:ascii="汉仪大黑简" w:hAnsi="汉仪大黑简" w:eastAsia="汉仪大黑简" w:cs="汉仪大黑简"/>
          <w:b w:val="0"/>
          <w:color w:val="auto"/>
          <w:sz w:val="28"/>
          <w:szCs w:val="28"/>
          <w:highlight w:val="none"/>
        </w:rPr>
        <w:t>安徽省建设工程造价咨询合同</w:t>
      </w:r>
      <w:bookmarkEnd w:id="101"/>
      <w:bookmarkEnd w:id="102"/>
      <w:bookmarkEnd w:id="103"/>
      <w:bookmarkEnd w:id="104"/>
      <w:bookmarkEnd w:id="105"/>
      <w:r>
        <w:rPr>
          <w:rFonts w:hint="eastAsia" w:ascii="汉仪大黑简" w:hAnsi="汉仪大黑简" w:eastAsia="汉仪大黑简" w:cs="汉仪大黑简"/>
          <w:b w:val="0"/>
          <w:color w:val="auto"/>
          <w:sz w:val="28"/>
          <w:szCs w:val="28"/>
          <w:highlight w:val="none"/>
        </w:rPr>
        <w:t>（ＷＦ－2014－05）</w:t>
      </w:r>
      <w:bookmarkEnd w:id="106"/>
      <w:bookmarkEnd w:id="107"/>
      <w:bookmarkEnd w:id="108"/>
    </w:p>
    <w:p w14:paraId="23197618">
      <w:pPr>
        <w:numPr>
          <w:ilvl w:val="0"/>
          <w:numId w:val="0"/>
        </w:numPr>
        <w:jc w:val="both"/>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w:t>
      </w:r>
      <w:r>
        <w:rPr>
          <w:rFonts w:hint="eastAsia" w:ascii="Times New Roman" w:hAnsi="Times New Roman" w:eastAsia="仿宋_GB2312"/>
          <w:color w:val="auto"/>
          <w:sz w:val="32"/>
          <w:szCs w:val="32"/>
          <w:highlight w:val="none"/>
        </w:rPr>
        <w:t>ＷＦ－</w:t>
      </w:r>
      <w:r>
        <w:rPr>
          <w:rFonts w:ascii="Times New Roman" w:hAnsi="Times New Roman" w:eastAsia="仿宋_GB2312"/>
          <w:color w:val="auto"/>
          <w:sz w:val="32"/>
          <w:szCs w:val="32"/>
          <w:highlight w:val="none"/>
        </w:rPr>
        <w:t>2014</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05</w:t>
      </w:r>
      <w:r>
        <w:rPr>
          <w:rFonts w:hint="eastAsia" w:ascii="Times New Roman" w:hAnsi="Times New Roman" w:eastAsia="仿宋_GB2312"/>
          <w:bCs/>
          <w:color w:val="auto"/>
          <w:sz w:val="32"/>
          <w:szCs w:val="32"/>
          <w:highlight w:val="none"/>
        </w:rPr>
        <w:t>）</w:t>
      </w:r>
    </w:p>
    <w:p w14:paraId="04350994">
      <w:pPr>
        <w:pStyle w:val="44"/>
        <w:rPr>
          <w:rFonts w:hint="eastAsia"/>
          <w:color w:val="auto"/>
          <w:highlight w:val="none"/>
        </w:rPr>
      </w:pPr>
    </w:p>
    <w:p w14:paraId="40096FAA">
      <w:pPr>
        <w:pStyle w:val="33"/>
        <w:rPr>
          <w:rFonts w:hint="eastAsia"/>
          <w:color w:val="auto"/>
          <w:highlight w:val="none"/>
        </w:rPr>
      </w:pPr>
    </w:p>
    <w:p w14:paraId="0A9D945B">
      <w:pPr>
        <w:spacing w:line="360" w:lineRule="auto"/>
        <w:jc w:val="center"/>
        <w:rPr>
          <w:rFonts w:ascii="Times New Roman" w:hAnsi="Times New Roman" w:eastAsia="华文中宋"/>
          <w:b/>
          <w:color w:val="auto"/>
          <w:w w:val="90"/>
          <w:sz w:val="52"/>
          <w:szCs w:val="52"/>
          <w:highlight w:val="none"/>
        </w:rPr>
      </w:pPr>
      <w:r>
        <w:rPr>
          <w:rFonts w:hint="eastAsia" w:ascii="Times New Roman" w:hAnsi="Times New Roman" w:eastAsia="华文中宋"/>
          <w:b/>
          <w:color w:val="auto"/>
          <w:w w:val="90"/>
          <w:sz w:val="52"/>
          <w:szCs w:val="52"/>
          <w:highlight w:val="none"/>
        </w:rPr>
        <w:t>安徽省建设工程造价咨询合同</w:t>
      </w:r>
    </w:p>
    <w:p w14:paraId="154B8BA9">
      <w:pPr>
        <w:spacing w:line="360" w:lineRule="auto"/>
        <w:jc w:val="center"/>
        <w:rPr>
          <w:rFonts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（示范文本）</w:t>
      </w:r>
    </w:p>
    <w:p w14:paraId="355B2318">
      <w:pPr>
        <w:jc w:val="center"/>
        <w:rPr>
          <w:rFonts w:hint="eastAsia" w:ascii="Times New Roman" w:hAnsi="Times New Roman" w:eastAsia="华文中宋"/>
          <w:b/>
          <w:color w:val="auto"/>
          <w:sz w:val="52"/>
          <w:szCs w:val="52"/>
          <w:highlight w:val="none"/>
        </w:rPr>
      </w:pPr>
    </w:p>
    <w:p w14:paraId="6902C132">
      <w:pPr>
        <w:jc w:val="center"/>
        <w:rPr>
          <w:rFonts w:ascii="Times New Roman" w:hAnsi="Times New Roman" w:eastAsia="楷体_GB2312"/>
          <w:b/>
          <w:color w:val="auto"/>
          <w:sz w:val="72"/>
          <w:szCs w:val="72"/>
          <w:highlight w:val="none"/>
        </w:rPr>
      </w:pPr>
    </w:p>
    <w:p w14:paraId="17255557">
      <w:pPr>
        <w:spacing w:line="240" w:lineRule="exact"/>
        <w:jc w:val="center"/>
        <w:rPr>
          <w:rFonts w:ascii="Times New Roman" w:hAnsi="Times New Roman" w:eastAsia="楷体_GB2312"/>
          <w:b/>
          <w:color w:val="auto"/>
          <w:sz w:val="72"/>
          <w:szCs w:val="72"/>
          <w:highlight w:val="none"/>
        </w:rPr>
      </w:pPr>
    </w:p>
    <w:p w14:paraId="26F63B88">
      <w:pPr>
        <w:spacing w:line="240" w:lineRule="exact"/>
        <w:jc w:val="center"/>
        <w:rPr>
          <w:rFonts w:ascii="Times New Roman" w:hAnsi="Times New Roman" w:eastAsia="楷体_GB2312"/>
          <w:b/>
          <w:color w:val="auto"/>
          <w:sz w:val="72"/>
          <w:szCs w:val="72"/>
          <w:highlight w:val="none"/>
        </w:rPr>
      </w:pPr>
    </w:p>
    <w:p w14:paraId="685FECFE">
      <w:pPr>
        <w:pStyle w:val="44"/>
        <w:rPr>
          <w:rFonts w:ascii="Times New Roman" w:hAnsi="Times New Roman" w:eastAsia="楷体_GB2312"/>
          <w:b/>
          <w:color w:val="auto"/>
          <w:sz w:val="72"/>
          <w:szCs w:val="72"/>
          <w:highlight w:val="none"/>
        </w:rPr>
      </w:pPr>
    </w:p>
    <w:p w14:paraId="0F3B3739">
      <w:pPr>
        <w:spacing w:line="240" w:lineRule="exact"/>
        <w:jc w:val="both"/>
        <w:rPr>
          <w:rFonts w:ascii="Times New Roman" w:hAnsi="Times New Roman" w:eastAsia="楷体_GB2312"/>
          <w:b/>
          <w:color w:val="auto"/>
          <w:sz w:val="72"/>
          <w:szCs w:val="72"/>
          <w:highlight w:val="none"/>
        </w:rPr>
      </w:pPr>
    </w:p>
    <w:p w14:paraId="50138058">
      <w:pPr>
        <w:spacing w:line="240" w:lineRule="exact"/>
        <w:jc w:val="center"/>
        <w:rPr>
          <w:rFonts w:ascii="Times New Roman" w:hAnsi="Times New Roman" w:eastAsia="楷体_GB2312"/>
          <w:b/>
          <w:color w:val="auto"/>
          <w:sz w:val="72"/>
          <w:szCs w:val="72"/>
          <w:highlight w:val="none"/>
        </w:rPr>
      </w:pPr>
    </w:p>
    <w:p w14:paraId="02458CBA">
      <w:pPr>
        <w:spacing w:line="800" w:lineRule="exact"/>
        <w:ind w:firstLine="1066" w:firstLineChars="295"/>
        <w:rPr>
          <w:rFonts w:ascii="Calibri" w:hAnsi="Calibri" w:eastAsia="楷体_GB2312"/>
          <w:b/>
          <w:bCs/>
          <w:color w:val="auto"/>
          <w:sz w:val="36"/>
          <w:szCs w:val="30"/>
          <w:highlight w:val="none"/>
          <w:u w:val="single"/>
        </w:rPr>
      </w:pPr>
      <w:r>
        <w:rPr>
          <w:rFonts w:hint="eastAsia" w:eastAsia="楷体_GB2312"/>
          <w:b/>
          <w:color w:val="auto"/>
          <w:sz w:val="36"/>
          <w:szCs w:val="30"/>
          <w:highlight w:val="none"/>
        </w:rPr>
        <w:t>合同编号：</w:t>
      </w:r>
      <w:r>
        <w:rPr>
          <w:rFonts w:eastAsia="楷体_GB2312"/>
          <w:b/>
          <w:color w:val="auto"/>
          <w:sz w:val="36"/>
          <w:szCs w:val="30"/>
          <w:highlight w:val="none"/>
          <w:u w:val="single"/>
        </w:rPr>
        <w:t xml:space="preserve">                         </w:t>
      </w:r>
    </w:p>
    <w:p w14:paraId="369EC7D2">
      <w:pPr>
        <w:pStyle w:val="25"/>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签订地点：</w:t>
      </w:r>
      <w:r>
        <w:rPr>
          <w:rFonts w:eastAsia="楷体_GB2312"/>
          <w:b/>
          <w:color w:val="auto"/>
          <w:sz w:val="36"/>
          <w:szCs w:val="30"/>
          <w:highlight w:val="none"/>
          <w:u w:val="single"/>
        </w:rPr>
        <w:t xml:space="preserve">                         </w:t>
      </w:r>
    </w:p>
    <w:p w14:paraId="798098B1">
      <w:pPr>
        <w:pStyle w:val="25"/>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签订时间：</w:t>
      </w:r>
      <w:r>
        <w:rPr>
          <w:rFonts w:eastAsia="楷体_GB2312"/>
          <w:b/>
          <w:color w:val="auto"/>
          <w:sz w:val="36"/>
          <w:szCs w:val="30"/>
          <w:highlight w:val="none"/>
          <w:u w:val="single"/>
        </w:rPr>
        <w:t xml:space="preserve">          </w:t>
      </w:r>
      <w:r>
        <w:rPr>
          <w:rFonts w:hint="eastAsia" w:eastAsia="楷体_GB2312"/>
          <w:b/>
          <w:color w:val="auto"/>
          <w:sz w:val="36"/>
          <w:szCs w:val="30"/>
          <w:highlight w:val="none"/>
        </w:rPr>
        <w:t>年</w:t>
      </w:r>
      <w:r>
        <w:rPr>
          <w:rFonts w:eastAsia="楷体_GB2312"/>
          <w:b/>
          <w:color w:val="auto"/>
          <w:sz w:val="36"/>
          <w:szCs w:val="30"/>
          <w:highlight w:val="none"/>
          <w:u w:val="single"/>
        </w:rPr>
        <w:t xml:space="preserve">     </w:t>
      </w:r>
      <w:r>
        <w:rPr>
          <w:rFonts w:hint="eastAsia" w:eastAsia="楷体_GB2312"/>
          <w:b/>
          <w:color w:val="auto"/>
          <w:sz w:val="36"/>
          <w:szCs w:val="30"/>
          <w:highlight w:val="none"/>
        </w:rPr>
        <w:t>月</w:t>
      </w:r>
      <w:r>
        <w:rPr>
          <w:rFonts w:eastAsia="楷体_GB2312"/>
          <w:b/>
          <w:color w:val="auto"/>
          <w:sz w:val="36"/>
          <w:szCs w:val="30"/>
          <w:highlight w:val="none"/>
          <w:u w:val="single"/>
        </w:rPr>
        <w:t xml:space="preserve">     </w:t>
      </w:r>
      <w:r>
        <w:rPr>
          <w:rFonts w:hint="eastAsia" w:eastAsia="楷体_GB2312"/>
          <w:b/>
          <w:color w:val="auto"/>
          <w:sz w:val="36"/>
          <w:szCs w:val="30"/>
          <w:highlight w:val="none"/>
        </w:rPr>
        <w:t>日</w:t>
      </w:r>
    </w:p>
    <w:p w14:paraId="2E529D0F">
      <w:pPr>
        <w:widowControl/>
        <w:spacing w:beforeAutospacing="1" w:afterAutospacing="1"/>
        <w:jc w:val="left"/>
        <w:rPr>
          <w:rFonts w:ascii="华文中宋" w:hAnsi="华文中宋" w:eastAsia="华文中宋"/>
          <w:color w:val="auto"/>
          <w:spacing w:val="20"/>
          <w:kern w:val="0"/>
          <w:sz w:val="32"/>
          <w:szCs w:val="32"/>
          <w:highlight w:val="none"/>
        </w:rPr>
        <w:sectPr>
          <w:footerReference r:id="rId10" w:type="default"/>
          <w:pgSz w:w="11906" w:h="16838"/>
          <w:pgMar w:top="1418" w:right="1418" w:bottom="1418" w:left="1418" w:header="851" w:footer="907" w:gutter="0"/>
          <w:pgNumType w:fmt="decimal"/>
          <w:cols w:space="720" w:num="1"/>
          <w:docGrid w:type="lines" w:linePitch="312" w:charSpace="0"/>
        </w:sectPr>
      </w:pPr>
    </w:p>
    <w:p w14:paraId="042DFFF0">
      <w:pPr>
        <w:pStyle w:val="2"/>
        <w:keepNext/>
        <w:keepLines/>
        <w:pageBreakBefore w:val="0"/>
        <w:widowControl w:val="0"/>
        <w:tabs>
          <w:tab w:val="left" w:pos="432"/>
        </w:tabs>
        <w:kinsoku/>
        <w:wordWrap/>
        <w:overflowPunct/>
        <w:topLinePunct w:val="0"/>
        <w:autoSpaceDE/>
        <w:autoSpaceDN/>
        <w:bidi w:val="0"/>
        <w:adjustRightInd/>
        <w:snapToGrid/>
        <w:spacing w:before="161" w:beforeLines="50" w:after="161" w:afterLines="50" w:line="440" w:lineRule="exact"/>
        <w:jc w:val="center"/>
        <w:textAlignment w:val="auto"/>
        <w:rPr>
          <w:rFonts w:hint="eastAsia" w:ascii="宋体" w:hAnsi="宋体" w:eastAsia="宋体" w:cs="宋体"/>
          <w:color w:val="auto"/>
          <w:sz w:val="28"/>
          <w:szCs w:val="28"/>
          <w:highlight w:val="none"/>
        </w:rPr>
      </w:pPr>
      <w:bookmarkStart w:id="109" w:name="_Toc407261892"/>
      <w:r>
        <w:rPr>
          <w:rFonts w:hint="eastAsia" w:ascii="宋体" w:hAnsi="宋体" w:eastAsia="宋体" w:cs="宋体"/>
          <w:color w:val="auto"/>
          <w:sz w:val="28"/>
          <w:szCs w:val="28"/>
          <w:highlight w:val="none"/>
        </w:rPr>
        <w:t>第一部分  合同协议书</w:t>
      </w:r>
      <w:bookmarkEnd w:id="109"/>
    </w:p>
    <w:p w14:paraId="22096116">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14:paraId="24C0F1A2">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rPr>
        <w:t xml:space="preserve">                                  </w:t>
      </w:r>
    </w:p>
    <w:p w14:paraId="2335DA5F">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工程造价咨询及有关事项协商一致，共同达成如下协议：</w:t>
      </w:r>
    </w:p>
    <w:p w14:paraId="4FE0089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DB2D19E">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4E5FBC4">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128D35B8">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Cs/>
          <w:color w:val="auto"/>
          <w:sz w:val="21"/>
          <w:szCs w:val="21"/>
          <w:highlight w:val="none"/>
        </w:rPr>
        <w:t>工程规模：</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6C6F43E0">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78A82BFA">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1.资料完整性审查，按照工程结算审计要求审查资料的完整性；</w:t>
      </w:r>
    </w:p>
    <w:p w14:paraId="10C15D4C">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2.项目工程量计算、计价方式、对定额套用、工程类别、取费标准等合理性进行核查；</w:t>
      </w:r>
    </w:p>
    <w:p w14:paraId="15432F6A">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3.工程变更、签证、索赔等手续合法、合规、合理性审查</w:t>
      </w:r>
      <w:r>
        <w:rPr>
          <w:rFonts w:hint="eastAsia" w:ascii="宋体" w:hAnsi="宋体" w:eastAsia="宋体" w:cs="宋体"/>
          <w:color w:val="auto"/>
          <w:kern w:val="0"/>
          <w:highlight w:val="none"/>
          <w:lang w:val="en-US" w:eastAsia="zh-CN"/>
        </w:rPr>
        <w:t>。</w:t>
      </w:r>
    </w:p>
    <w:p w14:paraId="11152898">
      <w:pPr>
        <w:pStyle w:val="44"/>
        <w:ind w:left="0" w:leftChars="0" w:firstLine="420" w:firstLineChars="200"/>
        <w:rPr>
          <w:rFonts w:hint="default"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lang w:val="en-US" w:eastAsia="zh-CN" w:bidi="ar-SA"/>
        </w:rPr>
        <w:t>4.其他法律、法规规定复审应完成的内容及招标人要求的内容</w:t>
      </w:r>
      <w:r>
        <w:rPr>
          <w:rFonts w:hint="eastAsia" w:ascii="宋体" w:hAnsi="宋体" w:cs="宋体"/>
          <w:color w:val="auto"/>
          <w:kern w:val="0"/>
          <w:highlight w:val="none"/>
          <w:lang w:val="en-US" w:eastAsia="zh-CN"/>
        </w:rPr>
        <w:t>。</w:t>
      </w:r>
    </w:p>
    <w:p w14:paraId="344E2A9D">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76F04C53">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（1）自合同签订之日起至完成对跟审单位全部成果的复核并出具复审报告，复审报告经跟审单位和甲方确认，项目完成竣工结算审核为止。</w:t>
      </w:r>
    </w:p>
    <w:p w14:paraId="2ABA7FF7">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（2）复审单位在收到跟审单位分</w:t>
      </w:r>
      <w:r>
        <w:rPr>
          <w:rFonts w:hint="eastAsia" w:ascii="宋体" w:hAnsi="宋体" w:eastAsia="宋体" w:cs="宋体"/>
          <w:color w:val="auto"/>
          <w:kern w:val="0"/>
          <w:highlight w:val="none"/>
          <w:lang w:val="en-US" w:eastAsia="zh-CN"/>
        </w:rPr>
        <w:t>别</w:t>
      </w:r>
      <w:r>
        <w:rPr>
          <w:rFonts w:hint="eastAsia" w:ascii="宋体" w:hAnsi="宋体" w:eastAsia="宋体" w:cs="宋体"/>
          <w:color w:val="auto"/>
          <w:kern w:val="0"/>
          <w:highlight w:val="none"/>
        </w:rPr>
        <w:t>出具的审核报告</w:t>
      </w:r>
      <w:r>
        <w:rPr>
          <w:rFonts w:hint="eastAsia" w:ascii="宋体" w:hAnsi="宋体" w:eastAsia="宋体" w:cs="宋体"/>
          <w:color w:val="auto"/>
          <w:kern w:val="0"/>
          <w:highlight w:val="none"/>
          <w:lang w:val="en-US" w:eastAsia="zh-CN"/>
        </w:rPr>
        <w:t>并在资料齐全的情况下</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玄武岩加工厂复审报告不</w:t>
      </w:r>
      <w:r>
        <w:rPr>
          <w:rFonts w:hint="eastAsia" w:ascii="宋体" w:hAnsi="宋体" w:cs="宋体"/>
          <w:color w:val="auto"/>
          <w:kern w:val="0"/>
          <w:highlight w:val="none"/>
          <w:lang w:val="en-US" w:eastAsia="zh-CN"/>
        </w:rPr>
        <w:t>超过</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个日历天，凹凸棒初加工厂项目不超过</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个日历天内完成</w:t>
      </w:r>
      <w:r>
        <w:rPr>
          <w:rFonts w:hint="eastAsia" w:ascii="宋体" w:hAnsi="宋体" w:eastAsia="宋体" w:cs="宋体"/>
          <w:color w:val="auto"/>
          <w:kern w:val="0"/>
          <w:highlight w:val="none"/>
        </w:rPr>
        <w:t>。</w:t>
      </w:r>
    </w:p>
    <w:p w14:paraId="33D8BB42">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lang w:val="en-US" w:eastAsia="zh-CN"/>
        </w:rPr>
        <w:t>若不能如期完成，工期每延误一天，处以 500元违约金。</w:t>
      </w:r>
    </w:p>
    <w:p w14:paraId="64BD9C5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50117CF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工程造价咨询成果文件质量符合</w:t>
      </w:r>
      <w:r>
        <w:rPr>
          <w:rFonts w:hint="eastAsia" w:ascii="宋体" w:hAnsi="宋体" w:eastAsia="宋体" w:cs="宋体"/>
          <w:b/>
          <w:bCs/>
          <w:color w:val="auto"/>
          <w:sz w:val="21"/>
          <w:szCs w:val="21"/>
          <w:highlight w:val="none"/>
          <w:u w:val="single"/>
          <w:lang w:val="en-US" w:eastAsia="zh-CN"/>
        </w:rPr>
        <w:t>中国建设工程造价管理协会《建设工程造价咨询成果文件质量标准》（CECA/GC7-2012）的合格标准</w:t>
      </w:r>
      <w:r>
        <w:rPr>
          <w:rFonts w:hint="eastAsia" w:ascii="宋体" w:hAnsi="宋体" w:eastAsia="宋体" w:cs="宋体"/>
          <w:color w:val="auto"/>
          <w:sz w:val="21"/>
          <w:szCs w:val="21"/>
          <w:highlight w:val="none"/>
          <w:lang w:val="en-US" w:eastAsia="zh-CN"/>
        </w:rPr>
        <w:t>和委托人要求</w:t>
      </w:r>
      <w:r>
        <w:rPr>
          <w:rFonts w:hint="eastAsia" w:ascii="宋体" w:hAnsi="宋体" w:eastAsia="宋体" w:cs="宋体"/>
          <w:color w:val="auto"/>
          <w:sz w:val="21"/>
          <w:szCs w:val="21"/>
          <w:highlight w:val="none"/>
        </w:rPr>
        <w:t>。</w:t>
      </w:r>
    </w:p>
    <w:p w14:paraId="449813DF">
      <w:pPr>
        <w:keepNext w:val="0"/>
        <w:keepLines w:val="0"/>
        <w:pageBreakBefore w:val="0"/>
        <w:widowControl w:val="0"/>
        <w:numPr>
          <w:ilvl w:val="0"/>
          <w:numId w:val="1"/>
        </w:numPr>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rPr>
        <w:t>咨询酬金</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u w:val="none"/>
          <w:lang w:val="en-US" w:eastAsia="zh-CN"/>
        </w:rPr>
        <w:t xml:space="preserve"> </w:t>
      </w:r>
      <w:r>
        <w:rPr>
          <w:rFonts w:hint="eastAsia" w:ascii="宋体" w:hAnsi="宋体" w:eastAsia="宋体" w:cs="宋体"/>
          <w:b/>
          <w:bCs/>
          <w:color w:val="auto"/>
          <w:sz w:val="21"/>
          <w:szCs w:val="21"/>
          <w:highlight w:val="none"/>
          <w:u w:val="none"/>
        </w:rPr>
        <w:t xml:space="preserve">   </w:t>
      </w:r>
    </w:p>
    <w:p w14:paraId="1658210B">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（1）玄武岩新型建材一期年产300万吨玄武岩建筑骨料和100万吨机制砂项目</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val="en-US" w:eastAsia="zh-CN"/>
        </w:rPr>
        <w:t>基本费用</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审核成果费率</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w:t>
      </w:r>
    </w:p>
    <w:p w14:paraId="1F6E160F">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磐谷高科凹凸棒初加工1号线延伸改造、2号3号线新建项目的</w:t>
      </w:r>
      <w:r>
        <w:rPr>
          <w:rFonts w:hint="eastAsia" w:ascii="宋体" w:hAnsi="宋体" w:eastAsia="宋体" w:cs="宋体"/>
          <w:color w:val="auto"/>
          <w:kern w:val="0"/>
          <w:highlight w:val="none"/>
          <w:lang w:val="en-US" w:eastAsia="zh-CN"/>
        </w:rPr>
        <w:t>基本费用</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lang w:val="en-US" w:eastAsia="zh-CN"/>
        </w:rPr>
        <w:t>元</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审核成果费率</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w:t>
      </w:r>
    </w:p>
    <w:p w14:paraId="7B6A095F">
      <w:pPr>
        <w:keepNext w:val="0"/>
        <w:keepLines w:val="0"/>
        <w:pageBreakBefore w:val="0"/>
        <w:widowControl w:val="0"/>
        <w:kinsoku/>
        <w:wordWrap/>
        <w:overflowPunct/>
        <w:topLinePunct w:val="0"/>
        <w:bidi w:val="0"/>
        <w:spacing w:line="460" w:lineRule="exact"/>
        <w:ind w:left="-199" w:leftChars="-95" w:right="-185" w:rightChars="-88" w:firstLine="632" w:firstLineChars="3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rPr>
        <w:t>支付方</w:t>
      </w:r>
      <w:r>
        <w:rPr>
          <w:rFonts w:hint="eastAsia" w:ascii="宋体" w:hAnsi="宋体" w:eastAsia="宋体" w:cs="宋体"/>
          <w:color w:val="auto"/>
          <w:kern w:val="0"/>
          <w:highlight w:val="none"/>
        </w:rPr>
        <w:t>式：</w:t>
      </w:r>
      <w:r>
        <w:rPr>
          <w:rFonts w:hint="eastAsia" w:ascii="宋体" w:hAnsi="宋体" w:eastAsia="宋体" w:cs="宋体"/>
          <w:color w:val="auto"/>
          <w:kern w:val="0"/>
          <w:highlight w:val="none"/>
          <w:lang w:val="en-US" w:eastAsia="zh-CN"/>
        </w:rPr>
        <w:t>复审单位完成对跟审单位全部成果的复核并出具复核报告，经跟审单位认可和甲方确认后，待项目完成竣工结算审核后，一次性支付基本费和审核成果费（其中审核成果费根据复审单位提供的复审报告在跟审单位审核的结算造价基础上的核减率计算，以上付款均无息）</w:t>
      </w:r>
      <w:r>
        <w:rPr>
          <w:rFonts w:hint="eastAsia" w:ascii="宋体" w:hAnsi="宋体" w:cs="宋体"/>
          <w:color w:val="auto"/>
          <w:kern w:val="0"/>
          <w:highlight w:val="none"/>
          <w:lang w:val="en-US" w:eastAsia="zh-CN"/>
        </w:rPr>
        <w:t>。</w:t>
      </w:r>
    </w:p>
    <w:p w14:paraId="1D2E173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、合同文件构成</w:t>
      </w:r>
    </w:p>
    <w:p w14:paraId="74D57E9B">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0FDC968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328819B3">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 xml:space="preserve">投标函及其附录（如果有）； </w:t>
      </w:r>
    </w:p>
    <w:p w14:paraId="68753CB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573BB5B7">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73B2094D">
      <w:pPr>
        <w:keepNext w:val="0"/>
        <w:keepLines w:val="0"/>
        <w:pageBreakBefore w:val="0"/>
        <w:widowControl w:val="0"/>
        <w:kinsoku/>
        <w:wordWrap/>
        <w:overflowPunct/>
        <w:topLinePunct w:val="0"/>
        <w:autoSpaceDE w:val="0"/>
        <w:autoSpaceDN w:val="0"/>
        <w:bidi w:val="0"/>
        <w:adjustRightInd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26884F7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7B42829C">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、词语含义</w:t>
      </w:r>
    </w:p>
    <w:p w14:paraId="251C5FC1">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24A2B813">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、签订时间</w:t>
      </w:r>
    </w:p>
    <w:p w14:paraId="205F6131">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21566D08">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、签订地点</w:t>
      </w:r>
    </w:p>
    <w:p w14:paraId="6C1E3D59">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w:t>
      </w:r>
    </w:p>
    <w:p w14:paraId="602821E0">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52400EC3">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1526845C">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、合同生效</w:t>
      </w:r>
    </w:p>
    <w:p w14:paraId="1A0B61E7">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012E154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、合同份数</w:t>
      </w:r>
    </w:p>
    <w:p w14:paraId="1CC281E9">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60CD2DD2">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14:paraId="390E6B8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14:paraId="416EA1D0">
      <w:pPr>
        <w:keepNext w:val="0"/>
        <w:keepLines w:val="0"/>
        <w:pageBreakBefore w:val="0"/>
        <w:widowControl w:val="0"/>
        <w:tabs>
          <w:tab w:val="left" w:pos="4830"/>
        </w:tabs>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咨询人：  (公章)</w:t>
      </w:r>
    </w:p>
    <w:p w14:paraId="4E6F2152">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14:paraId="19838CB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1A2E46B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4A06A5E2">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14:paraId="499317B6">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14:paraId="747A8A44">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720E0E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56F0E6F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3E28DB6B">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49022F9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4AC7FE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358F14B7">
      <w:pPr>
        <w:pageBreakBefore w:val="0"/>
        <w:widowControl/>
        <w:numPr>
          <w:ilvl w:val="0"/>
          <w:numId w:val="2"/>
        </w:numPr>
        <w:kinsoku/>
        <w:wordWrap/>
        <w:overflowPunct/>
        <w:topLinePunct w:val="0"/>
        <w:bidi w:val="0"/>
        <w:spacing w:line="440" w:lineRule="exact"/>
        <w:ind w:left="-199" w:leftChars="-95" w:right="-185" w:rightChars="-88" w:firstLine="0" w:firstLineChars="0"/>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0"/>
          <w:sz w:val="21"/>
          <w:szCs w:val="21"/>
          <w:highlight w:val="none"/>
        </w:rPr>
        <w:br w:type="page"/>
      </w:r>
      <w:bookmarkStart w:id="110" w:name="_Toc407261893"/>
      <w:r>
        <w:rPr>
          <w:rFonts w:hint="eastAsia" w:ascii="宋体" w:hAnsi="宋体" w:eastAsia="宋体" w:cs="宋体"/>
          <w:b/>
          <w:bCs/>
          <w:color w:val="auto"/>
          <w:kern w:val="44"/>
          <w:sz w:val="28"/>
          <w:szCs w:val="28"/>
          <w:highlight w:val="none"/>
          <w:lang w:val="en-US" w:eastAsia="zh-CN" w:bidi="ar-SA"/>
        </w:rPr>
        <w:t xml:space="preserve"> 通用合同条款</w:t>
      </w:r>
      <w:bookmarkEnd w:id="110"/>
      <w:bookmarkStart w:id="111" w:name="_Toc407261894"/>
    </w:p>
    <w:bookmarkEnd w:id="111"/>
    <w:p w14:paraId="6217A61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执行安徽省住房和城乡建设厅和</w:t>
      </w:r>
      <w:r>
        <w:rPr>
          <w:rFonts w:hint="eastAsia" w:ascii="宋体" w:hAnsi="宋体" w:eastAsia="宋体" w:cs="宋体"/>
          <w:b/>
          <w:color w:val="auto"/>
          <w:spacing w:val="20"/>
          <w:sz w:val="24"/>
          <w:szCs w:val="24"/>
          <w:highlight w:val="none"/>
        </w:rPr>
        <w:t>安徽省工商行政管理局联合制定的、2014年12月23日颁布实施的《安徽省建设工程造价咨询合同》</w:t>
      </w:r>
      <w:r>
        <w:rPr>
          <w:rFonts w:hint="eastAsia" w:ascii="宋体" w:hAnsi="宋体" w:eastAsia="宋体" w:cs="宋体"/>
          <w:b/>
          <w:color w:val="auto"/>
          <w:sz w:val="24"/>
          <w:szCs w:val="24"/>
          <w:highlight w:val="none"/>
        </w:rPr>
        <w:t>（编号：ＷＦ－2014－05）中的“通用合同条款”。</w:t>
      </w:r>
    </w:p>
    <w:p w14:paraId="6DE755D7">
      <w:pPr>
        <w:keepNext w:val="0"/>
        <w:keepLines w:val="0"/>
        <w:pageBreakBefore w:val="0"/>
        <w:widowControl w:val="0"/>
        <w:kinsoku/>
        <w:wordWrap/>
        <w:overflowPunct/>
        <w:topLinePunct w:val="0"/>
        <w:autoSpaceDE/>
        <w:autoSpaceDN/>
        <w:bidi w:val="0"/>
        <w:adjustRightInd/>
        <w:snapToGrid/>
        <w:spacing w:before="161" w:beforeLines="50" w:after="161" w:afterLines="50" w:line="440" w:lineRule="exact"/>
        <w:ind w:left="-199" w:leftChars="-95" w:right="-185" w:rightChars="-88"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12" w:name="_Toc407261943"/>
      <w:r>
        <w:rPr>
          <w:rFonts w:hint="eastAsia" w:ascii="宋体" w:hAnsi="宋体" w:eastAsia="宋体" w:cs="宋体"/>
          <w:b/>
          <w:bCs/>
          <w:color w:val="auto"/>
          <w:kern w:val="44"/>
          <w:sz w:val="28"/>
          <w:szCs w:val="28"/>
          <w:highlight w:val="none"/>
        </w:rPr>
        <w:t>第三部分  专用合同条款</w:t>
      </w:r>
      <w:bookmarkEnd w:id="112"/>
      <w:bookmarkStart w:id="113" w:name="_Toc407261944"/>
      <w:bookmarkStart w:id="114" w:name="_Toc351203633"/>
    </w:p>
    <w:p w14:paraId="6DADEF12">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bookmarkStart w:id="115" w:name="_Toc297048342"/>
      <w:bookmarkStart w:id="116" w:name="_Toc297120456"/>
      <w:bookmarkStart w:id="117" w:name="_Toc296346657"/>
      <w:bookmarkStart w:id="118" w:name="_Toc296891196"/>
      <w:bookmarkStart w:id="119" w:name="_Toc296944495"/>
      <w:bookmarkStart w:id="120" w:name="_Toc296890984"/>
      <w:bookmarkStart w:id="121" w:name="_Toc296503156"/>
      <w:bookmarkStart w:id="122" w:name="_Toc292559866"/>
      <w:bookmarkStart w:id="123" w:name="_Toc292559361"/>
      <w:bookmarkStart w:id="124" w:name="_Toc296347155"/>
      <w:r>
        <w:rPr>
          <w:rFonts w:hint="eastAsia" w:ascii="宋体" w:hAnsi="宋体" w:eastAsia="宋体" w:cs="宋体"/>
          <w:b/>
          <w:bCs/>
          <w:color w:val="auto"/>
          <w:sz w:val="21"/>
          <w:szCs w:val="21"/>
          <w:highlight w:val="none"/>
        </w:rPr>
        <w:t>. 一般约定</w:t>
      </w:r>
      <w:bookmarkEnd w:id="113"/>
      <w:bookmarkEnd w:id="114"/>
    </w:p>
    <w:bookmarkEnd w:id="115"/>
    <w:bookmarkEnd w:id="116"/>
    <w:bookmarkEnd w:id="117"/>
    <w:bookmarkEnd w:id="118"/>
    <w:bookmarkEnd w:id="119"/>
    <w:bookmarkEnd w:id="120"/>
    <w:bookmarkEnd w:id="121"/>
    <w:bookmarkEnd w:id="122"/>
    <w:bookmarkEnd w:id="123"/>
    <w:bookmarkEnd w:id="124"/>
    <w:p w14:paraId="2DA8B5B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1.3法律</w:t>
      </w:r>
    </w:p>
    <w:p w14:paraId="0C1343E1">
      <w:pPr>
        <w:pageBreakBefore w:val="0"/>
        <w:kinsoku/>
        <w:wordWrap/>
        <w:overflowPunct/>
        <w:topLinePunct w:val="0"/>
        <w:autoSpaceDE w:val="0"/>
        <w:autoSpaceDN w:val="0"/>
        <w:bidi w:val="0"/>
        <w:adjustRightInd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F4E2A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标准和规范</w:t>
      </w:r>
    </w:p>
    <w:p w14:paraId="27287B4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3AA9484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合同文件的优先顺序</w:t>
      </w:r>
    </w:p>
    <w:p w14:paraId="1A9CC54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F91E38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联络</w:t>
      </w:r>
    </w:p>
    <w:p w14:paraId="6B33F56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1F577B7">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 xml:space="preserve"> 委托人接收文件的地点：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0D68C3D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D630A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73A3FF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681B2A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6D0F8C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B9A565F">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25" w:name="_Toc351203634"/>
      <w:bookmarkStart w:id="126" w:name="_Toc407261945"/>
      <w:r>
        <w:rPr>
          <w:rFonts w:hint="eastAsia" w:ascii="宋体" w:hAnsi="宋体" w:eastAsia="宋体" w:cs="宋体"/>
          <w:b/>
          <w:bCs/>
          <w:color w:val="auto"/>
          <w:sz w:val="21"/>
          <w:szCs w:val="21"/>
          <w:highlight w:val="none"/>
        </w:rPr>
        <w:t>2</w:t>
      </w:r>
      <w:bookmarkStart w:id="127" w:name="_Toc292559867"/>
      <w:bookmarkStart w:id="128" w:name="_Toc292559362"/>
      <w:bookmarkStart w:id="129" w:name="_Toc297048343"/>
      <w:bookmarkStart w:id="130" w:name="_Toc296890985"/>
      <w:bookmarkStart w:id="131" w:name="_Toc296347156"/>
      <w:bookmarkStart w:id="132" w:name="_Toc296891197"/>
      <w:bookmarkStart w:id="133" w:name="_Toc296346658"/>
      <w:bookmarkStart w:id="134" w:name="_Toc296503157"/>
      <w:bookmarkStart w:id="135" w:name="_Toc297120457"/>
      <w:bookmarkStart w:id="136" w:name="_Toc296944496"/>
      <w:r>
        <w:rPr>
          <w:rFonts w:hint="eastAsia" w:ascii="宋体" w:hAnsi="宋体" w:eastAsia="宋体" w:cs="宋体"/>
          <w:b/>
          <w:bCs/>
          <w:color w:val="auto"/>
          <w:sz w:val="21"/>
          <w:szCs w:val="21"/>
          <w:highlight w:val="none"/>
        </w:rPr>
        <w:t>. 委托人</w:t>
      </w:r>
      <w:bookmarkEnd w:id="125"/>
      <w:bookmarkEnd w:id="126"/>
    </w:p>
    <w:bookmarkEnd w:id="127"/>
    <w:bookmarkEnd w:id="128"/>
    <w:bookmarkEnd w:id="129"/>
    <w:bookmarkEnd w:id="130"/>
    <w:bookmarkEnd w:id="131"/>
    <w:bookmarkEnd w:id="132"/>
    <w:bookmarkEnd w:id="133"/>
    <w:bookmarkEnd w:id="134"/>
    <w:bookmarkEnd w:id="135"/>
    <w:bookmarkEnd w:id="136"/>
    <w:p w14:paraId="16E0AF8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委托人代表</w:t>
      </w:r>
    </w:p>
    <w:p w14:paraId="4E139F9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137895D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3EED65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C4410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10EA8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47519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D1626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42F32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CD267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提供资料</w:t>
      </w:r>
    </w:p>
    <w:p w14:paraId="1440F53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图纸 </w:t>
      </w:r>
      <w:r>
        <w:rPr>
          <w:rFonts w:hint="eastAsia" w:ascii="宋体" w:hAnsi="宋体" w:cs="宋体"/>
          <w:color w:val="auto"/>
          <w:sz w:val="21"/>
          <w:szCs w:val="21"/>
          <w:highlight w:val="none"/>
          <w:u w:val="single"/>
          <w:lang w:val="en-US" w:eastAsia="zh-CN"/>
        </w:rPr>
        <w:t>、跟踪审计材料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AE3167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85B0F7">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1AC1FEB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 答复</w:t>
      </w:r>
    </w:p>
    <w:p w14:paraId="1092C33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ACAE9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137" w:name="_Toc407261946"/>
    </w:p>
    <w:p w14:paraId="0866A435">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咨询人</w:t>
      </w:r>
      <w:bookmarkEnd w:id="137"/>
    </w:p>
    <w:p w14:paraId="7A3EA7A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项目负责人</w:t>
      </w:r>
    </w:p>
    <w:p w14:paraId="794C5A3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D27437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AC9942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A5C3B9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EBEA74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0C9667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FFDA53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B7568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工程造价专业人员</w:t>
      </w:r>
    </w:p>
    <w:p w14:paraId="795B5A1B">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 xml:space="preserve"> 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8ABF879">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7DD5EB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 xml:space="preserve"> 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E29D0A1">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 xml:space="preserve"> 咨询人安排的工程造价专业人员</w:t>
      </w:r>
      <w:r>
        <w:rPr>
          <w:rFonts w:hint="eastAsia" w:ascii="宋体" w:hAnsi="宋体" w:eastAsia="宋体" w:cs="宋体"/>
          <w:color w:val="auto"/>
          <w:kern w:val="0"/>
          <w:sz w:val="21"/>
          <w:szCs w:val="21"/>
          <w:highlight w:val="none"/>
        </w:rPr>
        <w:t>每月在施工现场的时间要</w:t>
      </w:r>
      <w:r>
        <w:rPr>
          <w:rFonts w:hint="eastAsia" w:ascii="宋体" w:hAnsi="宋体" w:eastAsia="宋体" w:cs="宋体"/>
          <w:color w:val="auto"/>
          <w:kern w:val="0"/>
          <w:sz w:val="21"/>
          <w:szCs w:val="21"/>
          <w:highlight w:val="none"/>
          <w:lang w:val="en-US" w:eastAsia="zh-CN"/>
        </w:rPr>
        <w:t>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2893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18283E">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 xml:space="preserve"> 咨询人无正当理由拒绝撤换工程造价专业人员的违约责任：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2D47BAC">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38" w:name="_Toc407261947"/>
      <w:r>
        <w:rPr>
          <w:rFonts w:hint="eastAsia" w:ascii="宋体" w:hAnsi="宋体" w:eastAsia="宋体" w:cs="宋体"/>
          <w:b/>
          <w:bCs/>
          <w:color w:val="auto"/>
          <w:sz w:val="21"/>
          <w:szCs w:val="21"/>
          <w:highlight w:val="none"/>
        </w:rPr>
        <w:t>4. 咨询业务范围和工作内容</w:t>
      </w:r>
      <w:bookmarkEnd w:id="138"/>
    </w:p>
    <w:p w14:paraId="3AC7728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 咨询工作内容</w:t>
      </w:r>
    </w:p>
    <w:p w14:paraId="6652379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cs="宋体"/>
          <w:color w:val="auto"/>
          <w:szCs w:val="21"/>
          <w:highlight w:val="none"/>
          <w:u w:val="single"/>
          <w:lang w:val="en-US" w:eastAsia="zh-CN"/>
        </w:rPr>
        <w:t>包括但不限于对跟踪审计单位的审计成果进行复审等</w:t>
      </w:r>
      <w:r>
        <w:rPr>
          <w:rFonts w:hint="eastAsia" w:ascii="宋体" w:hAnsi="宋体" w:eastAsia="宋体" w:cs="宋体"/>
          <w:color w:val="auto"/>
          <w:sz w:val="21"/>
          <w:szCs w:val="21"/>
          <w:highlight w:val="none"/>
          <w:u w:val="single" w:color="auto"/>
        </w:rPr>
        <w:t>。</w:t>
      </w:r>
    </w:p>
    <w:p w14:paraId="551EAEE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39" w:name="_Toc407261948"/>
      <w:r>
        <w:rPr>
          <w:rFonts w:hint="eastAsia" w:ascii="宋体" w:hAnsi="宋体" w:eastAsia="宋体" w:cs="宋体"/>
          <w:b/>
          <w:bCs/>
          <w:color w:val="auto"/>
          <w:sz w:val="21"/>
          <w:szCs w:val="21"/>
          <w:highlight w:val="none"/>
        </w:rPr>
        <w:t>5. 咨询期限</w:t>
      </w:r>
      <w:bookmarkEnd w:id="139"/>
    </w:p>
    <w:p w14:paraId="0EA4F16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咨询期限延误</w:t>
      </w:r>
    </w:p>
    <w:p w14:paraId="64F44BD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 xml:space="preserve"> 因委托人原因导致咨询期限延误</w:t>
      </w:r>
    </w:p>
    <w:p w14:paraId="43E581B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rPr>
        <w:t>。</w:t>
      </w:r>
    </w:p>
    <w:p w14:paraId="011A684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bookmarkStart w:id="140" w:name="_Toc297216177"/>
      <w:bookmarkStart w:id="141" w:name="_Toc304295548"/>
      <w:bookmarkStart w:id="142" w:name="_Toc297123518"/>
      <w:bookmarkStart w:id="143" w:name="_Toc300934970"/>
      <w:bookmarkStart w:id="144" w:name="_Toc303539127"/>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 xml:space="preserve"> 因咨询人原因导致咨询期限延误</w:t>
      </w:r>
    </w:p>
    <w:p w14:paraId="5F61A7E1">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45" w:name="_Toc312678013"/>
      <w:bookmarkStart w:id="146" w:name="_Toc312677487"/>
      <w:bookmarkStart w:id="147" w:name="_Toc318581170"/>
      <w:r>
        <w:rPr>
          <w:rFonts w:hint="eastAsia" w:ascii="宋体" w:hAnsi="宋体" w:eastAsia="宋体" w:cs="宋体"/>
          <w:color w:val="auto"/>
          <w:sz w:val="21"/>
          <w:szCs w:val="21"/>
          <w:highlight w:val="none"/>
        </w:rPr>
        <w:t>咨询人原因造成咨询期限延误，逾期完成咨询业务违约金的计算方法为：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500</w:t>
      </w:r>
      <w:r>
        <w:rPr>
          <w:rFonts w:hint="eastAsia" w:ascii="宋体" w:hAnsi="宋体" w:eastAsia="宋体" w:cs="宋体"/>
          <w:b/>
          <w:bCs/>
          <w:color w:val="auto"/>
          <w:sz w:val="21"/>
          <w:szCs w:val="21"/>
          <w:highlight w:val="none"/>
          <w:u w:val="single"/>
          <w:lang w:val="en-US" w:eastAsia="zh-CN"/>
        </w:rPr>
        <w:t xml:space="preserve">元/天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bookmarkEnd w:id="140"/>
      <w:bookmarkEnd w:id="141"/>
      <w:bookmarkEnd w:id="142"/>
      <w:bookmarkEnd w:id="143"/>
      <w:bookmarkEnd w:id="144"/>
      <w:bookmarkEnd w:id="145"/>
      <w:bookmarkEnd w:id="146"/>
    </w:p>
    <w:bookmarkEnd w:id="147"/>
    <w:p w14:paraId="4B363BE2">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148" w:name="_Toc318581171"/>
      <w:bookmarkStart w:id="149" w:name="_Toc312678014"/>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48"/>
    <w:bookmarkEnd w:id="149"/>
    <w:p w14:paraId="5805406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 xml:space="preserve"> 因第三人原因导致咨询期限延误</w:t>
      </w:r>
    </w:p>
    <w:p w14:paraId="5000B637">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601789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5.3 工程造价咨询成果文件交付期限</w:t>
      </w:r>
    </w:p>
    <w:p w14:paraId="646FF7B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满足招标人实际需求        </w:t>
      </w:r>
      <w:r>
        <w:rPr>
          <w:rFonts w:hint="eastAsia" w:ascii="宋体" w:hAnsi="宋体" w:eastAsia="宋体" w:cs="宋体"/>
          <w:color w:val="auto"/>
          <w:sz w:val="21"/>
          <w:szCs w:val="21"/>
          <w:highlight w:val="none"/>
        </w:rPr>
        <w:t>。</w:t>
      </w:r>
    </w:p>
    <w:p w14:paraId="61A9FC5E">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3天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07326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075E6F">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0" w:name="_Toc407261949"/>
      <w:r>
        <w:rPr>
          <w:rFonts w:hint="eastAsia" w:ascii="宋体" w:hAnsi="宋体" w:eastAsia="宋体" w:cs="宋体"/>
          <w:b/>
          <w:bCs/>
          <w:color w:val="auto"/>
          <w:sz w:val="21"/>
          <w:szCs w:val="21"/>
          <w:highlight w:val="none"/>
        </w:rPr>
        <w:t>6. 咨询质量</w:t>
      </w:r>
      <w:bookmarkEnd w:id="150"/>
    </w:p>
    <w:p w14:paraId="3C2C3D0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 质量要求</w:t>
      </w:r>
    </w:p>
    <w:p w14:paraId="6A244CE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 xml:space="preserve">  《建设工程造价咨询成果文件质量标准》CECA/GC7-2012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8A2C56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质量不合格处理</w:t>
      </w:r>
    </w:p>
    <w:p w14:paraId="29956EE7">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新宋体" w:hAnsi="新宋体" w:eastAsia="新宋体" w:cs="新宋体"/>
          <w:b/>
          <w:bCs/>
          <w:snapToGrid w:val="0"/>
          <w:color w:val="auto"/>
          <w:highlight w:val="none"/>
          <w:u w:val="single"/>
          <w:lang w:val="en-US" w:eastAsia="zh-CN"/>
        </w:rPr>
        <w:t>。</w:t>
      </w:r>
    </w:p>
    <w:p w14:paraId="59CE4B1C">
      <w:pPr>
        <w:pageBreakBefore w:val="0"/>
        <w:kinsoku/>
        <w:wordWrap/>
        <w:overflowPunct/>
        <w:topLinePunct w:val="0"/>
        <w:bidi w:val="0"/>
        <w:spacing w:line="440" w:lineRule="exact"/>
        <w:ind w:left="-199" w:leftChars="-95" w:right="-185" w:rightChars="-88" w:firstLine="0" w:firstLineChars="0"/>
        <w:jc w:val="left"/>
        <w:rPr>
          <w:rFonts w:hint="default"/>
          <w:color w:val="auto"/>
          <w:highlight w:val="none"/>
          <w:lang w:val="en-US" w:eastAsia="zh-CN"/>
        </w:rPr>
      </w:pPr>
      <w:r>
        <w:rPr>
          <w:rFonts w:hint="eastAsia" w:ascii="宋体" w:hAnsi="宋体" w:eastAsia="宋体" w:cs="宋体"/>
          <w:color w:val="auto"/>
          <w:sz w:val="21"/>
          <w:szCs w:val="21"/>
          <w:highlight w:val="none"/>
        </w:rPr>
        <w:t>因咨询人原因造成工程造价咨询成果文件质量不合格产生的损失赔偿额的计算方法为：</w:t>
      </w:r>
      <w:r>
        <w:rPr>
          <w:rFonts w:hint="eastAsia" w:ascii="宋体" w:hAnsi="宋体" w:eastAsia="宋体" w:cs="宋体"/>
          <w:b/>
          <w:bCs/>
          <w:color w:val="auto"/>
          <w:sz w:val="21"/>
          <w:szCs w:val="21"/>
          <w:highlight w:val="none"/>
          <w:u w:val="single"/>
          <w:lang w:val="en-US" w:eastAsia="zh-CN"/>
        </w:rPr>
        <w:t xml:space="preserve">   。</w:t>
      </w:r>
    </w:p>
    <w:p w14:paraId="52586F8B">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1" w:name="_Toc407261950"/>
      <w:r>
        <w:rPr>
          <w:rFonts w:hint="eastAsia" w:ascii="宋体" w:hAnsi="宋体" w:eastAsia="宋体" w:cs="宋体"/>
          <w:b/>
          <w:bCs/>
          <w:color w:val="auto"/>
          <w:sz w:val="21"/>
          <w:szCs w:val="21"/>
          <w:highlight w:val="none"/>
        </w:rPr>
        <w:t>7. 咨询酬金</w:t>
      </w:r>
      <w:bookmarkEnd w:id="151"/>
    </w:p>
    <w:p w14:paraId="5782A1FE">
      <w:pPr>
        <w:pageBreakBefore w:val="0"/>
        <w:kinsoku/>
        <w:wordWrap/>
        <w:overflowPunct/>
        <w:topLinePunct w:val="0"/>
        <w:bidi w:val="0"/>
        <w:spacing w:line="440" w:lineRule="exact"/>
        <w:ind w:left="-199" w:leftChars="-95" w:right="-185" w:rightChars="-88"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7.1 酬金计算方式</w:t>
      </w:r>
      <w:r>
        <w:rPr>
          <w:rFonts w:hint="eastAsia" w:ascii="宋体" w:hAnsi="宋体" w:eastAsia="宋体" w:cs="宋体"/>
          <w:b/>
          <w:color w:val="auto"/>
          <w:sz w:val="21"/>
          <w:szCs w:val="21"/>
          <w:highlight w:val="none"/>
          <w:lang w:val="en-US" w:eastAsia="zh-CN"/>
        </w:rPr>
        <w:t xml:space="preserve">  </w:t>
      </w:r>
    </w:p>
    <w:p w14:paraId="1A31EA6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咨询酬金其他计算方式：（1）玄武岩新型建材一期年产300万吨玄武岩建筑骨料和100万吨机制砂项目的基本费用    元，审核成果费率2%。</w:t>
      </w:r>
    </w:p>
    <w:p w14:paraId="34C4482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val="en-US" w:eastAsia="zh-CN"/>
        </w:rPr>
        <w:t>（2）磐谷高科凹凸棒初加工1号线延伸改造、2号3号线新建项目的基本费用    元，审核成果费率2%。</w:t>
      </w:r>
    </w:p>
    <w:p w14:paraId="20A58DA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7.1.2</w:t>
      </w:r>
      <w:r>
        <w:rPr>
          <w:rFonts w:hint="eastAsia" w:ascii="宋体" w:hAnsi="宋体" w:eastAsia="宋体" w:cs="宋体"/>
          <w:color w:val="auto"/>
          <w:sz w:val="21"/>
          <w:szCs w:val="21"/>
          <w:highlight w:val="none"/>
        </w:rPr>
        <w:t xml:space="preserve"> 基本酬金加绩效酬金</w:t>
      </w:r>
    </w:p>
    <w:p w14:paraId="754E391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基本酬金比率：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D2F98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绩效酬金比率：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00160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预付酬金</w:t>
      </w:r>
    </w:p>
    <w:p w14:paraId="655F3C4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8D9A5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9314D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6E684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 酬金分段结算与支付</w:t>
      </w:r>
    </w:p>
    <w:p w14:paraId="6E80CA4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 xml:space="preserve"> 酬金分段结算与支付的比例或金额：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1D59B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EB9E17">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 xml:space="preserve"> 委托人审核确认酬金分段结算与支付申请书并完成酬金支付的期限：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D6C3E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 酬金结清与支付</w:t>
      </w:r>
    </w:p>
    <w:p w14:paraId="2709F49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 xml:space="preserve"> 咨询人提交酬金结清与支付申请书的期限：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14BFF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 xml:space="preserve"> 委托人审核确认酬金结清与支付申请书的期限：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CBB0C4">
      <w:pPr>
        <w:pageBreakBefore w:val="0"/>
        <w:kinsoku/>
        <w:wordWrap/>
        <w:overflowPunct/>
        <w:topLinePunct w:val="0"/>
        <w:bidi w:val="0"/>
        <w:spacing w:line="440" w:lineRule="exact"/>
        <w:ind w:left="-199" w:leftChars="-95" w:right="-185" w:rightChars="-88" w:firstLine="0" w:firstLineChars="0"/>
        <w:rPr>
          <w:rFonts w:hint="eastAsia" w:ascii="宋体" w:hAnsi="宋体" w:cs="宋体"/>
          <w:b/>
          <w:bCs/>
          <w:color w:val="auto"/>
          <w:szCs w:val="21"/>
          <w:highlight w:val="none"/>
          <w:u w:val="single"/>
          <w:lang w:val="en-US" w:eastAsia="zh-CN"/>
        </w:rPr>
      </w:pPr>
      <w:r>
        <w:rPr>
          <w:rFonts w:hint="eastAsia" w:ascii="宋体" w:hAnsi="宋体" w:eastAsia="宋体" w:cs="宋体"/>
          <w:color w:val="auto"/>
          <w:sz w:val="21"/>
          <w:szCs w:val="21"/>
          <w:highlight w:val="none"/>
        </w:rPr>
        <w:t>7.4.3 委托人完成酬金支付的期限：</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p>
    <w:p w14:paraId="4BA015A5">
      <w:pPr>
        <w:pStyle w:val="3"/>
        <w:keepNext/>
        <w:keepLines/>
        <w:pageBreakBefore w:val="0"/>
        <w:widowControl w:val="0"/>
        <w:numPr>
          <w:ilvl w:val="0"/>
          <w:numId w:val="0"/>
        </w:numPr>
        <w:kinsoku/>
        <w:wordWrap/>
        <w:overflowPunct/>
        <w:topLinePunct w:val="0"/>
        <w:autoSpaceDE/>
        <w:autoSpaceDN/>
        <w:bidi w:val="0"/>
        <w:adjustRightInd w:val="0"/>
        <w:snapToGrid/>
        <w:spacing w:before="97" w:beforeLines="30" w:after="97" w:afterLines="30" w:line="440" w:lineRule="exact"/>
        <w:ind w:leftChars="-95" w:right="-185" w:rightChars="-88"/>
        <w:jc w:val="left"/>
        <w:textAlignment w:val="baseline"/>
        <w:rPr>
          <w:rFonts w:hint="default" w:ascii="宋体" w:hAnsi="宋体" w:eastAsia="宋体" w:cs="宋体"/>
          <w:b w:val="0"/>
          <w:color w:val="auto"/>
          <w:sz w:val="21"/>
          <w:szCs w:val="21"/>
          <w:highlight w:val="none"/>
          <w:lang w:val="en-US" w:eastAsia="zh-CN"/>
        </w:rPr>
      </w:pPr>
      <w:bookmarkStart w:id="152" w:name="_Toc407261951"/>
      <w:r>
        <w:rPr>
          <w:rFonts w:hint="eastAsia" w:ascii="宋体" w:hAnsi="宋体" w:eastAsia="宋体" w:cs="宋体"/>
          <w:b/>
          <w:bCs/>
          <w:color w:val="auto"/>
          <w:kern w:val="2"/>
          <w:sz w:val="21"/>
          <w:szCs w:val="21"/>
          <w:highlight w:val="none"/>
          <w:lang w:val="en-US" w:eastAsia="zh-CN" w:bidi="ar-SA"/>
        </w:rPr>
        <w:t>8. 变更</w:t>
      </w:r>
      <w:bookmarkEnd w:id="152"/>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eastAsia="宋体" w:cs="宋体"/>
          <w:b w:val="0"/>
          <w:color w:val="auto"/>
          <w:sz w:val="21"/>
          <w:szCs w:val="21"/>
          <w:highlight w:val="none"/>
          <w:lang w:val="en-US" w:eastAsia="zh-CN"/>
        </w:rPr>
        <w:t xml:space="preserve">     </w:t>
      </w:r>
    </w:p>
    <w:p w14:paraId="799FF73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 变更的范围</w:t>
      </w:r>
    </w:p>
    <w:p w14:paraId="549165E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10F49AF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 变更引起的咨询酬金和期限调整</w:t>
      </w:r>
    </w:p>
    <w:p w14:paraId="096C53D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BEF4F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A64F7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8.3 咨询人的合理化建议</w:t>
      </w:r>
      <w:r>
        <w:rPr>
          <w:rFonts w:hint="eastAsia" w:ascii="宋体" w:hAnsi="宋体" w:eastAsia="宋体" w:cs="宋体"/>
          <w:b/>
          <w:color w:val="auto"/>
          <w:sz w:val="21"/>
          <w:szCs w:val="21"/>
          <w:highlight w:val="none"/>
          <w:lang w:val="en-US" w:eastAsia="zh-CN"/>
        </w:rPr>
        <w:t xml:space="preserve"> </w:t>
      </w:r>
    </w:p>
    <w:p w14:paraId="406E678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CC6BB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A926F5">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3" w:name="_Toc407261952"/>
      <w:r>
        <w:rPr>
          <w:rFonts w:hint="eastAsia" w:ascii="宋体" w:hAnsi="宋体" w:eastAsia="宋体" w:cs="宋体"/>
          <w:b/>
          <w:bCs/>
          <w:color w:val="auto"/>
          <w:sz w:val="21"/>
          <w:szCs w:val="21"/>
          <w:highlight w:val="none"/>
        </w:rPr>
        <w:t>9. 违约</w:t>
      </w:r>
      <w:bookmarkEnd w:id="153"/>
    </w:p>
    <w:p w14:paraId="32BCAEA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 委托人违约</w:t>
      </w:r>
    </w:p>
    <w:p w14:paraId="7D5FB412">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F31C8C8">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因委托人违约解除合同的，关于已完咨询业务酬金结算和付款的</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3B435B68">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咨询人违约</w:t>
      </w:r>
    </w:p>
    <w:p w14:paraId="4263A369">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关于咨询人违约解除合同的特别约定：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EC648F">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不予支付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DBDCE6">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4" w:name="_Toc407261953"/>
      <w:r>
        <w:rPr>
          <w:rFonts w:hint="eastAsia" w:ascii="宋体" w:hAnsi="宋体" w:eastAsia="宋体" w:cs="宋体"/>
          <w:b/>
          <w:bCs/>
          <w:color w:val="auto"/>
          <w:sz w:val="21"/>
          <w:szCs w:val="21"/>
          <w:highlight w:val="none"/>
        </w:rPr>
        <w:t>10. 争议解决</w:t>
      </w:r>
      <w:bookmarkEnd w:id="154"/>
    </w:p>
    <w:p w14:paraId="046CA7DD">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 仲裁或诉讼</w:t>
      </w:r>
    </w:p>
    <w:p w14:paraId="25B63EEE">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D6FCF01">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滁州    </w:t>
      </w:r>
      <w:r>
        <w:rPr>
          <w:rFonts w:hint="eastAsia" w:ascii="宋体" w:hAnsi="宋体" w:eastAsia="宋体" w:cs="宋体"/>
          <w:color w:val="auto"/>
          <w:kern w:val="0"/>
          <w:sz w:val="21"/>
          <w:szCs w:val="21"/>
          <w:highlight w:val="none"/>
        </w:rPr>
        <w:t>仲裁委员会申请仲裁；</w:t>
      </w:r>
    </w:p>
    <w:p w14:paraId="2B983800">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汉仪大黑简" w:hAnsi="汉仪大黑简" w:eastAsia="汉仪大黑简" w:cs="汉仪大黑简"/>
          <w:b w:val="0"/>
          <w:color w:val="auto"/>
          <w:sz w:val="32"/>
          <w:szCs w:val="32"/>
          <w:highlight w:val="none"/>
          <w:lang w:val="en-US" w:eastAsia="zh-CN"/>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14:paraId="27C99A31">
      <w:pPr>
        <w:rPr>
          <w:color w:val="auto"/>
          <w:highlight w:val="none"/>
        </w:rPr>
      </w:pPr>
      <w:r>
        <w:rPr>
          <w:rFonts w:hint="eastAsia" w:ascii="仿宋_GB2312" w:eastAsia="仿宋_GB2312"/>
          <w:color w:val="auto"/>
          <w:sz w:val="28"/>
          <w:szCs w:val="28"/>
          <w:highlight w:val="none"/>
          <w:u w:val="single"/>
        </w:rPr>
        <w:t xml:space="preserve">       </w:t>
      </w:r>
    </w:p>
    <w:p w14:paraId="70F374FB">
      <w:pPr>
        <w:pStyle w:val="2"/>
        <w:spacing w:before="0" w:after="0"/>
        <w:rPr>
          <w:rFonts w:hint="eastAsia" w:ascii="宋体" w:hAnsi="宋体" w:eastAsia="宋体" w:cs="宋体"/>
          <w:color w:val="auto"/>
          <w:kern w:val="2"/>
          <w:sz w:val="28"/>
          <w:szCs w:val="28"/>
          <w:highlight w:val="none"/>
        </w:rPr>
      </w:pPr>
      <w:bookmarkStart w:id="155" w:name="_Toc31238"/>
      <w:bookmarkStart w:id="156" w:name="_Toc20381"/>
    </w:p>
    <w:p w14:paraId="21A9C726">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br w:type="page"/>
      </w:r>
    </w:p>
    <w:p w14:paraId="756EF269">
      <w:pPr>
        <w:pStyle w:val="2"/>
        <w:spacing w:before="0" w:after="0"/>
        <w:rPr>
          <w:rFonts w:ascii="宋体" w:hAnsi="宋体" w:eastAsia="宋体" w:cs="宋体"/>
          <w:color w:val="auto"/>
          <w:kern w:val="2"/>
          <w:sz w:val="28"/>
          <w:szCs w:val="28"/>
          <w:highlight w:val="none"/>
        </w:rPr>
      </w:pPr>
      <w:bookmarkStart w:id="157" w:name="_Toc20559"/>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六</w:t>
      </w:r>
      <w:r>
        <w:rPr>
          <w:rFonts w:hint="eastAsia" w:ascii="宋体" w:hAnsi="宋体" w:eastAsia="宋体" w:cs="宋体"/>
          <w:color w:val="auto"/>
          <w:kern w:val="2"/>
          <w:sz w:val="28"/>
          <w:szCs w:val="28"/>
          <w:highlight w:val="none"/>
        </w:rPr>
        <w:t>章投标文件格式</w:t>
      </w:r>
      <w:bookmarkEnd w:id="155"/>
      <w:bookmarkEnd w:id="156"/>
      <w:bookmarkEnd w:id="157"/>
    </w:p>
    <w:p w14:paraId="0662B625">
      <w:pPr>
        <w:jc w:val="center"/>
        <w:rPr>
          <w:rFonts w:ascii="宋体" w:hAnsi="宋体" w:cs="宋体"/>
          <w:color w:val="auto"/>
          <w:sz w:val="28"/>
          <w:szCs w:val="28"/>
          <w:highlight w:val="none"/>
          <w:u w:val="single"/>
        </w:rPr>
      </w:pPr>
    </w:p>
    <w:p w14:paraId="70022176">
      <w:pPr>
        <w:pStyle w:val="44"/>
        <w:ind w:firstLine="560"/>
        <w:rPr>
          <w:color w:val="auto"/>
          <w:highlight w:val="none"/>
        </w:rPr>
      </w:pPr>
    </w:p>
    <w:p w14:paraId="4C59D908">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0DE4E9E1">
      <w:pPr>
        <w:jc w:val="center"/>
        <w:rPr>
          <w:rFonts w:eastAsia="黑体"/>
          <w:color w:val="auto"/>
          <w:sz w:val="20"/>
          <w:szCs w:val="20"/>
          <w:highlight w:val="none"/>
        </w:rPr>
      </w:pPr>
    </w:p>
    <w:p w14:paraId="5430EDAC">
      <w:pPr>
        <w:rPr>
          <w:rFonts w:eastAsia="黑体"/>
          <w:color w:val="auto"/>
          <w:sz w:val="20"/>
          <w:szCs w:val="20"/>
          <w:highlight w:val="none"/>
        </w:rPr>
      </w:pPr>
    </w:p>
    <w:p w14:paraId="3AB5AA1E">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一</w:t>
      </w:r>
    </w:p>
    <w:p w14:paraId="4AD1CF20">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资信证明</w:t>
      </w:r>
      <w:r>
        <w:rPr>
          <w:rFonts w:eastAsia="黑体"/>
          <w:color w:val="auto"/>
          <w:sz w:val="44"/>
          <w:szCs w:val="44"/>
          <w:highlight w:val="none"/>
        </w:rPr>
        <w:t>文件）</w:t>
      </w:r>
    </w:p>
    <w:p w14:paraId="768D6A61">
      <w:pPr>
        <w:rPr>
          <w:rFonts w:eastAsia="黑体"/>
          <w:color w:val="auto"/>
          <w:sz w:val="28"/>
          <w:szCs w:val="28"/>
          <w:highlight w:val="none"/>
        </w:rPr>
      </w:pPr>
    </w:p>
    <w:p w14:paraId="640E65F9">
      <w:pPr>
        <w:rPr>
          <w:rFonts w:eastAsia="黑体"/>
          <w:color w:val="auto"/>
          <w:sz w:val="28"/>
          <w:szCs w:val="28"/>
          <w:highlight w:val="none"/>
        </w:rPr>
      </w:pPr>
    </w:p>
    <w:p w14:paraId="23AB266F">
      <w:pPr>
        <w:rPr>
          <w:rFonts w:eastAsia="黑体"/>
          <w:color w:val="auto"/>
          <w:sz w:val="28"/>
          <w:szCs w:val="28"/>
          <w:highlight w:val="none"/>
        </w:rPr>
      </w:pPr>
    </w:p>
    <w:p w14:paraId="0A8D8148">
      <w:pPr>
        <w:rPr>
          <w:rFonts w:eastAsia="黑体"/>
          <w:color w:val="auto"/>
          <w:sz w:val="28"/>
          <w:szCs w:val="28"/>
          <w:highlight w:val="none"/>
        </w:rPr>
      </w:pPr>
    </w:p>
    <w:p w14:paraId="1FF36D7C">
      <w:pPr>
        <w:rPr>
          <w:rFonts w:eastAsia="黑体"/>
          <w:color w:val="auto"/>
          <w:sz w:val="28"/>
          <w:szCs w:val="28"/>
          <w:highlight w:val="none"/>
        </w:rPr>
      </w:pPr>
    </w:p>
    <w:p w14:paraId="25B3D3B7">
      <w:pPr>
        <w:rPr>
          <w:rFonts w:eastAsia="黑体"/>
          <w:color w:val="auto"/>
          <w:sz w:val="28"/>
          <w:szCs w:val="28"/>
          <w:highlight w:val="none"/>
        </w:rPr>
      </w:pPr>
    </w:p>
    <w:p w14:paraId="6569680A">
      <w:pPr>
        <w:rPr>
          <w:rFonts w:eastAsia="黑体"/>
          <w:color w:val="auto"/>
          <w:sz w:val="28"/>
          <w:szCs w:val="28"/>
          <w:highlight w:val="none"/>
        </w:rPr>
      </w:pPr>
    </w:p>
    <w:p w14:paraId="62595126">
      <w:pPr>
        <w:rPr>
          <w:rFonts w:eastAsia="黑体"/>
          <w:color w:val="auto"/>
          <w:sz w:val="28"/>
          <w:szCs w:val="28"/>
          <w:highlight w:val="none"/>
        </w:rPr>
      </w:pPr>
    </w:p>
    <w:p w14:paraId="0B92A694">
      <w:pPr>
        <w:rPr>
          <w:rFonts w:eastAsia="黑体"/>
          <w:color w:val="auto"/>
          <w:sz w:val="28"/>
          <w:szCs w:val="28"/>
          <w:highlight w:val="none"/>
        </w:rPr>
      </w:pPr>
    </w:p>
    <w:p w14:paraId="61989524">
      <w:pPr>
        <w:rPr>
          <w:rFonts w:eastAsia="黑体"/>
          <w:color w:val="auto"/>
          <w:sz w:val="28"/>
          <w:szCs w:val="28"/>
          <w:highlight w:val="none"/>
        </w:rPr>
      </w:pPr>
    </w:p>
    <w:p w14:paraId="032EC3CC">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06E85D36">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5EA5F14F">
      <w:pPr>
        <w:jc w:val="center"/>
        <w:rPr>
          <w:b/>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6655D856">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6D41F3C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14:paraId="17ADEF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（2）诚信投标承诺书（格式见附件）；</w:t>
      </w:r>
    </w:p>
    <w:p w14:paraId="558BB8F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企业营业执照（或三证合一的有效证件）</w:t>
      </w:r>
      <w:r>
        <w:rPr>
          <w:rFonts w:hint="eastAsia" w:ascii="宋体" w:hAnsi="宋体" w:cs="宋体"/>
          <w:color w:val="auto"/>
          <w:szCs w:val="21"/>
          <w:highlight w:val="none"/>
        </w:rPr>
        <w:t>；</w:t>
      </w:r>
    </w:p>
    <w:p w14:paraId="1714501A">
      <w:pPr>
        <w:spacing w:line="440" w:lineRule="exact"/>
        <w:ind w:firstLine="420" w:firstLineChars="200"/>
        <w:jc w:val="left"/>
        <w:rPr>
          <w:rFonts w:hint="eastAsia" w:ascii="宋体" w:hAnsi="宋体" w:cs="宋体"/>
          <w:color w:val="auto"/>
          <w:spacing w:val="-1"/>
          <w:szCs w:val="21"/>
          <w:highlight w:val="none"/>
        </w:rPr>
      </w:pPr>
      <w:r>
        <w:rPr>
          <w:rFonts w:hint="eastAsia" w:ascii="宋体" w:hAnsi="宋体" w:cs="宋体"/>
          <w:color w:val="auto"/>
          <w:szCs w:val="21"/>
          <w:highlight w:val="none"/>
        </w:rPr>
        <w:t>（5）拟派项目负责人有效身份证及资质要求的相关证书</w:t>
      </w:r>
      <w:r>
        <w:rPr>
          <w:rFonts w:hint="eastAsia" w:ascii="宋体" w:hAnsi="宋体" w:cs="宋体"/>
          <w:color w:val="auto"/>
          <w:spacing w:val="-1"/>
          <w:szCs w:val="21"/>
          <w:highlight w:val="none"/>
        </w:rPr>
        <w:t>；</w:t>
      </w:r>
    </w:p>
    <w:p w14:paraId="56D1C7E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）投标人的法定代表人(或委托代理人)和拟任项目负责人须持有社保部门出具的本单位为其缴纳的投标前近</w:t>
      </w:r>
      <w:r>
        <w:rPr>
          <w:rFonts w:hint="eastAsia" w:ascii="宋体" w:hAnsi="宋体" w:cs="宋体"/>
          <w:color w:val="auto"/>
          <w:szCs w:val="21"/>
          <w:highlight w:val="none"/>
          <w:lang w:eastAsia="zh-CN"/>
        </w:rPr>
        <w:t>六个月连续的养老保险证明</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5359EAF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项目组成员注册证书和证明专业的证明材料；</w:t>
      </w:r>
    </w:p>
    <w:p w14:paraId="249AB8BC">
      <w:pPr>
        <w:spacing w:line="440" w:lineRule="exact"/>
        <w:ind w:firstLine="420" w:firstLineChars="200"/>
        <w:jc w:val="left"/>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8）资信评分证明材料；</w:t>
      </w:r>
    </w:p>
    <w:p w14:paraId="4725CD4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投标人认为需要提供的其它证明材料。</w:t>
      </w:r>
    </w:p>
    <w:p w14:paraId="3C0C978D">
      <w:pPr>
        <w:spacing w:line="500" w:lineRule="exact"/>
        <w:jc w:val="left"/>
        <w:rPr>
          <w:rFonts w:ascii="仿宋" w:hAnsi="仿宋" w:eastAsia="仿宋" w:cs="仿宋"/>
          <w:b/>
          <w:color w:val="auto"/>
          <w:sz w:val="28"/>
          <w:szCs w:val="28"/>
          <w:highlight w:val="none"/>
        </w:rPr>
      </w:pPr>
      <w:r>
        <w:rPr>
          <w:rFonts w:hint="eastAsia" w:ascii="宋体" w:hAnsi="宋体" w:eastAsia="仿宋" w:cs="宋体"/>
          <w:b/>
          <w:color w:val="auto"/>
          <w:sz w:val="24"/>
          <w:szCs w:val="24"/>
          <w:highlight w:val="none"/>
          <w:lang w:val="en-US" w:eastAsia="zh-CN"/>
        </w:rPr>
        <w:t xml:space="preserve"> </w:t>
      </w:r>
      <w:r>
        <w:rPr>
          <w:rFonts w:ascii="仿宋" w:hAnsi="仿宋" w:eastAsia="仿宋" w:cs="仿宋"/>
          <w:b/>
          <w:color w:val="auto"/>
          <w:sz w:val="28"/>
          <w:szCs w:val="28"/>
          <w:highlight w:val="none"/>
        </w:rPr>
        <w:br w:type="page"/>
      </w:r>
    </w:p>
    <w:p w14:paraId="6926C501">
      <w:pPr>
        <w:jc w:val="center"/>
        <w:rPr>
          <w:rFonts w:ascii="仿宋" w:hAnsi="仿宋" w:eastAsia="仿宋" w:cs="仿宋"/>
          <w:color w:val="auto"/>
          <w:sz w:val="32"/>
          <w:szCs w:val="32"/>
          <w:highlight w:val="none"/>
        </w:rPr>
      </w:pPr>
      <w:r>
        <w:rPr>
          <w:rFonts w:hint="eastAsia" w:ascii="仿宋" w:hAnsi="仿宋" w:eastAsia="仿宋" w:cs="仿宋"/>
          <w:b/>
          <w:color w:val="auto"/>
          <w:sz w:val="28"/>
          <w:szCs w:val="28"/>
          <w:highlight w:val="none"/>
        </w:rPr>
        <w:t>法定代表人身份证明或授权委托书</w:t>
      </w:r>
    </w:p>
    <w:p w14:paraId="05A0458A">
      <w:pPr>
        <w:pStyle w:val="145"/>
        <w:spacing w:before="318" w:beforeLines="100" w:after="318" w:afterLines="100" w:line="480" w:lineRule="exact"/>
        <w:ind w:firstLine="180" w:firstLineChars="75"/>
        <w:rPr>
          <w:rFonts w:ascii="宋体" w:hAnsi="宋体" w:cs="宋体"/>
          <w:b/>
          <w:color w:val="auto"/>
          <w:sz w:val="24"/>
          <w:szCs w:val="24"/>
          <w:highlight w:val="none"/>
        </w:rPr>
      </w:pPr>
      <w:bookmarkStart w:id="158" w:name="OLE_LINK13"/>
      <w:r>
        <w:rPr>
          <w:rFonts w:hint="eastAsia" w:ascii="宋体" w:hAnsi="宋体" w:cs="宋体"/>
          <w:color w:val="auto"/>
          <w:sz w:val="24"/>
          <w:szCs w:val="24"/>
          <w:highlight w:val="none"/>
        </w:rPr>
        <w:t>1、法定代表人身份证明</w:t>
      </w:r>
    </w:p>
    <w:p w14:paraId="7B65FF2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21FDE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63B850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7FCCF2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F25799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2E4BF4B">
      <w:pPr>
        <w:spacing w:line="480" w:lineRule="exact"/>
        <w:ind w:firstLine="1440" w:firstLineChars="200"/>
        <w:rPr>
          <w:rFonts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_职务：</w:t>
      </w:r>
      <w:r>
        <w:rPr>
          <w:rFonts w:hint="eastAsia" w:ascii="宋体" w:hAnsi="宋体" w:cs="宋体"/>
          <w:color w:val="auto"/>
          <w:sz w:val="24"/>
          <w:highlight w:val="none"/>
          <w:u w:val="single"/>
        </w:rPr>
        <w:t xml:space="preserve">       </w:t>
      </w:r>
    </w:p>
    <w:p w14:paraId="2A0C468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023B426D">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14:paraId="68CB65CE">
      <w:pPr>
        <w:spacing w:line="360" w:lineRule="auto"/>
        <w:ind w:firstLine="3480" w:firstLineChars="145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3FD22E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bookmarkEnd w:id="158"/>
    </w:p>
    <w:p w14:paraId="721491ED">
      <w:pPr>
        <w:pStyle w:val="44"/>
        <w:ind w:firstLine="560"/>
        <w:rPr>
          <w:color w:val="auto"/>
          <w:highlight w:val="none"/>
        </w:rPr>
      </w:pPr>
    </w:p>
    <w:p w14:paraId="550E8EBD">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2、授权委托书</w:t>
      </w:r>
    </w:p>
    <w:p w14:paraId="6C8937F0">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工程的投标活动。代理人在投标、开标、评标、合同谈判过程中所签署的一切文件和处理与之有关的一切事务，我均予以承认。</w:t>
      </w:r>
    </w:p>
    <w:p w14:paraId="7073B2B5">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14:paraId="49EDEDBD">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附：法定代表人及授权委托人有效身份证</w:t>
      </w:r>
    </w:p>
    <w:p w14:paraId="4A9A2767">
      <w:pPr>
        <w:spacing w:line="480" w:lineRule="auto"/>
        <w:ind w:right="2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授权代理人：</w:t>
      </w:r>
      <w:r>
        <w:rPr>
          <w:rFonts w:hint="eastAsia" w:ascii="宋体" w:hAnsi="宋体" w:cs="宋体"/>
          <w:color w:val="auto"/>
          <w:sz w:val="24"/>
          <w:szCs w:val="24"/>
          <w:highlight w:val="none"/>
          <w:u w:val="single"/>
        </w:rPr>
        <w:t xml:space="preserve">   （签字或盖章）</w:t>
      </w:r>
    </w:p>
    <w:p w14:paraId="5BCB154C">
      <w:pPr>
        <w:spacing w:line="480" w:lineRule="auto"/>
        <w:ind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（盖章）</w:t>
      </w:r>
    </w:p>
    <w:p w14:paraId="37EDC989">
      <w:pPr>
        <w:spacing w:line="480" w:lineRule="auto"/>
        <w:ind w:right="20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p>
    <w:p w14:paraId="2FD6BE76">
      <w:pPr>
        <w:spacing w:line="480" w:lineRule="auto"/>
        <w:ind w:right="24" w:firstLine="4560" w:firstLineChars="1900"/>
        <w:rPr>
          <w:rFonts w:ascii="宋体" w:hAnsi="宋体" w:cs="宋体"/>
          <w:b/>
          <w:bCs/>
          <w:color w:val="auto"/>
          <w:kern w:val="0"/>
          <w:sz w:val="30"/>
          <w:szCs w:val="30"/>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年     月     日</w:t>
      </w:r>
    </w:p>
    <w:p w14:paraId="2E9ED9B6">
      <w:pPr>
        <w:rPr>
          <w:b/>
          <w:color w:val="auto"/>
          <w:sz w:val="28"/>
          <w:szCs w:val="28"/>
          <w:highlight w:val="none"/>
        </w:rPr>
      </w:pPr>
      <w:r>
        <w:rPr>
          <w:rFonts w:ascii="仿宋" w:hAnsi="仿宋" w:eastAsia="仿宋" w:cs="仿宋"/>
          <w:b/>
          <w:bCs/>
          <w:color w:val="auto"/>
          <w:kern w:val="0"/>
          <w:sz w:val="30"/>
          <w:szCs w:val="30"/>
          <w:highlight w:val="none"/>
        </w:rPr>
        <w:br w:type="page"/>
      </w:r>
    </w:p>
    <w:p w14:paraId="34387BF1">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7AE88051">
      <w:pPr>
        <w:spacing w:line="360" w:lineRule="auto"/>
        <w:jc w:val="center"/>
        <w:rPr>
          <w:rFonts w:hint="eastAsia"/>
          <w:b/>
          <w:color w:val="auto"/>
          <w:sz w:val="28"/>
          <w:szCs w:val="28"/>
          <w:highlight w:val="none"/>
        </w:rPr>
      </w:pPr>
      <w:r>
        <w:rPr>
          <w:rFonts w:hint="eastAsia"/>
          <w:b/>
          <w:color w:val="auto"/>
          <w:sz w:val="28"/>
          <w:szCs w:val="28"/>
          <w:highlight w:val="none"/>
        </w:rPr>
        <w:t>诚信投标承诺书 </w:t>
      </w:r>
    </w:p>
    <w:p w14:paraId="66BEFEAB">
      <w:pPr>
        <w:spacing w:line="50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4CCE22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7B56209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1896A4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C5033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7CBFEF6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6409498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39D1B98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798FD84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4DB2F55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47ECBE4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9F9A7A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FB074A9">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F0F272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7CBA4E8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255ABC0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投标单位（盖单位章）：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14:paraId="7F253ADC">
      <w:pPr>
        <w:spacing w:line="500" w:lineRule="exact"/>
        <w:ind w:firstLine="420" w:firstLineChars="200"/>
        <w:rPr>
          <w:rFonts w:hint="eastAsia" w:ascii="宋体" w:hAnsi="宋体"/>
          <w:color w:val="auto"/>
          <w:szCs w:val="21"/>
          <w:highlight w:val="none"/>
        </w:rPr>
      </w:pPr>
    </w:p>
    <w:p w14:paraId="7275490B">
      <w:pPr>
        <w:spacing w:line="560" w:lineRule="exact"/>
        <w:jc w:val="right"/>
        <w:rPr>
          <w:rFonts w:hint="eastAsia" w:ascii="宋体" w:hAnsi="宋体"/>
          <w:color w:val="auto"/>
          <w:szCs w:val="21"/>
          <w:highlight w:val="none"/>
        </w:rPr>
      </w:pPr>
    </w:p>
    <w:p w14:paraId="36280A97">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99C278F">
      <w:pPr>
        <w:jc w:val="center"/>
        <w:rPr>
          <w:rFonts w:eastAsia="黑体"/>
          <w:color w:val="auto"/>
          <w:sz w:val="28"/>
          <w:szCs w:val="28"/>
          <w:highlight w:val="none"/>
          <w:u w:val="single"/>
        </w:rPr>
      </w:pPr>
    </w:p>
    <w:p w14:paraId="5EBD66DE">
      <w:pPr>
        <w:pStyle w:val="44"/>
        <w:rPr>
          <w:rFonts w:eastAsia="黑体"/>
          <w:color w:val="auto"/>
          <w:sz w:val="28"/>
          <w:szCs w:val="28"/>
          <w:highlight w:val="none"/>
          <w:u w:val="single"/>
        </w:rPr>
      </w:pPr>
    </w:p>
    <w:p w14:paraId="4D878930">
      <w:pPr>
        <w:rPr>
          <w:rFonts w:eastAsia="黑体"/>
          <w:color w:val="auto"/>
          <w:sz w:val="28"/>
          <w:szCs w:val="28"/>
          <w:highlight w:val="none"/>
          <w:u w:val="single"/>
        </w:rPr>
      </w:pPr>
    </w:p>
    <w:p w14:paraId="5C7C3102">
      <w:pPr>
        <w:pStyle w:val="44"/>
        <w:rPr>
          <w:rFonts w:eastAsia="黑体"/>
          <w:color w:val="auto"/>
          <w:sz w:val="28"/>
          <w:szCs w:val="28"/>
          <w:highlight w:val="none"/>
          <w:u w:val="single"/>
        </w:rPr>
      </w:pPr>
    </w:p>
    <w:p w14:paraId="7A9AB531">
      <w:pPr>
        <w:rPr>
          <w:rFonts w:eastAsia="黑体"/>
          <w:color w:val="auto"/>
          <w:sz w:val="28"/>
          <w:szCs w:val="28"/>
          <w:highlight w:val="none"/>
          <w:u w:val="single"/>
        </w:rPr>
      </w:pPr>
    </w:p>
    <w:p w14:paraId="097592EA">
      <w:pPr>
        <w:pStyle w:val="44"/>
        <w:rPr>
          <w:rFonts w:eastAsia="黑体"/>
          <w:color w:val="auto"/>
          <w:sz w:val="28"/>
          <w:szCs w:val="28"/>
          <w:highlight w:val="none"/>
          <w:u w:val="single"/>
        </w:rPr>
      </w:pPr>
    </w:p>
    <w:p w14:paraId="707BF835">
      <w:pPr>
        <w:rPr>
          <w:rFonts w:eastAsia="黑体"/>
          <w:color w:val="auto"/>
          <w:sz w:val="28"/>
          <w:szCs w:val="28"/>
          <w:highlight w:val="none"/>
          <w:u w:val="single"/>
        </w:rPr>
      </w:pPr>
    </w:p>
    <w:p w14:paraId="31EB9DCD">
      <w:pPr>
        <w:rPr>
          <w:rFonts w:eastAsia="黑体"/>
          <w:color w:val="auto"/>
          <w:sz w:val="28"/>
          <w:szCs w:val="28"/>
          <w:highlight w:val="none"/>
          <w:u w:val="single"/>
        </w:rPr>
      </w:pPr>
      <w:r>
        <w:rPr>
          <w:rFonts w:eastAsia="黑体"/>
          <w:color w:val="auto"/>
          <w:sz w:val="28"/>
          <w:szCs w:val="28"/>
          <w:highlight w:val="none"/>
          <w:u w:val="single"/>
        </w:rPr>
        <w:br w:type="page"/>
      </w:r>
    </w:p>
    <w:p w14:paraId="77C380EC">
      <w:pPr>
        <w:pStyle w:val="44"/>
        <w:rPr>
          <w:color w:val="auto"/>
        </w:rPr>
      </w:pPr>
    </w:p>
    <w:p w14:paraId="4B5880F1">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49863C3A">
      <w:pPr>
        <w:jc w:val="center"/>
        <w:rPr>
          <w:rFonts w:eastAsia="黑体"/>
          <w:color w:val="auto"/>
          <w:sz w:val="20"/>
          <w:szCs w:val="20"/>
          <w:highlight w:val="none"/>
        </w:rPr>
      </w:pPr>
    </w:p>
    <w:p w14:paraId="3285C050">
      <w:pPr>
        <w:rPr>
          <w:rFonts w:eastAsia="黑体"/>
          <w:color w:val="auto"/>
          <w:sz w:val="20"/>
          <w:szCs w:val="20"/>
          <w:highlight w:val="none"/>
        </w:rPr>
      </w:pPr>
    </w:p>
    <w:p w14:paraId="3C878B37">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二</w:t>
      </w:r>
    </w:p>
    <w:p w14:paraId="6DF11700">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商务</w:t>
      </w:r>
      <w:r>
        <w:rPr>
          <w:rFonts w:eastAsia="黑体"/>
          <w:color w:val="auto"/>
          <w:sz w:val="44"/>
          <w:szCs w:val="44"/>
          <w:highlight w:val="none"/>
        </w:rPr>
        <w:t>标文件）</w:t>
      </w:r>
    </w:p>
    <w:p w14:paraId="0DB6DDC7">
      <w:pPr>
        <w:rPr>
          <w:rFonts w:eastAsia="黑体"/>
          <w:color w:val="auto"/>
          <w:sz w:val="28"/>
          <w:szCs w:val="28"/>
          <w:highlight w:val="none"/>
        </w:rPr>
      </w:pPr>
    </w:p>
    <w:p w14:paraId="692BCB2A">
      <w:pPr>
        <w:rPr>
          <w:rFonts w:eastAsia="黑体"/>
          <w:color w:val="auto"/>
          <w:sz w:val="28"/>
          <w:szCs w:val="28"/>
          <w:highlight w:val="none"/>
        </w:rPr>
      </w:pPr>
    </w:p>
    <w:p w14:paraId="339FE39C">
      <w:pPr>
        <w:rPr>
          <w:rFonts w:eastAsia="黑体"/>
          <w:color w:val="auto"/>
          <w:sz w:val="28"/>
          <w:szCs w:val="28"/>
          <w:highlight w:val="none"/>
        </w:rPr>
      </w:pPr>
    </w:p>
    <w:p w14:paraId="650EB756">
      <w:pPr>
        <w:rPr>
          <w:rFonts w:eastAsia="黑体"/>
          <w:color w:val="auto"/>
          <w:sz w:val="28"/>
          <w:szCs w:val="28"/>
          <w:highlight w:val="none"/>
        </w:rPr>
      </w:pPr>
    </w:p>
    <w:p w14:paraId="5E5CA797">
      <w:pPr>
        <w:rPr>
          <w:rFonts w:eastAsia="黑体"/>
          <w:color w:val="auto"/>
          <w:sz w:val="28"/>
          <w:szCs w:val="28"/>
          <w:highlight w:val="none"/>
        </w:rPr>
      </w:pPr>
    </w:p>
    <w:p w14:paraId="43BD7776">
      <w:pPr>
        <w:rPr>
          <w:rFonts w:eastAsia="黑体"/>
          <w:color w:val="auto"/>
          <w:sz w:val="28"/>
          <w:szCs w:val="28"/>
          <w:highlight w:val="none"/>
        </w:rPr>
      </w:pPr>
    </w:p>
    <w:p w14:paraId="0C66EA46">
      <w:pPr>
        <w:rPr>
          <w:rFonts w:eastAsia="黑体"/>
          <w:color w:val="auto"/>
          <w:sz w:val="28"/>
          <w:szCs w:val="28"/>
          <w:highlight w:val="none"/>
        </w:rPr>
      </w:pPr>
    </w:p>
    <w:p w14:paraId="628F9051">
      <w:pPr>
        <w:rPr>
          <w:rFonts w:eastAsia="黑体"/>
          <w:color w:val="auto"/>
          <w:sz w:val="28"/>
          <w:szCs w:val="28"/>
          <w:highlight w:val="none"/>
        </w:rPr>
      </w:pPr>
    </w:p>
    <w:p w14:paraId="71ECF409">
      <w:pPr>
        <w:rPr>
          <w:rFonts w:eastAsia="黑体"/>
          <w:color w:val="auto"/>
          <w:sz w:val="28"/>
          <w:szCs w:val="28"/>
          <w:highlight w:val="none"/>
        </w:rPr>
      </w:pPr>
    </w:p>
    <w:p w14:paraId="389C3BDC">
      <w:pPr>
        <w:rPr>
          <w:rFonts w:eastAsia="黑体"/>
          <w:color w:val="auto"/>
          <w:sz w:val="28"/>
          <w:szCs w:val="28"/>
          <w:highlight w:val="none"/>
        </w:rPr>
      </w:pPr>
    </w:p>
    <w:p w14:paraId="71E14A5B">
      <w:pPr>
        <w:rPr>
          <w:rFonts w:eastAsia="黑体"/>
          <w:color w:val="auto"/>
          <w:sz w:val="28"/>
          <w:szCs w:val="28"/>
          <w:highlight w:val="none"/>
        </w:rPr>
      </w:pPr>
    </w:p>
    <w:p w14:paraId="739B822C">
      <w:pPr>
        <w:rPr>
          <w:rFonts w:eastAsia="黑体"/>
          <w:color w:val="auto"/>
          <w:sz w:val="28"/>
          <w:szCs w:val="28"/>
          <w:highlight w:val="none"/>
        </w:rPr>
      </w:pPr>
    </w:p>
    <w:p w14:paraId="02D05318">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330A1552">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19CA7E89">
      <w:pPr>
        <w:jc w:val="center"/>
        <w:rPr>
          <w:rFonts w:hint="eastAsia" w:eastAsia="黑体"/>
          <w:b/>
          <w:color w:val="auto"/>
          <w:sz w:val="28"/>
          <w:szCs w:val="28"/>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none"/>
          <w:lang w:val="en-US" w:eastAsia="zh-CN"/>
        </w:rPr>
        <w:t>日</w:t>
      </w:r>
    </w:p>
    <w:p w14:paraId="61E7AC25">
      <w:pPr>
        <w:pStyle w:val="33"/>
        <w:ind w:left="420" w:hanging="420"/>
        <w:rPr>
          <w:rFonts w:hint="eastAsia"/>
          <w:color w:val="auto"/>
          <w:szCs w:val="21"/>
          <w:highlight w:val="none"/>
        </w:rPr>
      </w:pPr>
    </w:p>
    <w:p w14:paraId="06515666">
      <w:pPr>
        <w:widowControl/>
        <w:spacing w:line="440" w:lineRule="exact"/>
        <w:ind w:firstLine="420" w:firstLineChars="200"/>
        <w:jc w:val="center"/>
        <w:textAlignment w:val="baseline"/>
        <w:rPr>
          <w:rFonts w:hint="eastAsia" w:ascii="宋体" w:hAnsi="宋体" w:cs="宋体"/>
          <w:color w:val="auto"/>
          <w:kern w:val="0"/>
          <w:szCs w:val="21"/>
          <w:highlight w:val="none"/>
          <w:u w:color="000000"/>
          <w:lang w:val="en-US" w:eastAsia="zh-CN"/>
        </w:rPr>
      </w:pPr>
      <w:r>
        <w:rPr>
          <w:rFonts w:hint="eastAsia" w:ascii="宋体" w:hAnsi="宋体" w:cs="宋体"/>
          <w:color w:val="auto"/>
          <w:kern w:val="0"/>
          <w:szCs w:val="21"/>
          <w:highlight w:val="none"/>
          <w:u w:color="000000"/>
          <w:lang w:val="en-US" w:eastAsia="zh-CN"/>
        </w:rPr>
        <w:t>目  录</w:t>
      </w:r>
    </w:p>
    <w:p w14:paraId="5E76BFA9">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1</w:t>
      </w:r>
      <w:r>
        <w:rPr>
          <w:rFonts w:hint="eastAsia" w:ascii="宋体" w:hAnsi="宋体" w:cs="宋体"/>
          <w:color w:val="auto"/>
          <w:kern w:val="0"/>
          <w:szCs w:val="21"/>
          <w:highlight w:val="none"/>
          <w:u w:color="000000"/>
        </w:rPr>
        <w:t>）投标函（格式见附件）；</w:t>
      </w:r>
    </w:p>
    <w:p w14:paraId="5E1933BD">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2</w:t>
      </w:r>
      <w:r>
        <w:rPr>
          <w:rFonts w:hint="eastAsia" w:ascii="宋体" w:hAnsi="宋体" w:cs="宋体"/>
          <w:color w:val="auto"/>
          <w:kern w:val="0"/>
          <w:szCs w:val="21"/>
          <w:highlight w:val="none"/>
          <w:u w:color="000000"/>
        </w:rPr>
        <w:t>）招标文件要求提供的其他证明材料。</w:t>
      </w:r>
    </w:p>
    <w:p w14:paraId="358D6FB8">
      <w:pPr>
        <w:spacing w:line="360" w:lineRule="auto"/>
        <w:jc w:val="center"/>
        <w:rPr>
          <w:rFonts w:hint="eastAsia"/>
          <w:b/>
          <w:color w:val="auto"/>
          <w:sz w:val="28"/>
          <w:szCs w:val="28"/>
          <w:highlight w:val="none"/>
        </w:rPr>
      </w:pPr>
    </w:p>
    <w:p w14:paraId="66B01078">
      <w:pPr>
        <w:spacing w:line="360" w:lineRule="auto"/>
        <w:jc w:val="center"/>
        <w:rPr>
          <w:rFonts w:hint="eastAsia"/>
          <w:b/>
          <w:color w:val="auto"/>
          <w:sz w:val="28"/>
          <w:szCs w:val="28"/>
          <w:highlight w:val="none"/>
        </w:rPr>
      </w:pPr>
    </w:p>
    <w:p w14:paraId="555E3993">
      <w:pPr>
        <w:spacing w:line="360" w:lineRule="auto"/>
        <w:jc w:val="center"/>
        <w:rPr>
          <w:rFonts w:hint="eastAsia"/>
          <w:b/>
          <w:color w:val="auto"/>
          <w:sz w:val="28"/>
          <w:szCs w:val="28"/>
          <w:highlight w:val="none"/>
        </w:rPr>
      </w:pPr>
    </w:p>
    <w:p w14:paraId="77040E1B">
      <w:pPr>
        <w:spacing w:line="360" w:lineRule="auto"/>
        <w:jc w:val="center"/>
        <w:rPr>
          <w:rFonts w:hint="eastAsia"/>
          <w:b/>
          <w:color w:val="auto"/>
          <w:sz w:val="28"/>
          <w:szCs w:val="28"/>
          <w:highlight w:val="none"/>
        </w:rPr>
      </w:pPr>
    </w:p>
    <w:p w14:paraId="501CE299">
      <w:pPr>
        <w:spacing w:line="360" w:lineRule="auto"/>
        <w:jc w:val="center"/>
        <w:rPr>
          <w:rFonts w:hint="eastAsia"/>
          <w:b/>
          <w:color w:val="auto"/>
          <w:sz w:val="28"/>
          <w:szCs w:val="28"/>
          <w:highlight w:val="none"/>
        </w:rPr>
      </w:pPr>
    </w:p>
    <w:p w14:paraId="6E45C6BE">
      <w:pPr>
        <w:spacing w:line="360" w:lineRule="auto"/>
        <w:jc w:val="center"/>
        <w:rPr>
          <w:rFonts w:hint="eastAsia"/>
          <w:b/>
          <w:color w:val="auto"/>
          <w:sz w:val="28"/>
          <w:szCs w:val="28"/>
          <w:highlight w:val="none"/>
        </w:rPr>
      </w:pPr>
    </w:p>
    <w:p w14:paraId="14EAFF9B">
      <w:pPr>
        <w:spacing w:line="360" w:lineRule="auto"/>
        <w:jc w:val="center"/>
        <w:rPr>
          <w:rFonts w:hint="eastAsia"/>
          <w:b/>
          <w:color w:val="auto"/>
          <w:sz w:val="28"/>
          <w:szCs w:val="28"/>
          <w:highlight w:val="none"/>
        </w:rPr>
      </w:pPr>
    </w:p>
    <w:p w14:paraId="4FD936B5">
      <w:pPr>
        <w:spacing w:line="360" w:lineRule="auto"/>
        <w:jc w:val="center"/>
        <w:rPr>
          <w:rFonts w:hint="eastAsia"/>
          <w:b/>
          <w:color w:val="auto"/>
          <w:sz w:val="28"/>
          <w:szCs w:val="28"/>
          <w:highlight w:val="none"/>
        </w:rPr>
      </w:pPr>
    </w:p>
    <w:p w14:paraId="1CEA75BB">
      <w:pPr>
        <w:spacing w:line="360" w:lineRule="auto"/>
        <w:jc w:val="center"/>
        <w:rPr>
          <w:rFonts w:hint="eastAsia"/>
          <w:b/>
          <w:color w:val="auto"/>
          <w:sz w:val="28"/>
          <w:szCs w:val="28"/>
          <w:highlight w:val="none"/>
        </w:rPr>
      </w:pPr>
    </w:p>
    <w:p w14:paraId="537248A9">
      <w:pPr>
        <w:spacing w:line="360" w:lineRule="auto"/>
        <w:jc w:val="center"/>
        <w:rPr>
          <w:rFonts w:hint="eastAsia"/>
          <w:b/>
          <w:color w:val="auto"/>
          <w:sz w:val="28"/>
          <w:szCs w:val="28"/>
          <w:highlight w:val="none"/>
        </w:rPr>
      </w:pPr>
    </w:p>
    <w:p w14:paraId="3BAEEB53">
      <w:pPr>
        <w:spacing w:line="360" w:lineRule="auto"/>
        <w:jc w:val="center"/>
        <w:rPr>
          <w:rFonts w:hint="eastAsia"/>
          <w:b/>
          <w:color w:val="auto"/>
          <w:sz w:val="28"/>
          <w:szCs w:val="28"/>
          <w:highlight w:val="none"/>
        </w:rPr>
      </w:pPr>
    </w:p>
    <w:p w14:paraId="3FA8424A">
      <w:pPr>
        <w:spacing w:line="360" w:lineRule="auto"/>
        <w:jc w:val="center"/>
        <w:rPr>
          <w:rFonts w:hint="eastAsia"/>
          <w:b/>
          <w:color w:val="auto"/>
          <w:sz w:val="28"/>
          <w:szCs w:val="28"/>
          <w:highlight w:val="none"/>
        </w:rPr>
      </w:pPr>
    </w:p>
    <w:p w14:paraId="64E83105">
      <w:pPr>
        <w:spacing w:line="360" w:lineRule="auto"/>
        <w:jc w:val="center"/>
        <w:rPr>
          <w:rFonts w:hint="eastAsia"/>
          <w:b/>
          <w:color w:val="auto"/>
          <w:sz w:val="28"/>
          <w:szCs w:val="28"/>
          <w:highlight w:val="none"/>
        </w:rPr>
      </w:pPr>
    </w:p>
    <w:p w14:paraId="165F730E">
      <w:pPr>
        <w:spacing w:line="360" w:lineRule="auto"/>
        <w:jc w:val="center"/>
        <w:rPr>
          <w:rFonts w:hint="eastAsia"/>
          <w:b/>
          <w:color w:val="auto"/>
          <w:sz w:val="28"/>
          <w:szCs w:val="28"/>
          <w:highlight w:val="none"/>
        </w:rPr>
      </w:pPr>
    </w:p>
    <w:p w14:paraId="19CA9C83">
      <w:pPr>
        <w:rPr>
          <w:rFonts w:hint="eastAsia"/>
          <w:b/>
          <w:color w:val="auto"/>
          <w:sz w:val="28"/>
          <w:szCs w:val="28"/>
          <w:highlight w:val="none"/>
        </w:rPr>
      </w:pPr>
      <w:r>
        <w:rPr>
          <w:rFonts w:hint="eastAsia"/>
          <w:b/>
          <w:color w:val="auto"/>
          <w:sz w:val="28"/>
          <w:szCs w:val="28"/>
          <w:highlight w:val="none"/>
        </w:rPr>
        <w:br w:type="page"/>
      </w:r>
    </w:p>
    <w:p w14:paraId="6ED02E3E">
      <w:pPr>
        <w:spacing w:line="360" w:lineRule="auto"/>
        <w:jc w:val="center"/>
        <w:rPr>
          <w:b/>
          <w:bCs/>
          <w:color w:val="auto"/>
          <w:sz w:val="36"/>
          <w:highlight w:val="none"/>
        </w:rPr>
      </w:pPr>
      <w:r>
        <w:rPr>
          <w:rFonts w:hint="eastAsia"/>
          <w:b/>
          <w:color w:val="auto"/>
          <w:sz w:val="28"/>
          <w:szCs w:val="28"/>
          <w:highlight w:val="none"/>
        </w:rPr>
        <w:t>投 标 函</w:t>
      </w:r>
    </w:p>
    <w:p w14:paraId="7757377F">
      <w:pPr>
        <w:spacing w:line="360" w:lineRule="auto"/>
        <w:ind w:firstLine="480" w:firstLineChars="200"/>
        <w:rPr>
          <w:color w:val="auto"/>
          <w:sz w:val="24"/>
          <w:highlight w:val="none"/>
        </w:rPr>
      </w:pPr>
    </w:p>
    <w:p w14:paraId="1BA103CA">
      <w:pPr>
        <w:spacing w:line="440" w:lineRule="exac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       </w:t>
      </w:r>
      <w:r>
        <w:rPr>
          <w:rFonts w:hint="eastAsia" w:ascii="宋体"/>
          <w:color w:val="auto"/>
          <w:sz w:val="24"/>
          <w:highlight w:val="none"/>
        </w:rPr>
        <w:t xml:space="preserve"> </w:t>
      </w:r>
    </w:p>
    <w:p w14:paraId="4991656A">
      <w:pPr>
        <w:spacing w:line="440" w:lineRule="exact"/>
        <w:ind w:firstLine="480" w:firstLineChars="200"/>
        <w:rPr>
          <w:rFonts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 xml:space="preserve">”的采购。我方授权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1B9C1F83">
      <w:pPr>
        <w:spacing w:line="440" w:lineRule="exact"/>
        <w:ind w:firstLine="480" w:firstLineChars="200"/>
        <w:rPr>
          <w:rFonts w:hint="eastAsia" w:ascii="宋体"/>
          <w:color w:val="auto"/>
          <w:sz w:val="24"/>
          <w:szCs w:val="24"/>
          <w:highlight w:val="none"/>
          <w:u w:val="none"/>
          <w:lang w:eastAsia="zh-CN"/>
        </w:rPr>
      </w:pPr>
      <w:r>
        <w:rPr>
          <w:rFonts w:hint="eastAsia" w:ascii="宋体"/>
          <w:color w:val="auto"/>
          <w:sz w:val="24"/>
          <w:szCs w:val="24"/>
          <w:highlight w:val="none"/>
        </w:rPr>
        <w:t xml:space="preserve">2.我方愿意按照招标文件规定的各项要求，向招标人提供“ </w:t>
      </w:r>
      <w:r>
        <w:rPr>
          <w:rFonts w:hint="eastAsia" w:ascii="宋体"/>
          <w:color w:val="auto"/>
          <w:sz w:val="24"/>
          <w:szCs w:val="24"/>
          <w:highlight w:val="none"/>
          <w:u w:val="single"/>
        </w:rPr>
        <w:t xml:space="preserve">     </w:t>
      </w:r>
      <w:r>
        <w:rPr>
          <w:rFonts w:hint="eastAsia" w:ascii="宋体"/>
          <w:color w:val="auto"/>
          <w:sz w:val="24"/>
          <w:szCs w:val="24"/>
          <w:highlight w:val="none"/>
        </w:rPr>
        <w:t>（项目编号）”项目的货物与服务，我方报价为</w:t>
      </w:r>
      <w:r>
        <w:rPr>
          <w:rFonts w:hint="eastAsia" w:ascii="宋体"/>
          <w:color w:val="auto"/>
          <w:sz w:val="24"/>
          <w:szCs w:val="24"/>
          <w:highlight w:val="none"/>
          <w:lang w:eastAsia="zh-CN"/>
        </w:rPr>
        <w:t>：（1）玄武岩新型建材一期年产300万吨玄武岩建筑骨料和100万吨机制砂项目的基本费用</w:t>
      </w:r>
      <w:r>
        <w:rPr>
          <w:rFonts w:hint="eastAsia" w:ascii="宋体"/>
          <w:color w:val="auto"/>
          <w:sz w:val="24"/>
          <w:szCs w:val="24"/>
          <w:highlight w:val="none"/>
          <w:u w:val="single"/>
          <w:lang w:eastAsia="zh-CN"/>
        </w:rPr>
        <w:t xml:space="preserve">    </w:t>
      </w:r>
      <w:r>
        <w:rPr>
          <w:rFonts w:hint="eastAsia" w:ascii="宋体"/>
          <w:color w:val="auto"/>
          <w:sz w:val="24"/>
          <w:szCs w:val="24"/>
          <w:highlight w:val="none"/>
          <w:lang w:eastAsia="zh-CN"/>
        </w:rPr>
        <w:t>元，审核成果费率2%。</w:t>
      </w:r>
      <w:r>
        <w:rPr>
          <w:rFonts w:hint="eastAsia" w:ascii="宋体"/>
          <w:color w:val="auto"/>
          <w:sz w:val="24"/>
          <w:szCs w:val="24"/>
          <w:highlight w:val="none"/>
          <w:lang w:val="en-US" w:eastAsia="zh-CN"/>
        </w:rPr>
        <w:t>服务周期：</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lang w:val="en-US" w:eastAsia="zh-CN"/>
        </w:rPr>
        <w:t>日历天。</w:t>
      </w:r>
      <w:r>
        <w:rPr>
          <w:rFonts w:hint="eastAsia" w:ascii="宋体"/>
          <w:color w:val="auto"/>
          <w:sz w:val="24"/>
          <w:szCs w:val="24"/>
          <w:highlight w:val="none"/>
          <w:lang w:eastAsia="zh-CN"/>
        </w:rPr>
        <w:t>（2）磐谷高科凹凸棒初加工1号线延伸改造、2号3号线新建项目的基本费用</w:t>
      </w:r>
      <w:r>
        <w:rPr>
          <w:rFonts w:hint="eastAsia" w:ascii="宋体"/>
          <w:color w:val="auto"/>
          <w:sz w:val="24"/>
          <w:szCs w:val="24"/>
          <w:highlight w:val="none"/>
          <w:u w:val="single"/>
          <w:lang w:eastAsia="zh-CN"/>
        </w:rPr>
        <w:t xml:space="preserve">    </w:t>
      </w:r>
      <w:r>
        <w:rPr>
          <w:rFonts w:hint="eastAsia" w:ascii="宋体"/>
          <w:color w:val="auto"/>
          <w:sz w:val="24"/>
          <w:szCs w:val="24"/>
          <w:highlight w:val="none"/>
          <w:lang w:eastAsia="zh-CN"/>
        </w:rPr>
        <w:t>元，审核成果费率2%。，</w:t>
      </w:r>
      <w:r>
        <w:rPr>
          <w:rFonts w:hint="eastAsia" w:ascii="宋体"/>
          <w:color w:val="auto"/>
          <w:sz w:val="24"/>
          <w:szCs w:val="24"/>
          <w:highlight w:val="none"/>
          <w:lang w:val="en-US" w:eastAsia="zh-CN"/>
        </w:rPr>
        <w:t>服务周期：</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lang w:val="en-US" w:eastAsia="zh-CN"/>
        </w:rPr>
        <w:t>日历天。</w:t>
      </w:r>
      <w:r>
        <w:rPr>
          <w:rFonts w:hint="eastAsia" w:ascii="宋体"/>
          <w:color w:val="auto"/>
          <w:sz w:val="24"/>
          <w:szCs w:val="24"/>
          <w:highlight w:val="none"/>
        </w:rPr>
        <w:t>项目负责人为</w:t>
      </w:r>
      <w:r>
        <w:rPr>
          <w:rFonts w:hint="eastAsia" w:ascii="宋体"/>
          <w:color w:val="auto"/>
          <w:sz w:val="24"/>
          <w:szCs w:val="24"/>
          <w:highlight w:val="none"/>
          <w:u w:val="single"/>
        </w:rPr>
        <w:t xml:space="preserve">       </w:t>
      </w:r>
      <w:r>
        <w:rPr>
          <w:rFonts w:hint="eastAsia" w:ascii="宋体"/>
          <w:color w:val="auto"/>
          <w:sz w:val="24"/>
          <w:szCs w:val="24"/>
          <w:highlight w:val="none"/>
          <w:u w:val="none"/>
          <w:lang w:eastAsia="zh-CN"/>
        </w:rPr>
        <w:t>。</w:t>
      </w:r>
    </w:p>
    <w:p w14:paraId="0F4E1808">
      <w:pPr>
        <w:spacing w:line="440" w:lineRule="exact"/>
        <w:ind w:firstLine="480" w:firstLineChars="200"/>
        <w:rPr>
          <w:color w:val="auto"/>
          <w:highlight w:val="none"/>
        </w:rPr>
      </w:pPr>
      <w:bookmarkStart w:id="162" w:name="_GoBack"/>
      <w:bookmarkEnd w:id="162"/>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日历天（从投标截止之日算起）。</w:t>
      </w:r>
    </w:p>
    <w:p w14:paraId="5B3EF847">
      <w:pPr>
        <w:spacing w:line="400" w:lineRule="exact"/>
        <w:ind w:firstLine="480" w:firstLineChars="200"/>
        <w:rPr>
          <w:rFonts w:ascii="宋体"/>
          <w:color w:val="auto"/>
          <w:sz w:val="24"/>
          <w:highlight w:val="none"/>
        </w:rPr>
      </w:pPr>
      <w:r>
        <w:rPr>
          <w:rFonts w:hint="eastAsia" w:ascii="宋体"/>
          <w:color w:val="auto"/>
          <w:sz w:val="24"/>
          <w:highlight w:val="none"/>
        </w:rPr>
        <w:t>4.一旦我方成为合同签字人，我方将严格履行合同规定的责任和义务。</w:t>
      </w:r>
    </w:p>
    <w:p w14:paraId="5EFD9761">
      <w:pPr>
        <w:spacing w:line="400" w:lineRule="exact"/>
        <w:ind w:firstLine="480" w:firstLineChars="200"/>
        <w:rPr>
          <w:rFonts w:ascii="宋体"/>
          <w:color w:val="auto"/>
          <w:sz w:val="24"/>
          <w:highlight w:val="none"/>
        </w:rPr>
      </w:pPr>
      <w:r>
        <w:rPr>
          <w:rFonts w:hint="eastAsia" w:ascii="宋体"/>
          <w:color w:val="auto"/>
          <w:sz w:val="24"/>
          <w:highlight w:val="none"/>
        </w:rPr>
        <w:t>5.我方同意按照招标文件的要求，递交金额为人民币</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w:t>
      </w:r>
      <w:r>
        <w:rPr>
          <w:rFonts w:hint="eastAsia" w:ascii="宋体"/>
          <w:color w:val="auto"/>
          <w:sz w:val="24"/>
          <w:highlight w:val="none"/>
          <w:u w:val="single"/>
        </w:rPr>
        <w:t xml:space="preserve"> </w:t>
      </w:r>
      <w:r>
        <w:rPr>
          <w:rFonts w:hint="eastAsia" w:ascii="宋体"/>
          <w:color w:val="auto"/>
          <w:sz w:val="24"/>
          <w:highlight w:val="none"/>
        </w:rPr>
        <w:t xml:space="preserve">（大写）的投标保证金。并且承诺，在投标有效期内如果我方撤回投标文件或成为合同签字人后拒绝签订合同，我方将放弃要求退还该保证金的权力。 </w:t>
      </w:r>
    </w:p>
    <w:p w14:paraId="0D91AA39">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645968D9">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54BD0F9D">
      <w:pPr>
        <w:ind w:right="-178" w:rightChars="-85" w:firstLine="2520" w:firstLineChars="1050"/>
        <w:rPr>
          <w:rFonts w:ascii="宋体"/>
          <w:color w:val="auto"/>
          <w:sz w:val="24"/>
          <w:highlight w:val="none"/>
          <w:u w:val="single"/>
        </w:rPr>
      </w:pPr>
      <w:r>
        <w:rPr>
          <w:rFonts w:hint="eastAsia" w:ascii="宋体"/>
          <w:color w:val="auto"/>
          <w:sz w:val="24"/>
          <w:highlight w:val="none"/>
        </w:rPr>
        <w:t xml:space="preserve">           </w:t>
      </w:r>
    </w:p>
    <w:p w14:paraId="440C1B3F">
      <w:pPr>
        <w:spacing w:line="400" w:lineRule="exact"/>
        <w:ind w:firstLine="2520" w:firstLineChars="1200"/>
        <w:rPr>
          <w:rFonts w:ascii="宋体"/>
          <w:color w:val="auto"/>
          <w:highlight w:val="none"/>
        </w:rPr>
      </w:pPr>
    </w:p>
    <w:p w14:paraId="0D280169">
      <w:pPr>
        <w:pStyle w:val="44"/>
        <w:ind w:firstLine="560"/>
        <w:rPr>
          <w:rFonts w:ascii="宋体"/>
          <w:color w:val="auto"/>
          <w:szCs w:val="21"/>
          <w:highlight w:val="none"/>
        </w:rPr>
      </w:pPr>
      <w:r>
        <w:rPr>
          <w:rFonts w:hint="eastAsia" w:ascii="宋体"/>
          <w:color w:val="auto"/>
          <w:szCs w:val="21"/>
          <w:highlight w:val="none"/>
        </w:rPr>
        <w:t xml:space="preserve">  </w:t>
      </w:r>
    </w:p>
    <w:p w14:paraId="1DB58B6A">
      <w:pPr>
        <w:rPr>
          <w:color w:val="auto"/>
          <w:highlight w:val="none"/>
        </w:rPr>
      </w:pPr>
    </w:p>
    <w:p w14:paraId="1E85E464">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投标单位：</w:t>
      </w:r>
      <w:r>
        <w:rPr>
          <w:rFonts w:ascii="宋体" w:hAnsi="宋体"/>
          <w:color w:val="auto"/>
          <w:sz w:val="24"/>
          <w:szCs w:val="24"/>
          <w:highlight w:val="none"/>
          <w:u w:val="single"/>
        </w:rPr>
        <w:t xml:space="preserve">                              </w:t>
      </w:r>
      <w:r>
        <w:rPr>
          <w:rFonts w:hint="eastAsia"/>
          <w:color w:val="auto"/>
          <w:sz w:val="24"/>
          <w:szCs w:val="24"/>
          <w:highlight w:val="none"/>
          <w:u w:val="single"/>
        </w:rPr>
        <w:t>（盖章）</w:t>
      </w:r>
    </w:p>
    <w:p w14:paraId="7C778B7F">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（签字或盖章）</w:t>
      </w:r>
    </w:p>
    <w:p w14:paraId="0D4C08A2">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单位地址：</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153B5D2">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邮政编码：</w:t>
      </w:r>
      <w:r>
        <w:rPr>
          <w:rFonts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rPr>
        <w:t>传真：</w:t>
      </w:r>
      <w:r>
        <w:rPr>
          <w:rFonts w:ascii="宋体" w:hAnsi="宋体"/>
          <w:color w:val="auto"/>
          <w:sz w:val="24"/>
          <w:szCs w:val="24"/>
          <w:highlight w:val="none"/>
          <w:u w:val="single"/>
        </w:rPr>
        <w:t xml:space="preserve">               </w:t>
      </w:r>
    </w:p>
    <w:p w14:paraId="0A81EA51">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4B859FA">
      <w:pPr>
        <w:rPr>
          <w:rFonts w:ascii="仿宋" w:hAnsi="仿宋" w:eastAsia="仿宋" w:cs="仿宋"/>
          <w:b/>
          <w:bCs/>
          <w:color w:val="auto"/>
          <w:kern w:val="0"/>
          <w:sz w:val="30"/>
          <w:szCs w:val="30"/>
          <w:highlight w:val="none"/>
        </w:rPr>
      </w:pPr>
      <w:r>
        <w:rPr>
          <w:rFonts w:ascii="仿宋" w:hAnsi="仿宋" w:eastAsia="仿宋" w:cs="仿宋"/>
          <w:b/>
          <w:bCs/>
          <w:color w:val="auto"/>
          <w:kern w:val="0"/>
          <w:sz w:val="30"/>
          <w:szCs w:val="30"/>
          <w:highlight w:val="none"/>
        </w:rPr>
        <w:br w:type="page"/>
      </w:r>
    </w:p>
    <w:p w14:paraId="590AD511">
      <w:pPr>
        <w:pStyle w:val="2"/>
        <w:spacing w:before="0" w:after="0"/>
        <w:rPr>
          <w:rFonts w:ascii="宋体" w:hAnsi="宋体" w:eastAsia="宋体" w:cs="宋体"/>
          <w:color w:val="auto"/>
          <w:kern w:val="2"/>
          <w:sz w:val="28"/>
          <w:szCs w:val="28"/>
          <w:highlight w:val="none"/>
        </w:rPr>
      </w:pPr>
      <w:bookmarkStart w:id="159" w:name="_Toc23863"/>
      <w:bookmarkStart w:id="160" w:name="_Toc6092"/>
      <w:bookmarkStart w:id="161" w:name="_Toc25509"/>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七</w:t>
      </w:r>
      <w:r>
        <w:rPr>
          <w:rFonts w:hint="eastAsia" w:ascii="宋体" w:hAnsi="宋体" w:eastAsia="宋体" w:cs="宋体"/>
          <w:color w:val="auto"/>
          <w:kern w:val="2"/>
          <w:sz w:val="28"/>
          <w:szCs w:val="28"/>
          <w:highlight w:val="none"/>
        </w:rPr>
        <w:t>章招标单位、招标代理机构对本招标文件的确认</w:t>
      </w:r>
      <w:bookmarkEnd w:id="159"/>
      <w:bookmarkEnd w:id="160"/>
      <w:bookmarkEnd w:id="161"/>
    </w:p>
    <w:tbl>
      <w:tblPr>
        <w:tblStyle w:val="4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376A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21A551B7">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7A5CBD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default"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rPr>
              <w:t>玄武岩新型建材一期年产300万吨玄武岩建筑骨料和100万吨机制砂项目，磐谷高科凹凸棒初加工1号线延伸改造、2号3号线新建项目结算复审服务招标</w:t>
            </w:r>
            <w:r>
              <w:rPr>
                <w:rFonts w:hint="eastAsia" w:ascii="宋体" w:hAnsi="宋体" w:cs="宋体"/>
                <w:color w:val="auto"/>
                <w:sz w:val="28"/>
                <w:szCs w:val="28"/>
                <w:highlight w:val="none"/>
              </w:rPr>
              <w:t>的招标文件进行确认。</w:t>
            </w:r>
          </w:p>
          <w:p w14:paraId="00D19814">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27A61A2D">
            <w:pPr>
              <w:keepNext w:val="0"/>
              <w:keepLines w:val="0"/>
              <w:suppressLineNumbers w:val="0"/>
              <w:spacing w:before="0" w:beforeAutospacing="0" w:after="0" w:afterAutospacing="0" w:line="480" w:lineRule="auto"/>
              <w:ind w:left="0" w:right="0" w:firstLine="280" w:firstLineChars="100"/>
              <w:rPr>
                <w:rFonts w:hint="eastAsia" w:ascii="宋体" w:hAnsi="宋体" w:eastAsia="宋体" w:cs="宋体"/>
                <w:color w:val="auto"/>
                <w:sz w:val="30"/>
                <w:szCs w:val="30"/>
                <w:highlight w:val="none"/>
                <w:lang w:eastAsia="zh-CN"/>
              </w:rPr>
            </w:pPr>
            <w:r>
              <w:rPr>
                <w:rFonts w:hint="eastAsia" w:ascii="宋体" w:hAnsi="宋体" w:cs="宋体"/>
                <w:color w:val="auto"/>
                <w:sz w:val="28"/>
                <w:szCs w:val="28"/>
                <w:highlight w:val="none"/>
              </w:rPr>
              <w:t xml:space="preserve">招标人： 滁州市兴滁矿业投资集团有限公司  </w:t>
            </w:r>
          </w:p>
          <w:p w14:paraId="579900EF">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联系人：陈倩倩</w:t>
            </w:r>
            <w:r>
              <w:rPr>
                <w:rFonts w:hint="eastAsia" w:ascii="宋体" w:hAnsi="宋体" w:cs="宋体"/>
                <w:color w:val="auto"/>
                <w:sz w:val="28"/>
                <w:szCs w:val="28"/>
                <w:highlight w:val="none"/>
                <w:lang w:val="en-US" w:eastAsia="zh-CN"/>
              </w:rPr>
              <w:t xml:space="preserve"> </w:t>
            </w:r>
          </w:p>
          <w:p w14:paraId="37B3EA27">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b/>
                <w:bCs/>
                <w:color w:val="auto"/>
                <w:sz w:val="28"/>
                <w:szCs w:val="28"/>
                <w:highlight w:val="none"/>
                <w:lang w:eastAsia="zh-CN"/>
              </w:rPr>
            </w:pPr>
            <w:r>
              <w:rPr>
                <w:rFonts w:hint="eastAsia" w:ascii="宋体" w:hAnsi="宋体" w:cs="宋体"/>
                <w:color w:val="auto"/>
                <w:sz w:val="28"/>
                <w:szCs w:val="28"/>
                <w:highlight w:val="none"/>
              </w:rPr>
              <w:t>联系电话：18726618862</w:t>
            </w:r>
            <w:r>
              <w:rPr>
                <w:rFonts w:hint="eastAsia" w:ascii="宋体" w:hAnsi="宋体" w:cs="宋体"/>
                <w:color w:val="auto"/>
                <w:sz w:val="28"/>
                <w:szCs w:val="28"/>
                <w:highlight w:val="none"/>
                <w:lang w:val="en-US" w:eastAsia="zh-CN"/>
              </w:rPr>
              <w:t xml:space="preserve"> </w:t>
            </w:r>
          </w:p>
          <w:p w14:paraId="2BF3885E">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2E3B0EB0">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14:paraId="6F93CFBA">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4021B33C">
            <w:pPr>
              <w:keepNext w:val="0"/>
              <w:keepLines w:val="0"/>
              <w:suppressLineNumbers w:val="0"/>
              <w:spacing w:before="0" w:beforeAutospacing="0" w:after="0" w:afterAutospacing="0"/>
              <w:ind w:left="0" w:right="0" w:firstLine="5320" w:firstLineChars="19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 xml:space="preserve">           20</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13日</w:t>
            </w:r>
          </w:p>
        </w:tc>
      </w:tr>
      <w:tr w14:paraId="12AB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3D76CA62">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1B53DC35">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p>
          <w:p w14:paraId="5D21275D">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田甜</w:t>
            </w:r>
          </w:p>
          <w:p w14:paraId="0FD55F67">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15955005370</w:t>
            </w:r>
          </w:p>
          <w:p w14:paraId="03DB1B3A">
            <w:pPr>
              <w:keepNext w:val="0"/>
              <w:keepLines w:val="0"/>
              <w:suppressLineNumbers w:val="0"/>
              <w:spacing w:before="0" w:beforeAutospacing="0" w:after="0" w:afterAutospacing="0"/>
              <w:ind w:left="0" w:right="0"/>
              <w:rPr>
                <w:rFonts w:hint="default" w:ascii="宋体" w:hAnsi="宋体" w:cs="宋体"/>
                <w:color w:val="auto"/>
                <w:sz w:val="28"/>
                <w:szCs w:val="28"/>
                <w:highlight w:val="none"/>
              </w:rPr>
            </w:pPr>
          </w:p>
          <w:p w14:paraId="744CB163">
            <w:pPr>
              <w:keepNext w:val="0"/>
              <w:keepLines w:val="0"/>
              <w:suppressLineNumbers w:val="0"/>
              <w:spacing w:before="0" w:beforeAutospacing="0" w:after="0" w:afterAutospacing="0"/>
              <w:ind w:left="0" w:right="0" w:firstLine="5320" w:firstLineChars="19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3E9472CB">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14:paraId="6890FFEF">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243EC65">
            <w:pPr>
              <w:keepNext w:val="0"/>
              <w:keepLines w:val="0"/>
              <w:suppressLineNumbers w:val="0"/>
              <w:spacing w:before="0" w:beforeAutospacing="0" w:after="0" w:afterAutospacing="0"/>
              <w:ind w:left="0" w:right="0" w:firstLine="4900" w:firstLineChars="175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13日</w:t>
            </w:r>
          </w:p>
        </w:tc>
      </w:tr>
    </w:tbl>
    <w:p w14:paraId="0C08E720">
      <w:pPr>
        <w:pStyle w:val="16"/>
        <w:jc w:val="left"/>
        <w:rPr>
          <w:rFonts w:ascii="仿宋" w:hAnsi="仿宋" w:eastAsia="仿宋" w:cs="仿宋"/>
          <w:color w:val="auto"/>
          <w:kern w:val="0"/>
          <w:sz w:val="24"/>
          <w:szCs w:val="24"/>
          <w:highlight w:val="none"/>
        </w:rPr>
      </w:pPr>
    </w:p>
    <w:sectPr>
      <w:footerReference r:id="rId11"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汉仪大黑简">
    <w:altName w:val="黑体"/>
    <w:panose1 w:val="02010600000001010101"/>
    <w:charset w:val="86"/>
    <w:family w:val="auto"/>
    <w:pitch w:val="default"/>
    <w:sig w:usb0="00000000" w:usb1="00000000" w:usb2="00000002"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7A"/>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6BF7">
    <w:pPr>
      <w:pStyle w:val="28"/>
      <w:rPr>
        <w:rStyle w:val="49"/>
      </w:rPr>
    </w:pPr>
  </w:p>
  <w:p w14:paraId="61575B88">
    <w:pPr>
      <w:pStyle w:val="28"/>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409EAAE"/>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409EAAE"/>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4598">
    <w:pPr>
      <w:pStyle w:val="28"/>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7B07">
    <w:pPr>
      <w:pStyle w:val="28"/>
      <w:rPr>
        <w:rStyle w:val="49"/>
      </w:rPr>
    </w:pPr>
  </w:p>
  <w:p w14:paraId="066BE4D8">
    <w:pPr>
      <w:pStyle w:val="28"/>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0F9E4D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20F9E4D1"/>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5400C">
    <w:pPr>
      <w:pStyle w:val="28"/>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6008CE">
                          <w:pPr>
                            <w:pStyle w:val="28"/>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026008CE">
                    <w:pPr>
                      <w:pStyle w:val="28"/>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F1DA">
    <w:pPr>
      <w:pStyle w:val="28"/>
      <w:tabs>
        <w:tab w:val="clear" w:pos="4153"/>
        <w:tab w:val="clear" w:pos="8306"/>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BAA5E">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BBAA5E">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C0F6">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8D987">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38D98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F90E">
    <w:pPr>
      <w:pStyle w:val="28"/>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70A64">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270A64">
                    <w:pPr>
                      <w:pStyle w:val="28"/>
                    </w:pPr>
                    <w:r>
                      <w:fldChar w:fldCharType="begin"/>
                    </w:r>
                    <w:r>
                      <w:instrText xml:space="preserve"> PAGE  \* MERGEFORMAT </w:instrText>
                    </w:r>
                    <w:r>
                      <w:fldChar w:fldCharType="separate"/>
                    </w:r>
                    <w:r>
                      <w:t>31</w:t>
                    </w:r>
                    <w:r>
                      <w:fldChar w:fldCharType="end"/>
                    </w:r>
                  </w:p>
                </w:txbxContent>
              </v:textbox>
            </v:shape>
          </w:pict>
        </mc:Fallback>
      </mc:AlternateContent>
    </w:r>
  </w:p>
  <w:p w14:paraId="59D9D42D">
    <w:pPr>
      <w:pStyle w:val="28"/>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5CDD227"/>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5CDD22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FAD2">
    <w:pPr>
      <w:pStyle w:val="29"/>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94B6">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99AB"/>
    <w:multiLevelType w:val="singleLevel"/>
    <w:tmpl w:val="CF2F99AB"/>
    <w:lvl w:ilvl="0" w:tentative="0">
      <w:start w:val="2"/>
      <w:numFmt w:val="chineseCounting"/>
      <w:suff w:val="space"/>
      <w:lvlText w:val="第%1部分"/>
      <w:lvlJc w:val="left"/>
      <w:rPr>
        <w:rFonts w:hint="eastAsia"/>
      </w:rPr>
    </w:lvl>
  </w:abstractNum>
  <w:abstractNum w:abstractNumId="1">
    <w:nsid w:val="63AFFB15"/>
    <w:multiLevelType w:val="singleLevel"/>
    <w:tmpl w:val="63AFFB1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7DEA"/>
    <w:rsid w:val="000407AC"/>
    <w:rsid w:val="00040A78"/>
    <w:rsid w:val="00057816"/>
    <w:rsid w:val="000B6281"/>
    <w:rsid w:val="000E13AD"/>
    <w:rsid w:val="00131FFF"/>
    <w:rsid w:val="00135312"/>
    <w:rsid w:val="00144E2C"/>
    <w:rsid w:val="001643AB"/>
    <w:rsid w:val="0016450D"/>
    <w:rsid w:val="00182F47"/>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54075"/>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B1E23"/>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C2619"/>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842E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675739"/>
    <w:rsid w:val="01993D60"/>
    <w:rsid w:val="01B12E58"/>
    <w:rsid w:val="01CC1A40"/>
    <w:rsid w:val="01D152A8"/>
    <w:rsid w:val="01E943A0"/>
    <w:rsid w:val="0200793B"/>
    <w:rsid w:val="02451D44"/>
    <w:rsid w:val="024737BC"/>
    <w:rsid w:val="02494B2C"/>
    <w:rsid w:val="024B215D"/>
    <w:rsid w:val="028364F8"/>
    <w:rsid w:val="0284231A"/>
    <w:rsid w:val="02860CE1"/>
    <w:rsid w:val="02966A1D"/>
    <w:rsid w:val="02A06DF6"/>
    <w:rsid w:val="02AB5AF9"/>
    <w:rsid w:val="02F56D74"/>
    <w:rsid w:val="0328714A"/>
    <w:rsid w:val="03311B51"/>
    <w:rsid w:val="034073BB"/>
    <w:rsid w:val="035607B0"/>
    <w:rsid w:val="035A0B08"/>
    <w:rsid w:val="03DD3435"/>
    <w:rsid w:val="042D2167"/>
    <w:rsid w:val="04880F3B"/>
    <w:rsid w:val="04921CCE"/>
    <w:rsid w:val="04BB1052"/>
    <w:rsid w:val="04CF29CE"/>
    <w:rsid w:val="04D53301"/>
    <w:rsid w:val="052F2A11"/>
    <w:rsid w:val="056F1060"/>
    <w:rsid w:val="05943D22"/>
    <w:rsid w:val="059B00A7"/>
    <w:rsid w:val="059F141A"/>
    <w:rsid w:val="05B44CC5"/>
    <w:rsid w:val="05B747B5"/>
    <w:rsid w:val="05C3315A"/>
    <w:rsid w:val="05E57574"/>
    <w:rsid w:val="06176B26"/>
    <w:rsid w:val="06336531"/>
    <w:rsid w:val="06421DF6"/>
    <w:rsid w:val="065021C6"/>
    <w:rsid w:val="068C79F0"/>
    <w:rsid w:val="06950CBD"/>
    <w:rsid w:val="069D39AB"/>
    <w:rsid w:val="06AB256C"/>
    <w:rsid w:val="07023E8A"/>
    <w:rsid w:val="07025289"/>
    <w:rsid w:val="07041C7C"/>
    <w:rsid w:val="07391925"/>
    <w:rsid w:val="073F34F8"/>
    <w:rsid w:val="077706A0"/>
    <w:rsid w:val="0781151E"/>
    <w:rsid w:val="07A959F9"/>
    <w:rsid w:val="07B90CB8"/>
    <w:rsid w:val="07CB0304"/>
    <w:rsid w:val="07CB0EB6"/>
    <w:rsid w:val="08017F69"/>
    <w:rsid w:val="08091979"/>
    <w:rsid w:val="089F49DA"/>
    <w:rsid w:val="08D613F6"/>
    <w:rsid w:val="08EE1782"/>
    <w:rsid w:val="094625ED"/>
    <w:rsid w:val="098C0FAE"/>
    <w:rsid w:val="09A34B6E"/>
    <w:rsid w:val="09AF2373"/>
    <w:rsid w:val="09DE0E66"/>
    <w:rsid w:val="0A1370D9"/>
    <w:rsid w:val="0A426E3F"/>
    <w:rsid w:val="0A783487"/>
    <w:rsid w:val="0A7A70EE"/>
    <w:rsid w:val="0A821835"/>
    <w:rsid w:val="0A8A693C"/>
    <w:rsid w:val="0A920A74"/>
    <w:rsid w:val="0B3568A8"/>
    <w:rsid w:val="0B3B4932"/>
    <w:rsid w:val="0B594C9F"/>
    <w:rsid w:val="0B5C7C37"/>
    <w:rsid w:val="0B8A5AE2"/>
    <w:rsid w:val="0BD70F17"/>
    <w:rsid w:val="0BF64289"/>
    <w:rsid w:val="0C0134F9"/>
    <w:rsid w:val="0C0D4C1D"/>
    <w:rsid w:val="0C4D19CF"/>
    <w:rsid w:val="0C5E2909"/>
    <w:rsid w:val="0C632FA1"/>
    <w:rsid w:val="0C8D626F"/>
    <w:rsid w:val="0C99751F"/>
    <w:rsid w:val="0CC31C91"/>
    <w:rsid w:val="0CDE4AF1"/>
    <w:rsid w:val="0D2F7233"/>
    <w:rsid w:val="0D31264B"/>
    <w:rsid w:val="0D503DE8"/>
    <w:rsid w:val="0D536036"/>
    <w:rsid w:val="0D5E4FBA"/>
    <w:rsid w:val="0DB0649C"/>
    <w:rsid w:val="0DD07FAF"/>
    <w:rsid w:val="0E0F340D"/>
    <w:rsid w:val="0E4B23A3"/>
    <w:rsid w:val="0E625C06"/>
    <w:rsid w:val="0E631DF4"/>
    <w:rsid w:val="0E6D2AA6"/>
    <w:rsid w:val="0E832759"/>
    <w:rsid w:val="0EFB63D6"/>
    <w:rsid w:val="0F094152"/>
    <w:rsid w:val="0F260D83"/>
    <w:rsid w:val="0F3872E6"/>
    <w:rsid w:val="0F3D21CF"/>
    <w:rsid w:val="0F74337A"/>
    <w:rsid w:val="0F784FB5"/>
    <w:rsid w:val="101C1DE4"/>
    <w:rsid w:val="106F1985"/>
    <w:rsid w:val="107B2FAF"/>
    <w:rsid w:val="10846B65"/>
    <w:rsid w:val="111C1443"/>
    <w:rsid w:val="11366ED6"/>
    <w:rsid w:val="11F12584"/>
    <w:rsid w:val="11F272A1"/>
    <w:rsid w:val="11FC0C31"/>
    <w:rsid w:val="12021072"/>
    <w:rsid w:val="12543983"/>
    <w:rsid w:val="126006AE"/>
    <w:rsid w:val="12A948F2"/>
    <w:rsid w:val="12B665CC"/>
    <w:rsid w:val="12C33AC5"/>
    <w:rsid w:val="12CA1FCB"/>
    <w:rsid w:val="13225964"/>
    <w:rsid w:val="137A735A"/>
    <w:rsid w:val="13961EAE"/>
    <w:rsid w:val="13B24508"/>
    <w:rsid w:val="13B53817"/>
    <w:rsid w:val="13B862C8"/>
    <w:rsid w:val="13BD1EF1"/>
    <w:rsid w:val="13D65BBB"/>
    <w:rsid w:val="140A3F0D"/>
    <w:rsid w:val="141554C8"/>
    <w:rsid w:val="14213E6D"/>
    <w:rsid w:val="14333BA0"/>
    <w:rsid w:val="143A5F3C"/>
    <w:rsid w:val="14620C2E"/>
    <w:rsid w:val="14922675"/>
    <w:rsid w:val="14A64A45"/>
    <w:rsid w:val="14B95E54"/>
    <w:rsid w:val="14CB202B"/>
    <w:rsid w:val="151C63E2"/>
    <w:rsid w:val="151E0989"/>
    <w:rsid w:val="15280D0B"/>
    <w:rsid w:val="15344AB2"/>
    <w:rsid w:val="154E7339"/>
    <w:rsid w:val="15862C54"/>
    <w:rsid w:val="15B871E8"/>
    <w:rsid w:val="15D60886"/>
    <w:rsid w:val="15EF66EB"/>
    <w:rsid w:val="16495EC0"/>
    <w:rsid w:val="165752E8"/>
    <w:rsid w:val="16592CBA"/>
    <w:rsid w:val="16795E94"/>
    <w:rsid w:val="168C1346"/>
    <w:rsid w:val="16A220B2"/>
    <w:rsid w:val="16AB249D"/>
    <w:rsid w:val="16B85EAA"/>
    <w:rsid w:val="16F07B27"/>
    <w:rsid w:val="179761F4"/>
    <w:rsid w:val="18124D81"/>
    <w:rsid w:val="182226C4"/>
    <w:rsid w:val="182E6B59"/>
    <w:rsid w:val="1830556D"/>
    <w:rsid w:val="18791F1E"/>
    <w:rsid w:val="18A84692"/>
    <w:rsid w:val="18D82529"/>
    <w:rsid w:val="191427A2"/>
    <w:rsid w:val="198D5B01"/>
    <w:rsid w:val="19D85993"/>
    <w:rsid w:val="1A0F6C1A"/>
    <w:rsid w:val="1A4D2E6A"/>
    <w:rsid w:val="1A7408B4"/>
    <w:rsid w:val="1A791009"/>
    <w:rsid w:val="1A7A2554"/>
    <w:rsid w:val="1A7F4297"/>
    <w:rsid w:val="1A815666"/>
    <w:rsid w:val="1AA03612"/>
    <w:rsid w:val="1AB5410B"/>
    <w:rsid w:val="1B0F337F"/>
    <w:rsid w:val="1B2E3ECD"/>
    <w:rsid w:val="1B334333"/>
    <w:rsid w:val="1B414CD2"/>
    <w:rsid w:val="1B5C44DC"/>
    <w:rsid w:val="1B5E2E01"/>
    <w:rsid w:val="1B6338B0"/>
    <w:rsid w:val="1B8B1170"/>
    <w:rsid w:val="1BA355D9"/>
    <w:rsid w:val="1BEC5215"/>
    <w:rsid w:val="1C003BDC"/>
    <w:rsid w:val="1C136BB6"/>
    <w:rsid w:val="1C4B5EA8"/>
    <w:rsid w:val="1C5A32AE"/>
    <w:rsid w:val="1CA4388D"/>
    <w:rsid w:val="1CB57848"/>
    <w:rsid w:val="1CC23B65"/>
    <w:rsid w:val="1CD5344A"/>
    <w:rsid w:val="1D157916"/>
    <w:rsid w:val="1D4E7880"/>
    <w:rsid w:val="1D547061"/>
    <w:rsid w:val="1D8B08F2"/>
    <w:rsid w:val="1DB47B00"/>
    <w:rsid w:val="1DCF66E8"/>
    <w:rsid w:val="1DD14CA1"/>
    <w:rsid w:val="1DEB0A3D"/>
    <w:rsid w:val="1E1554ED"/>
    <w:rsid w:val="1E2D3E8E"/>
    <w:rsid w:val="1E605592"/>
    <w:rsid w:val="1EA062D6"/>
    <w:rsid w:val="1EA50719"/>
    <w:rsid w:val="1F1D7927"/>
    <w:rsid w:val="1F4343CD"/>
    <w:rsid w:val="1FC72549"/>
    <w:rsid w:val="2043516B"/>
    <w:rsid w:val="206778EF"/>
    <w:rsid w:val="20775E12"/>
    <w:rsid w:val="207B6E01"/>
    <w:rsid w:val="20A803FD"/>
    <w:rsid w:val="20C152CD"/>
    <w:rsid w:val="20F63F8C"/>
    <w:rsid w:val="213A656E"/>
    <w:rsid w:val="21721D27"/>
    <w:rsid w:val="219D0B32"/>
    <w:rsid w:val="21CD1190"/>
    <w:rsid w:val="21D56910"/>
    <w:rsid w:val="221255C2"/>
    <w:rsid w:val="224D0523"/>
    <w:rsid w:val="229654D3"/>
    <w:rsid w:val="231F3C6E"/>
    <w:rsid w:val="232A43C0"/>
    <w:rsid w:val="233E1D76"/>
    <w:rsid w:val="237B0CC8"/>
    <w:rsid w:val="239006C7"/>
    <w:rsid w:val="23957430"/>
    <w:rsid w:val="23B333EF"/>
    <w:rsid w:val="23B802A0"/>
    <w:rsid w:val="23C87E61"/>
    <w:rsid w:val="23F15F55"/>
    <w:rsid w:val="240759C8"/>
    <w:rsid w:val="24305A06"/>
    <w:rsid w:val="24343749"/>
    <w:rsid w:val="243D2848"/>
    <w:rsid w:val="2443398C"/>
    <w:rsid w:val="245E2574"/>
    <w:rsid w:val="248851A7"/>
    <w:rsid w:val="249E5066"/>
    <w:rsid w:val="24CE2D2C"/>
    <w:rsid w:val="24D66607"/>
    <w:rsid w:val="25236015"/>
    <w:rsid w:val="257B7155"/>
    <w:rsid w:val="25AD7A6E"/>
    <w:rsid w:val="25D05377"/>
    <w:rsid w:val="261D1282"/>
    <w:rsid w:val="26252182"/>
    <w:rsid w:val="265E174C"/>
    <w:rsid w:val="265F1BC5"/>
    <w:rsid w:val="2686038F"/>
    <w:rsid w:val="268F110A"/>
    <w:rsid w:val="26B66697"/>
    <w:rsid w:val="26CF7E49"/>
    <w:rsid w:val="26D6442E"/>
    <w:rsid w:val="271B474C"/>
    <w:rsid w:val="27270303"/>
    <w:rsid w:val="27363334"/>
    <w:rsid w:val="274912B9"/>
    <w:rsid w:val="27545EB0"/>
    <w:rsid w:val="279A1B15"/>
    <w:rsid w:val="27E86D24"/>
    <w:rsid w:val="28164313"/>
    <w:rsid w:val="285C6DCA"/>
    <w:rsid w:val="286B525F"/>
    <w:rsid w:val="28C72B2B"/>
    <w:rsid w:val="28D9041B"/>
    <w:rsid w:val="28E444C1"/>
    <w:rsid w:val="28F039B6"/>
    <w:rsid w:val="293B07C3"/>
    <w:rsid w:val="294F123E"/>
    <w:rsid w:val="296B6CBA"/>
    <w:rsid w:val="296F5223"/>
    <w:rsid w:val="29A053DC"/>
    <w:rsid w:val="29BA649E"/>
    <w:rsid w:val="2A081AFD"/>
    <w:rsid w:val="2A241E9E"/>
    <w:rsid w:val="2AB033FD"/>
    <w:rsid w:val="2B0B00AD"/>
    <w:rsid w:val="2B163BA8"/>
    <w:rsid w:val="2B420197"/>
    <w:rsid w:val="2BB331A5"/>
    <w:rsid w:val="2C13211E"/>
    <w:rsid w:val="2C2C11A9"/>
    <w:rsid w:val="2C567CF3"/>
    <w:rsid w:val="2C5936C8"/>
    <w:rsid w:val="2C874AAF"/>
    <w:rsid w:val="2C8E66A6"/>
    <w:rsid w:val="2C9F7BCD"/>
    <w:rsid w:val="2CAF5168"/>
    <w:rsid w:val="2CB371D5"/>
    <w:rsid w:val="2CBB47F9"/>
    <w:rsid w:val="2CD755B9"/>
    <w:rsid w:val="2D111FD8"/>
    <w:rsid w:val="2D1265F1"/>
    <w:rsid w:val="2D275EB3"/>
    <w:rsid w:val="2D4A1910"/>
    <w:rsid w:val="2D4D13D7"/>
    <w:rsid w:val="2DA03BFD"/>
    <w:rsid w:val="2E0F6425"/>
    <w:rsid w:val="2E5D389C"/>
    <w:rsid w:val="2E6A2F43"/>
    <w:rsid w:val="2E6B0765"/>
    <w:rsid w:val="2E9077CD"/>
    <w:rsid w:val="2E976DAE"/>
    <w:rsid w:val="2E9B6172"/>
    <w:rsid w:val="2EFD1D1D"/>
    <w:rsid w:val="2F067A90"/>
    <w:rsid w:val="2F122751"/>
    <w:rsid w:val="2F1E127D"/>
    <w:rsid w:val="2F266384"/>
    <w:rsid w:val="2F3A186E"/>
    <w:rsid w:val="2F3C7955"/>
    <w:rsid w:val="2F3E7229"/>
    <w:rsid w:val="2F424DBE"/>
    <w:rsid w:val="2F522CD5"/>
    <w:rsid w:val="2F5702EB"/>
    <w:rsid w:val="2FA14D54"/>
    <w:rsid w:val="2FA662DF"/>
    <w:rsid w:val="2FC711B9"/>
    <w:rsid w:val="2FD92302"/>
    <w:rsid w:val="2FE22C70"/>
    <w:rsid w:val="303625F7"/>
    <w:rsid w:val="306627E3"/>
    <w:rsid w:val="30847806"/>
    <w:rsid w:val="30B73737"/>
    <w:rsid w:val="31413001"/>
    <w:rsid w:val="32081D71"/>
    <w:rsid w:val="32490F22"/>
    <w:rsid w:val="326A2A2B"/>
    <w:rsid w:val="32774590"/>
    <w:rsid w:val="32852601"/>
    <w:rsid w:val="329F4483"/>
    <w:rsid w:val="32C91500"/>
    <w:rsid w:val="332433C5"/>
    <w:rsid w:val="3344327C"/>
    <w:rsid w:val="3355548A"/>
    <w:rsid w:val="33557238"/>
    <w:rsid w:val="3376156C"/>
    <w:rsid w:val="337C2A16"/>
    <w:rsid w:val="338B51B6"/>
    <w:rsid w:val="339C188C"/>
    <w:rsid w:val="33A361F5"/>
    <w:rsid w:val="33BD26F8"/>
    <w:rsid w:val="340E5D78"/>
    <w:rsid w:val="3411315F"/>
    <w:rsid w:val="348E387D"/>
    <w:rsid w:val="34AC10D9"/>
    <w:rsid w:val="34C870C7"/>
    <w:rsid w:val="34FD7B87"/>
    <w:rsid w:val="35624F4C"/>
    <w:rsid w:val="359B0230"/>
    <w:rsid w:val="35A46FAE"/>
    <w:rsid w:val="35B53FBD"/>
    <w:rsid w:val="3628257B"/>
    <w:rsid w:val="36714388"/>
    <w:rsid w:val="36753A83"/>
    <w:rsid w:val="36EA5EE9"/>
    <w:rsid w:val="36F01751"/>
    <w:rsid w:val="371F6D9C"/>
    <w:rsid w:val="3750497A"/>
    <w:rsid w:val="375B7373"/>
    <w:rsid w:val="37D90437"/>
    <w:rsid w:val="37E1553E"/>
    <w:rsid w:val="380A4A95"/>
    <w:rsid w:val="38221F30"/>
    <w:rsid w:val="38401F3E"/>
    <w:rsid w:val="38483D6F"/>
    <w:rsid w:val="38666BBA"/>
    <w:rsid w:val="38675A43"/>
    <w:rsid w:val="3923202B"/>
    <w:rsid w:val="39445D84"/>
    <w:rsid w:val="397A0421"/>
    <w:rsid w:val="398960D8"/>
    <w:rsid w:val="39BC6D10"/>
    <w:rsid w:val="39F2247F"/>
    <w:rsid w:val="3A03179B"/>
    <w:rsid w:val="3A066436"/>
    <w:rsid w:val="3A190FBF"/>
    <w:rsid w:val="3A2516BB"/>
    <w:rsid w:val="3A267238"/>
    <w:rsid w:val="3A374A52"/>
    <w:rsid w:val="3A824DB6"/>
    <w:rsid w:val="3AC151B3"/>
    <w:rsid w:val="3B086187"/>
    <w:rsid w:val="3B2A71FC"/>
    <w:rsid w:val="3B3C635C"/>
    <w:rsid w:val="3B471B5C"/>
    <w:rsid w:val="3B4A51A8"/>
    <w:rsid w:val="3B6E533A"/>
    <w:rsid w:val="3B8E778B"/>
    <w:rsid w:val="3B9308FD"/>
    <w:rsid w:val="3B9603ED"/>
    <w:rsid w:val="3B993AF3"/>
    <w:rsid w:val="3BAE1BDB"/>
    <w:rsid w:val="3BB16FD5"/>
    <w:rsid w:val="3BCD1B9B"/>
    <w:rsid w:val="3BCE402B"/>
    <w:rsid w:val="3C0B2B89"/>
    <w:rsid w:val="3C1C481B"/>
    <w:rsid w:val="3C666012"/>
    <w:rsid w:val="3C990195"/>
    <w:rsid w:val="3CCB04A6"/>
    <w:rsid w:val="3CD37326"/>
    <w:rsid w:val="3D421874"/>
    <w:rsid w:val="3D467B6A"/>
    <w:rsid w:val="3D4D2D2E"/>
    <w:rsid w:val="3D4F308A"/>
    <w:rsid w:val="3D675F7C"/>
    <w:rsid w:val="3DB84470"/>
    <w:rsid w:val="3DBA4867"/>
    <w:rsid w:val="3DCB19FA"/>
    <w:rsid w:val="3DD408C3"/>
    <w:rsid w:val="3DD53C41"/>
    <w:rsid w:val="3DEE4511"/>
    <w:rsid w:val="3E177608"/>
    <w:rsid w:val="3E3B0878"/>
    <w:rsid w:val="3E4668D1"/>
    <w:rsid w:val="3EAB41B0"/>
    <w:rsid w:val="3EB968CD"/>
    <w:rsid w:val="3EED354E"/>
    <w:rsid w:val="3F173AB4"/>
    <w:rsid w:val="3F1B1C27"/>
    <w:rsid w:val="3F4E74DA"/>
    <w:rsid w:val="3F7A539C"/>
    <w:rsid w:val="3F966B9F"/>
    <w:rsid w:val="3FA30AEA"/>
    <w:rsid w:val="3FB5783A"/>
    <w:rsid w:val="3FBD7842"/>
    <w:rsid w:val="4060397D"/>
    <w:rsid w:val="408338D7"/>
    <w:rsid w:val="40842F0A"/>
    <w:rsid w:val="408B4299"/>
    <w:rsid w:val="40AB66E9"/>
    <w:rsid w:val="40D11000"/>
    <w:rsid w:val="414A3DAF"/>
    <w:rsid w:val="41510996"/>
    <w:rsid w:val="41CC6917"/>
    <w:rsid w:val="41DA7286"/>
    <w:rsid w:val="41E96622"/>
    <w:rsid w:val="42147451"/>
    <w:rsid w:val="42383FAC"/>
    <w:rsid w:val="4278075F"/>
    <w:rsid w:val="42D367F7"/>
    <w:rsid w:val="42EA174A"/>
    <w:rsid w:val="431B25DD"/>
    <w:rsid w:val="43544E16"/>
    <w:rsid w:val="43881670"/>
    <w:rsid w:val="438A6CA4"/>
    <w:rsid w:val="439C638A"/>
    <w:rsid w:val="43A22025"/>
    <w:rsid w:val="43AB65DF"/>
    <w:rsid w:val="43E82525"/>
    <w:rsid w:val="4431123E"/>
    <w:rsid w:val="44580936"/>
    <w:rsid w:val="446023D9"/>
    <w:rsid w:val="44646797"/>
    <w:rsid w:val="447D039C"/>
    <w:rsid w:val="44894F93"/>
    <w:rsid w:val="44A8055A"/>
    <w:rsid w:val="451F3E82"/>
    <w:rsid w:val="4530540F"/>
    <w:rsid w:val="45352A25"/>
    <w:rsid w:val="45465E6E"/>
    <w:rsid w:val="454A2974"/>
    <w:rsid w:val="455C4456"/>
    <w:rsid w:val="456218C2"/>
    <w:rsid w:val="459B0086"/>
    <w:rsid w:val="45AF30FD"/>
    <w:rsid w:val="45B46563"/>
    <w:rsid w:val="45C73FC5"/>
    <w:rsid w:val="45DE4B6C"/>
    <w:rsid w:val="46482AF5"/>
    <w:rsid w:val="465B3014"/>
    <w:rsid w:val="466F2DE7"/>
    <w:rsid w:val="46916DC7"/>
    <w:rsid w:val="46D84867"/>
    <w:rsid w:val="471E7C15"/>
    <w:rsid w:val="472F5293"/>
    <w:rsid w:val="4746716B"/>
    <w:rsid w:val="475223EB"/>
    <w:rsid w:val="479A0405"/>
    <w:rsid w:val="47C102C8"/>
    <w:rsid w:val="47DB0FE0"/>
    <w:rsid w:val="48084421"/>
    <w:rsid w:val="483713B0"/>
    <w:rsid w:val="483A0A6A"/>
    <w:rsid w:val="48594C7C"/>
    <w:rsid w:val="485A4022"/>
    <w:rsid w:val="486C49B0"/>
    <w:rsid w:val="48965ED0"/>
    <w:rsid w:val="48986B3F"/>
    <w:rsid w:val="48A759E8"/>
    <w:rsid w:val="48B819A3"/>
    <w:rsid w:val="48E74810"/>
    <w:rsid w:val="49513989"/>
    <w:rsid w:val="49553696"/>
    <w:rsid w:val="495851E9"/>
    <w:rsid w:val="49B66251"/>
    <w:rsid w:val="49E8450A"/>
    <w:rsid w:val="4A0D21C2"/>
    <w:rsid w:val="4A104F60"/>
    <w:rsid w:val="4A204D3C"/>
    <w:rsid w:val="4A2C2648"/>
    <w:rsid w:val="4A3729E1"/>
    <w:rsid w:val="4AB22C06"/>
    <w:rsid w:val="4AC22FAD"/>
    <w:rsid w:val="4AC7233B"/>
    <w:rsid w:val="4AF55130"/>
    <w:rsid w:val="4B1E5923"/>
    <w:rsid w:val="4B490FD8"/>
    <w:rsid w:val="4B6D2BD3"/>
    <w:rsid w:val="4B9F76BF"/>
    <w:rsid w:val="4BAA4F08"/>
    <w:rsid w:val="4BAF1783"/>
    <w:rsid w:val="4BB24DCF"/>
    <w:rsid w:val="4BB93099"/>
    <w:rsid w:val="4BD444F6"/>
    <w:rsid w:val="4BEF4C0F"/>
    <w:rsid w:val="4C0373D9"/>
    <w:rsid w:val="4C0C0983"/>
    <w:rsid w:val="4C147838"/>
    <w:rsid w:val="4C2C2DD4"/>
    <w:rsid w:val="4C312198"/>
    <w:rsid w:val="4C5415B5"/>
    <w:rsid w:val="4C583BC9"/>
    <w:rsid w:val="4C7B3413"/>
    <w:rsid w:val="4C8D15D8"/>
    <w:rsid w:val="4C9E15DF"/>
    <w:rsid w:val="4CBD494A"/>
    <w:rsid w:val="4CD40000"/>
    <w:rsid w:val="4CD65604"/>
    <w:rsid w:val="4CD87112"/>
    <w:rsid w:val="4D151ABA"/>
    <w:rsid w:val="4D4203D5"/>
    <w:rsid w:val="4D785BA5"/>
    <w:rsid w:val="4D9B2BA2"/>
    <w:rsid w:val="4DDC7792"/>
    <w:rsid w:val="4E353A96"/>
    <w:rsid w:val="4E363CE9"/>
    <w:rsid w:val="4E532013"/>
    <w:rsid w:val="4E5C029C"/>
    <w:rsid w:val="4E994025"/>
    <w:rsid w:val="4ED35788"/>
    <w:rsid w:val="4ED92673"/>
    <w:rsid w:val="4F0174EB"/>
    <w:rsid w:val="4F0A0A7E"/>
    <w:rsid w:val="4F10089B"/>
    <w:rsid w:val="4F2C4E99"/>
    <w:rsid w:val="4F8A1859"/>
    <w:rsid w:val="4FC7696F"/>
    <w:rsid w:val="4FCB46B2"/>
    <w:rsid w:val="4FD23591"/>
    <w:rsid w:val="4FF65457"/>
    <w:rsid w:val="502D24E4"/>
    <w:rsid w:val="50615016"/>
    <w:rsid w:val="50681F00"/>
    <w:rsid w:val="5087096D"/>
    <w:rsid w:val="50CC1AE3"/>
    <w:rsid w:val="50D37CC2"/>
    <w:rsid w:val="50D75B93"/>
    <w:rsid w:val="50F876EA"/>
    <w:rsid w:val="5119144D"/>
    <w:rsid w:val="51200A2D"/>
    <w:rsid w:val="51393D98"/>
    <w:rsid w:val="51510BE7"/>
    <w:rsid w:val="516B4DC3"/>
    <w:rsid w:val="51932FAD"/>
    <w:rsid w:val="51C92E73"/>
    <w:rsid w:val="51F4644B"/>
    <w:rsid w:val="5224454D"/>
    <w:rsid w:val="522B7EBA"/>
    <w:rsid w:val="52524C16"/>
    <w:rsid w:val="52A2363E"/>
    <w:rsid w:val="52C13A04"/>
    <w:rsid w:val="52CE5689"/>
    <w:rsid w:val="52E00CF6"/>
    <w:rsid w:val="530D6D8F"/>
    <w:rsid w:val="53122999"/>
    <w:rsid w:val="531F6F64"/>
    <w:rsid w:val="53294814"/>
    <w:rsid w:val="53545FFA"/>
    <w:rsid w:val="539128D9"/>
    <w:rsid w:val="544929FF"/>
    <w:rsid w:val="54727BA5"/>
    <w:rsid w:val="549534E0"/>
    <w:rsid w:val="54DC110F"/>
    <w:rsid w:val="54DE09E3"/>
    <w:rsid w:val="55144405"/>
    <w:rsid w:val="55237844"/>
    <w:rsid w:val="553E76D4"/>
    <w:rsid w:val="558A3D0F"/>
    <w:rsid w:val="55915A56"/>
    <w:rsid w:val="55A16B67"/>
    <w:rsid w:val="55AD03B6"/>
    <w:rsid w:val="55BB2AD2"/>
    <w:rsid w:val="56327239"/>
    <w:rsid w:val="56395B87"/>
    <w:rsid w:val="563B3C13"/>
    <w:rsid w:val="569E5C28"/>
    <w:rsid w:val="56F5327C"/>
    <w:rsid w:val="56FB2B1E"/>
    <w:rsid w:val="571C5F2B"/>
    <w:rsid w:val="572823EA"/>
    <w:rsid w:val="57313D11"/>
    <w:rsid w:val="576C0528"/>
    <w:rsid w:val="576F3AEF"/>
    <w:rsid w:val="578D049F"/>
    <w:rsid w:val="578D69F6"/>
    <w:rsid w:val="57BE6431"/>
    <w:rsid w:val="57F416AF"/>
    <w:rsid w:val="58792B79"/>
    <w:rsid w:val="58AE60E2"/>
    <w:rsid w:val="59103D2C"/>
    <w:rsid w:val="5928537F"/>
    <w:rsid w:val="59390BF6"/>
    <w:rsid w:val="593C03CE"/>
    <w:rsid w:val="595474C6"/>
    <w:rsid w:val="599A4762"/>
    <w:rsid w:val="599A64DF"/>
    <w:rsid w:val="59E91D42"/>
    <w:rsid w:val="5A0709DC"/>
    <w:rsid w:val="5A3B0686"/>
    <w:rsid w:val="5AA13F8B"/>
    <w:rsid w:val="5AA77FD9"/>
    <w:rsid w:val="5AE12FDB"/>
    <w:rsid w:val="5AFB6FFA"/>
    <w:rsid w:val="5B361E7C"/>
    <w:rsid w:val="5B554B3E"/>
    <w:rsid w:val="5B5877E2"/>
    <w:rsid w:val="5B5E287E"/>
    <w:rsid w:val="5BC85F49"/>
    <w:rsid w:val="5BE2700B"/>
    <w:rsid w:val="5BE3458F"/>
    <w:rsid w:val="5BE73983"/>
    <w:rsid w:val="5C9347A9"/>
    <w:rsid w:val="5CC32F12"/>
    <w:rsid w:val="5D0D455B"/>
    <w:rsid w:val="5D186A5C"/>
    <w:rsid w:val="5D2C42B6"/>
    <w:rsid w:val="5D30766A"/>
    <w:rsid w:val="5D5201C0"/>
    <w:rsid w:val="5DB744C7"/>
    <w:rsid w:val="5DC40368"/>
    <w:rsid w:val="5DCB3ACF"/>
    <w:rsid w:val="5DD0286D"/>
    <w:rsid w:val="5DDC3F2E"/>
    <w:rsid w:val="5DF40F6B"/>
    <w:rsid w:val="5E174F66"/>
    <w:rsid w:val="5E660B09"/>
    <w:rsid w:val="5E954808"/>
    <w:rsid w:val="5E9D546B"/>
    <w:rsid w:val="5EC84FF2"/>
    <w:rsid w:val="5ED961F2"/>
    <w:rsid w:val="5EEA0F2A"/>
    <w:rsid w:val="5F0E45BB"/>
    <w:rsid w:val="5F5168CF"/>
    <w:rsid w:val="5F5875E4"/>
    <w:rsid w:val="5F9D1CA2"/>
    <w:rsid w:val="5FA4497F"/>
    <w:rsid w:val="5FBA6BA5"/>
    <w:rsid w:val="5FC81CAB"/>
    <w:rsid w:val="5FD300DB"/>
    <w:rsid w:val="60097065"/>
    <w:rsid w:val="60284D4C"/>
    <w:rsid w:val="602A1431"/>
    <w:rsid w:val="602F06F9"/>
    <w:rsid w:val="60350EDC"/>
    <w:rsid w:val="605D5A9B"/>
    <w:rsid w:val="608C59E7"/>
    <w:rsid w:val="60923B0B"/>
    <w:rsid w:val="60A24FBB"/>
    <w:rsid w:val="60C44DAC"/>
    <w:rsid w:val="60CA10D1"/>
    <w:rsid w:val="60F375C4"/>
    <w:rsid w:val="61095D5D"/>
    <w:rsid w:val="61284751"/>
    <w:rsid w:val="612956DC"/>
    <w:rsid w:val="613856B4"/>
    <w:rsid w:val="615913AC"/>
    <w:rsid w:val="615B6854"/>
    <w:rsid w:val="615F4C5A"/>
    <w:rsid w:val="617E77D6"/>
    <w:rsid w:val="61BC12B7"/>
    <w:rsid w:val="61C3343B"/>
    <w:rsid w:val="61CD250B"/>
    <w:rsid w:val="61F73A6C"/>
    <w:rsid w:val="61F950AE"/>
    <w:rsid w:val="620C60F7"/>
    <w:rsid w:val="62202B07"/>
    <w:rsid w:val="62286805"/>
    <w:rsid w:val="62815690"/>
    <w:rsid w:val="628506F0"/>
    <w:rsid w:val="6294738C"/>
    <w:rsid w:val="62F006F1"/>
    <w:rsid w:val="62F814B0"/>
    <w:rsid w:val="632C6D8E"/>
    <w:rsid w:val="634549CF"/>
    <w:rsid w:val="63BC4518"/>
    <w:rsid w:val="63FA3522"/>
    <w:rsid w:val="64274D62"/>
    <w:rsid w:val="6429154F"/>
    <w:rsid w:val="642A0B61"/>
    <w:rsid w:val="6451149D"/>
    <w:rsid w:val="646761C8"/>
    <w:rsid w:val="646F3406"/>
    <w:rsid w:val="648B3FB8"/>
    <w:rsid w:val="649E369E"/>
    <w:rsid w:val="64C4269D"/>
    <w:rsid w:val="65027B05"/>
    <w:rsid w:val="65085608"/>
    <w:rsid w:val="652C7549"/>
    <w:rsid w:val="65493C57"/>
    <w:rsid w:val="6554585D"/>
    <w:rsid w:val="655541D3"/>
    <w:rsid w:val="65594766"/>
    <w:rsid w:val="657C753B"/>
    <w:rsid w:val="659550EE"/>
    <w:rsid w:val="65AE22F3"/>
    <w:rsid w:val="65EB0365"/>
    <w:rsid w:val="661447D3"/>
    <w:rsid w:val="66171FA7"/>
    <w:rsid w:val="66465782"/>
    <w:rsid w:val="664802EF"/>
    <w:rsid w:val="667747F4"/>
    <w:rsid w:val="66886F6B"/>
    <w:rsid w:val="66AD359D"/>
    <w:rsid w:val="66B07D06"/>
    <w:rsid w:val="66B94E0C"/>
    <w:rsid w:val="66BB0B84"/>
    <w:rsid w:val="66EC6F90"/>
    <w:rsid w:val="66F35AF0"/>
    <w:rsid w:val="66F83B86"/>
    <w:rsid w:val="670A4733"/>
    <w:rsid w:val="67627252"/>
    <w:rsid w:val="67DE5EA5"/>
    <w:rsid w:val="683325DF"/>
    <w:rsid w:val="688D02FE"/>
    <w:rsid w:val="68D93544"/>
    <w:rsid w:val="68E24E4E"/>
    <w:rsid w:val="69324800"/>
    <w:rsid w:val="694D5CE0"/>
    <w:rsid w:val="695B4E84"/>
    <w:rsid w:val="69642093"/>
    <w:rsid w:val="696F5C56"/>
    <w:rsid w:val="69782D5D"/>
    <w:rsid w:val="699B02E9"/>
    <w:rsid w:val="69A518F6"/>
    <w:rsid w:val="69C81CE8"/>
    <w:rsid w:val="69F26A0E"/>
    <w:rsid w:val="6A044066"/>
    <w:rsid w:val="6A16299D"/>
    <w:rsid w:val="6A2829D5"/>
    <w:rsid w:val="6A42615D"/>
    <w:rsid w:val="6A546685"/>
    <w:rsid w:val="6A6D7173"/>
    <w:rsid w:val="6AC6490F"/>
    <w:rsid w:val="6ACE1747"/>
    <w:rsid w:val="6AEB0E9F"/>
    <w:rsid w:val="6AEF704E"/>
    <w:rsid w:val="6AFB1E97"/>
    <w:rsid w:val="6B186DF8"/>
    <w:rsid w:val="6B1C6C77"/>
    <w:rsid w:val="6B2D7B77"/>
    <w:rsid w:val="6B2F50CF"/>
    <w:rsid w:val="6B6D78FB"/>
    <w:rsid w:val="6BAF37F6"/>
    <w:rsid w:val="6BB4626C"/>
    <w:rsid w:val="6BDE45F3"/>
    <w:rsid w:val="6C0E025D"/>
    <w:rsid w:val="6C563993"/>
    <w:rsid w:val="6C880962"/>
    <w:rsid w:val="6CAE4CE7"/>
    <w:rsid w:val="6D0B604A"/>
    <w:rsid w:val="6D5B6C1D"/>
    <w:rsid w:val="6D673814"/>
    <w:rsid w:val="6DAC05BE"/>
    <w:rsid w:val="6E0948CB"/>
    <w:rsid w:val="6E513045"/>
    <w:rsid w:val="6E663ACB"/>
    <w:rsid w:val="6E804DFF"/>
    <w:rsid w:val="6EA23008"/>
    <w:rsid w:val="6EA445F4"/>
    <w:rsid w:val="6ED07EFC"/>
    <w:rsid w:val="6EDE7B06"/>
    <w:rsid w:val="6F6A1399"/>
    <w:rsid w:val="6F6D5C87"/>
    <w:rsid w:val="6F8373FF"/>
    <w:rsid w:val="6F9E54E7"/>
    <w:rsid w:val="6FA80114"/>
    <w:rsid w:val="6FD16561"/>
    <w:rsid w:val="6FD76303"/>
    <w:rsid w:val="6FDE7145"/>
    <w:rsid w:val="6FFC562B"/>
    <w:rsid w:val="7003131E"/>
    <w:rsid w:val="7007308C"/>
    <w:rsid w:val="7009213F"/>
    <w:rsid w:val="701F0FCA"/>
    <w:rsid w:val="70215690"/>
    <w:rsid w:val="7025059A"/>
    <w:rsid w:val="702E0619"/>
    <w:rsid w:val="70311072"/>
    <w:rsid w:val="70AE3508"/>
    <w:rsid w:val="70E63DE0"/>
    <w:rsid w:val="70FF68BE"/>
    <w:rsid w:val="71070D0D"/>
    <w:rsid w:val="712612F0"/>
    <w:rsid w:val="71344FFF"/>
    <w:rsid w:val="7138132A"/>
    <w:rsid w:val="713954C7"/>
    <w:rsid w:val="71431EA2"/>
    <w:rsid w:val="715D4FE8"/>
    <w:rsid w:val="71956476"/>
    <w:rsid w:val="71A05546"/>
    <w:rsid w:val="722151BB"/>
    <w:rsid w:val="72477770"/>
    <w:rsid w:val="725809D6"/>
    <w:rsid w:val="72655E48"/>
    <w:rsid w:val="728269FA"/>
    <w:rsid w:val="729A1F96"/>
    <w:rsid w:val="729C5BD7"/>
    <w:rsid w:val="734168B5"/>
    <w:rsid w:val="734939BC"/>
    <w:rsid w:val="735E1767"/>
    <w:rsid w:val="737A421D"/>
    <w:rsid w:val="73875405"/>
    <w:rsid w:val="73B74532"/>
    <w:rsid w:val="73DE4104"/>
    <w:rsid w:val="742A7349"/>
    <w:rsid w:val="74363C49"/>
    <w:rsid w:val="74425F26"/>
    <w:rsid w:val="7487479C"/>
    <w:rsid w:val="748922C2"/>
    <w:rsid w:val="74AC5FB0"/>
    <w:rsid w:val="74CA11F8"/>
    <w:rsid w:val="74CC7CBB"/>
    <w:rsid w:val="74CD2DFA"/>
    <w:rsid w:val="74E20428"/>
    <w:rsid w:val="750516C4"/>
    <w:rsid w:val="754D3E47"/>
    <w:rsid w:val="7561059F"/>
    <w:rsid w:val="75695FAC"/>
    <w:rsid w:val="75A3409C"/>
    <w:rsid w:val="75D961A0"/>
    <w:rsid w:val="762C6AF6"/>
    <w:rsid w:val="765A6376"/>
    <w:rsid w:val="768A0573"/>
    <w:rsid w:val="76955006"/>
    <w:rsid w:val="769B7B90"/>
    <w:rsid w:val="77392375"/>
    <w:rsid w:val="774E2667"/>
    <w:rsid w:val="775546DD"/>
    <w:rsid w:val="77933457"/>
    <w:rsid w:val="7793469B"/>
    <w:rsid w:val="77C65D3C"/>
    <w:rsid w:val="77C74EAF"/>
    <w:rsid w:val="785C5E6F"/>
    <w:rsid w:val="789C2A58"/>
    <w:rsid w:val="78E026CC"/>
    <w:rsid w:val="78FF3EB4"/>
    <w:rsid w:val="797C0647"/>
    <w:rsid w:val="79B0209F"/>
    <w:rsid w:val="79E104AA"/>
    <w:rsid w:val="7A1C7734"/>
    <w:rsid w:val="7A4A386D"/>
    <w:rsid w:val="7A5E7D4D"/>
    <w:rsid w:val="7A620E70"/>
    <w:rsid w:val="7A650E3C"/>
    <w:rsid w:val="7A70182E"/>
    <w:rsid w:val="7A9609CB"/>
    <w:rsid w:val="7A9B18B0"/>
    <w:rsid w:val="7AC73B44"/>
    <w:rsid w:val="7B002BB2"/>
    <w:rsid w:val="7B0E3521"/>
    <w:rsid w:val="7B360113"/>
    <w:rsid w:val="7B424F78"/>
    <w:rsid w:val="7B4A526C"/>
    <w:rsid w:val="7B4C4B65"/>
    <w:rsid w:val="7B780F7C"/>
    <w:rsid w:val="7B9D6375"/>
    <w:rsid w:val="7C156B31"/>
    <w:rsid w:val="7C376AA7"/>
    <w:rsid w:val="7C4D62CB"/>
    <w:rsid w:val="7C570EF7"/>
    <w:rsid w:val="7C6D63F4"/>
    <w:rsid w:val="7C6F0B11"/>
    <w:rsid w:val="7C7E46D6"/>
    <w:rsid w:val="7C8660BD"/>
    <w:rsid w:val="7C8C2AE3"/>
    <w:rsid w:val="7CA05978"/>
    <w:rsid w:val="7D1370F0"/>
    <w:rsid w:val="7D79437B"/>
    <w:rsid w:val="7DBB54B6"/>
    <w:rsid w:val="7DE63B79"/>
    <w:rsid w:val="7E01736D"/>
    <w:rsid w:val="7E8D6E52"/>
    <w:rsid w:val="7F09259F"/>
    <w:rsid w:val="7F264BB1"/>
    <w:rsid w:val="7F437511"/>
    <w:rsid w:val="7F5B0CFF"/>
    <w:rsid w:val="7F741DC0"/>
    <w:rsid w:val="7F8E2BA0"/>
    <w:rsid w:val="7FBC5227"/>
    <w:rsid w:val="7FCD7FD5"/>
    <w:rsid w:val="7FD72BB2"/>
    <w:rsid w:val="7FEE047D"/>
    <w:rsid w:val="7FFC4290"/>
    <w:rsid w:val="7FFC43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autoRedefine/>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autoRedefine/>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autoRedefine/>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autoRedefine/>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autoRedefine/>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autoRedefine/>
    <w:qFormat/>
    <w:uiPriority w:val="99"/>
    <w:pPr>
      <w:keepNext/>
      <w:keepLines/>
      <w:spacing w:before="240" w:after="64" w:line="317" w:lineRule="auto"/>
      <w:outlineLvl w:val="8"/>
    </w:pPr>
    <w:rPr>
      <w:rFonts w:ascii="Cambria" w:hAnsi="Cambria" w:cs="Cambria"/>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rPr>
      <w:rFonts w:ascii="Calibri" w:hAnsi="Calibri" w:cs="Calibri"/>
    </w:rPr>
  </w:style>
  <w:style w:type="paragraph" w:styleId="12">
    <w:name w:val="caption"/>
    <w:basedOn w:val="1"/>
    <w:next w:val="1"/>
    <w:autoRedefine/>
    <w:qFormat/>
    <w:uiPriority w:val="99"/>
    <w:rPr>
      <w:rFonts w:ascii="Cambria" w:hAnsi="Cambria" w:eastAsia="黑体" w:cs="Cambria"/>
      <w:sz w:val="20"/>
      <w:szCs w:val="20"/>
    </w:rPr>
  </w:style>
  <w:style w:type="paragraph" w:styleId="13">
    <w:name w:val="Document Map"/>
    <w:basedOn w:val="1"/>
    <w:link w:val="73"/>
    <w:autoRedefine/>
    <w:semiHidden/>
    <w:qFormat/>
    <w:uiPriority w:val="99"/>
    <w:pPr>
      <w:shd w:val="clear" w:color="auto" w:fill="000080"/>
    </w:pPr>
    <w:rPr>
      <w:kern w:val="0"/>
      <w:sz w:val="20"/>
      <w:szCs w:val="20"/>
      <w:shd w:val="clear" w:color="auto" w:fill="000080"/>
    </w:rPr>
  </w:style>
  <w:style w:type="paragraph" w:styleId="14">
    <w:name w:val="annotation text"/>
    <w:basedOn w:val="1"/>
    <w:link w:val="74"/>
    <w:autoRedefine/>
    <w:semiHidden/>
    <w:qFormat/>
    <w:uiPriority w:val="99"/>
    <w:pPr>
      <w:jc w:val="left"/>
    </w:pPr>
  </w:style>
  <w:style w:type="paragraph" w:styleId="15">
    <w:name w:val="Body Text 3"/>
    <w:basedOn w:val="1"/>
    <w:link w:val="75"/>
    <w:autoRedefine/>
    <w:qFormat/>
    <w:uiPriority w:val="99"/>
    <w:rPr>
      <w:rFonts w:ascii="宋体" w:cs="宋体"/>
      <w:sz w:val="24"/>
      <w:szCs w:val="24"/>
    </w:rPr>
  </w:style>
  <w:style w:type="paragraph" w:styleId="16">
    <w:name w:val="Body Text"/>
    <w:basedOn w:val="1"/>
    <w:link w:val="76"/>
    <w:autoRedefine/>
    <w:qFormat/>
    <w:uiPriority w:val="99"/>
    <w:pPr>
      <w:jc w:val="center"/>
    </w:pPr>
    <w:rPr>
      <w:b/>
      <w:bCs/>
      <w:sz w:val="44"/>
      <w:szCs w:val="44"/>
    </w:rPr>
  </w:style>
  <w:style w:type="paragraph" w:styleId="17">
    <w:name w:val="Body Text Indent"/>
    <w:basedOn w:val="1"/>
    <w:next w:val="18"/>
    <w:link w:val="77"/>
    <w:autoRedefine/>
    <w:qFormat/>
    <w:uiPriority w:val="99"/>
    <w:pPr>
      <w:spacing w:line="500" w:lineRule="exact"/>
      <w:ind w:firstLine="538"/>
    </w:pPr>
    <w:rPr>
      <w:sz w:val="28"/>
      <w:szCs w:val="28"/>
    </w:rPr>
  </w:style>
  <w:style w:type="paragraph" w:styleId="18">
    <w:name w:val="envelope return"/>
    <w:basedOn w:val="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0">
    <w:name w:val="index 4"/>
    <w:basedOn w:val="1"/>
    <w:next w:val="1"/>
    <w:autoRedefine/>
    <w:semiHidden/>
    <w:qFormat/>
    <w:uiPriority w:val="99"/>
    <w:pPr>
      <w:ind w:left="600" w:leftChars="600"/>
    </w:pPr>
  </w:style>
  <w:style w:type="paragraph" w:styleId="21">
    <w:name w:val="toc 5"/>
    <w:basedOn w:val="1"/>
    <w:next w:val="1"/>
    <w:autoRedefine/>
    <w:semiHidden/>
    <w:qFormat/>
    <w:uiPriority w:val="99"/>
    <w:pPr>
      <w:tabs>
        <w:tab w:val="right" w:leader="dot" w:pos="8296"/>
      </w:tabs>
      <w:ind w:left="1050" w:leftChars="500"/>
    </w:pPr>
    <w:rPr>
      <w:rFonts w:ascii="Calibri" w:hAnsi="Calibri" w:cs="Calibri"/>
    </w:rPr>
  </w:style>
  <w:style w:type="paragraph" w:styleId="22">
    <w:name w:val="toc 3"/>
    <w:basedOn w:val="1"/>
    <w:next w:val="1"/>
    <w:autoRedefine/>
    <w:semiHidden/>
    <w:qFormat/>
    <w:uiPriority w:val="99"/>
    <w:pPr>
      <w:ind w:left="840" w:leftChars="400"/>
    </w:pPr>
    <w:rPr>
      <w:rFonts w:ascii="Calibri" w:hAnsi="Calibri" w:cs="Calibri"/>
    </w:rPr>
  </w:style>
  <w:style w:type="paragraph" w:styleId="23">
    <w:name w:val="Plain Text"/>
    <w:basedOn w:val="1"/>
    <w:next w:val="1"/>
    <w:link w:val="78"/>
    <w:autoRedefine/>
    <w:qFormat/>
    <w:uiPriority w:val="99"/>
    <w:rPr>
      <w:rFonts w:ascii="宋体" w:hAnsi="Courier New" w:cs="宋体"/>
    </w:rPr>
  </w:style>
  <w:style w:type="paragraph" w:styleId="24">
    <w:name w:val="toc 8"/>
    <w:basedOn w:val="1"/>
    <w:next w:val="1"/>
    <w:autoRedefine/>
    <w:semiHidden/>
    <w:qFormat/>
    <w:uiPriority w:val="99"/>
    <w:pPr>
      <w:ind w:left="2940" w:leftChars="1400"/>
    </w:pPr>
    <w:rPr>
      <w:rFonts w:ascii="Calibri" w:hAnsi="Calibri" w:cs="Calibri"/>
    </w:rPr>
  </w:style>
  <w:style w:type="paragraph" w:styleId="25">
    <w:name w:val="Date"/>
    <w:basedOn w:val="1"/>
    <w:next w:val="1"/>
    <w:link w:val="79"/>
    <w:autoRedefine/>
    <w:qFormat/>
    <w:uiPriority w:val="99"/>
    <w:rPr>
      <w:rFonts w:ascii="仿宋_GB2312" w:eastAsia="仿宋_GB2312" w:cs="仿宋_GB2312"/>
      <w:sz w:val="30"/>
      <w:szCs w:val="30"/>
    </w:rPr>
  </w:style>
  <w:style w:type="paragraph" w:styleId="26">
    <w:name w:val="Body Text Indent 2"/>
    <w:basedOn w:val="1"/>
    <w:link w:val="80"/>
    <w:autoRedefine/>
    <w:qFormat/>
    <w:uiPriority w:val="99"/>
    <w:pPr>
      <w:spacing w:line="360" w:lineRule="exact"/>
      <w:ind w:firstLine="600" w:firstLineChars="250"/>
      <w:jc w:val="left"/>
    </w:pPr>
    <w:rPr>
      <w:sz w:val="24"/>
      <w:szCs w:val="24"/>
    </w:rPr>
  </w:style>
  <w:style w:type="paragraph" w:styleId="27">
    <w:name w:val="Balloon Text"/>
    <w:basedOn w:val="1"/>
    <w:link w:val="81"/>
    <w:autoRedefine/>
    <w:semiHidden/>
    <w:qFormat/>
    <w:uiPriority w:val="99"/>
    <w:rPr>
      <w:sz w:val="18"/>
      <w:szCs w:val="18"/>
    </w:rPr>
  </w:style>
  <w:style w:type="paragraph" w:styleId="28">
    <w:name w:val="footer"/>
    <w:basedOn w:val="1"/>
    <w:link w:val="82"/>
    <w:autoRedefine/>
    <w:qFormat/>
    <w:uiPriority w:val="99"/>
    <w:pPr>
      <w:tabs>
        <w:tab w:val="center" w:pos="4153"/>
        <w:tab w:val="right" w:pos="8306"/>
      </w:tabs>
      <w:snapToGrid w:val="0"/>
      <w:jc w:val="left"/>
    </w:pPr>
    <w:rPr>
      <w:sz w:val="18"/>
      <w:szCs w:val="18"/>
    </w:rPr>
  </w:style>
  <w:style w:type="paragraph" w:styleId="29">
    <w:name w:val="header"/>
    <w:basedOn w:val="1"/>
    <w:link w:val="83"/>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1">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next w:val="1"/>
    <w:link w:val="84"/>
    <w:autoRedefine/>
    <w:qFormat/>
    <w:uiPriority w:val="99"/>
    <w:pPr>
      <w:spacing w:before="240" w:after="60" w:line="312" w:lineRule="auto"/>
      <w:jc w:val="center"/>
      <w:outlineLvl w:val="1"/>
    </w:pPr>
    <w:rPr>
      <w:rFonts w:ascii="Cambria" w:hAnsi="Cambria" w:cs="Cambria"/>
      <w:b/>
      <w:bCs/>
      <w:kern w:val="28"/>
      <w:sz w:val="32"/>
      <w:szCs w:val="32"/>
    </w:rPr>
  </w:style>
  <w:style w:type="paragraph" w:styleId="33">
    <w:name w:val="List"/>
    <w:basedOn w:val="1"/>
    <w:autoRedefine/>
    <w:qFormat/>
    <w:locked/>
    <w:uiPriority w:val="0"/>
    <w:pPr>
      <w:ind w:left="200" w:hanging="200" w:hangingChars="200"/>
    </w:pPr>
  </w:style>
  <w:style w:type="paragraph" w:styleId="34">
    <w:name w:val="footnote text"/>
    <w:basedOn w:val="1"/>
    <w:link w:val="85"/>
    <w:autoRedefine/>
    <w:semiHidden/>
    <w:qFormat/>
    <w:uiPriority w:val="99"/>
    <w:rPr>
      <w:sz w:val="20"/>
      <w:szCs w:val="20"/>
    </w:rPr>
  </w:style>
  <w:style w:type="paragraph" w:styleId="35">
    <w:name w:val="toc 6"/>
    <w:basedOn w:val="1"/>
    <w:next w:val="1"/>
    <w:autoRedefine/>
    <w:semiHidden/>
    <w:qFormat/>
    <w:uiPriority w:val="99"/>
    <w:pPr>
      <w:ind w:left="2100" w:leftChars="1000"/>
    </w:pPr>
    <w:rPr>
      <w:rFonts w:ascii="Calibri" w:hAnsi="Calibri" w:cs="Calibri"/>
    </w:rPr>
  </w:style>
  <w:style w:type="paragraph" w:styleId="36">
    <w:name w:val="Body Text Indent 3"/>
    <w:basedOn w:val="1"/>
    <w:link w:val="86"/>
    <w:autoRedefine/>
    <w:qFormat/>
    <w:uiPriority w:val="99"/>
    <w:pPr>
      <w:spacing w:after="120"/>
      <w:ind w:left="420" w:leftChars="200"/>
    </w:pPr>
    <w:rPr>
      <w:sz w:val="16"/>
      <w:szCs w:val="16"/>
    </w:rPr>
  </w:style>
  <w:style w:type="paragraph" w:styleId="37">
    <w:name w:val="table of figures"/>
    <w:basedOn w:val="1"/>
    <w:next w:val="1"/>
    <w:autoRedefine/>
    <w:semiHidden/>
    <w:qFormat/>
    <w:uiPriority w:val="99"/>
    <w:pPr>
      <w:ind w:left="200" w:leftChars="200" w:hanging="200" w:hangingChars="200"/>
    </w:pPr>
  </w:style>
  <w:style w:type="paragraph" w:styleId="38">
    <w:name w:val="toc 2"/>
    <w:basedOn w:val="1"/>
    <w:next w:val="1"/>
    <w:autoRedefine/>
    <w:semiHidden/>
    <w:qFormat/>
    <w:uiPriority w:val="99"/>
    <w:pPr>
      <w:ind w:left="420" w:leftChars="200"/>
    </w:pPr>
    <w:rPr>
      <w:rFonts w:ascii="宋体" w:cs="宋体"/>
      <w:b/>
      <w:bCs/>
      <w:sz w:val="28"/>
      <w:szCs w:val="28"/>
    </w:rPr>
  </w:style>
  <w:style w:type="paragraph" w:styleId="39">
    <w:name w:val="toc 9"/>
    <w:basedOn w:val="1"/>
    <w:next w:val="1"/>
    <w:autoRedefine/>
    <w:semiHidden/>
    <w:qFormat/>
    <w:uiPriority w:val="99"/>
    <w:pPr>
      <w:ind w:left="3360" w:leftChars="1600"/>
    </w:pPr>
    <w:rPr>
      <w:rFonts w:ascii="Calibri" w:hAnsi="Calibri" w:cs="Calibri"/>
    </w:rPr>
  </w:style>
  <w:style w:type="paragraph" w:styleId="40">
    <w:name w:val="Body Text 2"/>
    <w:basedOn w:val="1"/>
    <w:link w:val="87"/>
    <w:autoRedefine/>
    <w:qFormat/>
    <w:uiPriority w:val="99"/>
    <w:pPr>
      <w:spacing w:line="440" w:lineRule="exact"/>
    </w:pPr>
    <w:rPr>
      <w:sz w:val="28"/>
      <w:szCs w:val="28"/>
    </w:rPr>
  </w:style>
  <w:style w:type="paragraph" w:styleId="41">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autoRedefine/>
    <w:qFormat/>
    <w:uiPriority w:val="99"/>
    <w:pPr>
      <w:spacing w:before="240" w:after="60"/>
      <w:jc w:val="center"/>
      <w:outlineLvl w:val="0"/>
    </w:pPr>
    <w:rPr>
      <w:rFonts w:ascii="Cambria" w:hAnsi="Cambria" w:cs="Cambria"/>
      <w:b/>
      <w:bCs/>
      <w:sz w:val="32"/>
      <w:szCs w:val="32"/>
    </w:rPr>
  </w:style>
  <w:style w:type="paragraph" w:styleId="43">
    <w:name w:val="annotation subject"/>
    <w:basedOn w:val="14"/>
    <w:next w:val="14"/>
    <w:link w:val="89"/>
    <w:autoRedefine/>
    <w:semiHidden/>
    <w:qFormat/>
    <w:uiPriority w:val="99"/>
    <w:rPr>
      <w:rFonts w:ascii="宋体" w:cs="宋体"/>
      <w:b/>
      <w:bCs/>
      <w:kern w:val="0"/>
      <w:sz w:val="28"/>
      <w:szCs w:val="28"/>
    </w:rPr>
  </w:style>
  <w:style w:type="paragraph" w:styleId="44">
    <w:name w:val="Body Text First Indent 2"/>
    <w:basedOn w:val="17"/>
    <w:next w:val="1"/>
    <w:link w:val="90"/>
    <w:autoRedefine/>
    <w:qFormat/>
    <w:uiPriority w:val="99"/>
    <w:pPr>
      <w:ind w:firstLine="420" w:firstLineChars="200"/>
    </w:pPr>
  </w:style>
  <w:style w:type="table" w:styleId="46">
    <w:name w:val="Table Grid"/>
    <w:basedOn w:val="4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99"/>
    <w:rPr>
      <w:rFonts w:cs="Times New Roman"/>
      <w:b/>
      <w:bCs/>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auto"/>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monospace"/>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monospace"/>
      <w:sz w:val="20"/>
    </w:rPr>
  </w:style>
  <w:style w:type="character" w:styleId="58">
    <w:name w:val="annotation reference"/>
    <w:basedOn w:val="47"/>
    <w:autoRedefine/>
    <w:semiHidden/>
    <w:qFormat/>
    <w:uiPriority w:val="99"/>
    <w:rPr>
      <w:rFonts w:cs="Times New Roman"/>
      <w:sz w:val="21"/>
      <w:szCs w:val="21"/>
    </w:rPr>
  </w:style>
  <w:style w:type="character" w:styleId="59">
    <w:name w:val="HTML Cite"/>
    <w:basedOn w:val="47"/>
    <w:autoRedefine/>
    <w:qFormat/>
    <w:uiPriority w:val="99"/>
    <w:rPr>
      <w:rFonts w:cs="Times New Roman"/>
    </w:rPr>
  </w:style>
  <w:style w:type="character" w:styleId="60">
    <w:name w:val="footnote reference"/>
    <w:basedOn w:val="47"/>
    <w:autoRedefine/>
    <w:semiHidden/>
    <w:qFormat/>
    <w:uiPriority w:val="99"/>
    <w:rPr>
      <w:rFonts w:cs="Times New Roman"/>
      <w:vertAlign w:val="superscript"/>
    </w:rPr>
  </w:style>
  <w:style w:type="character" w:styleId="61">
    <w:name w:val="HTML Keyboard"/>
    <w:basedOn w:val="47"/>
    <w:autoRedefine/>
    <w:qFormat/>
    <w:uiPriority w:val="99"/>
    <w:rPr>
      <w:rFonts w:ascii="monospace" w:hAnsi="monospace" w:cs="monospace"/>
      <w:sz w:val="20"/>
    </w:rPr>
  </w:style>
  <w:style w:type="character" w:styleId="62">
    <w:name w:val="HTML Sample"/>
    <w:basedOn w:val="47"/>
    <w:autoRedefine/>
    <w:qFormat/>
    <w:uiPriority w:val="99"/>
    <w:rPr>
      <w:rFonts w:ascii="monospace" w:hAnsi="monospace" w:cs="monospace"/>
    </w:rPr>
  </w:style>
  <w:style w:type="paragraph" w:customStyle="1" w:styleId="63">
    <w:name w:val="Normal Indent1"/>
    <w:basedOn w:val="1"/>
    <w:autoRedefine/>
    <w:qFormat/>
    <w:uiPriority w:val="0"/>
    <w:pPr>
      <w:adjustRightInd w:val="0"/>
      <w:spacing w:line="360" w:lineRule="atLeast"/>
      <w:ind w:firstLine="482"/>
      <w:textAlignment w:val="baseline"/>
    </w:pPr>
    <w:rPr>
      <w:kern w:val="0"/>
      <w:sz w:val="24"/>
      <w:szCs w:val="24"/>
    </w:rPr>
  </w:style>
  <w:style w:type="character" w:customStyle="1" w:styleId="64">
    <w:name w:val="标题 1 字符"/>
    <w:basedOn w:val="47"/>
    <w:link w:val="2"/>
    <w:autoRedefine/>
    <w:qFormat/>
    <w:locked/>
    <w:uiPriority w:val="99"/>
    <w:rPr>
      <w:rFonts w:ascii="Times New Roman" w:hAnsi="Times New Roman" w:eastAsia="仿宋" w:cs="Times New Roman"/>
      <w:b/>
      <w:bCs/>
      <w:kern w:val="44"/>
      <w:sz w:val="44"/>
      <w:szCs w:val="44"/>
      <w:lang w:val="en-US" w:eastAsia="zh-CN"/>
    </w:rPr>
  </w:style>
  <w:style w:type="character" w:customStyle="1" w:styleId="65">
    <w:name w:val="标题 2 字符"/>
    <w:basedOn w:val="47"/>
    <w:link w:val="3"/>
    <w:autoRedefine/>
    <w:qFormat/>
    <w:locked/>
    <w:uiPriority w:val="99"/>
    <w:rPr>
      <w:rFonts w:ascii="Arial" w:hAnsi="Arial" w:eastAsia="黑体" w:cs="Arial"/>
      <w:b/>
      <w:bCs/>
      <w:kern w:val="2"/>
      <w:sz w:val="32"/>
      <w:szCs w:val="32"/>
      <w:lang w:val="en-US" w:eastAsia="zh-CN"/>
    </w:rPr>
  </w:style>
  <w:style w:type="character" w:customStyle="1" w:styleId="66">
    <w:name w:val="标题 3 字符"/>
    <w:basedOn w:val="47"/>
    <w:link w:val="4"/>
    <w:autoRedefine/>
    <w:qFormat/>
    <w:locked/>
    <w:uiPriority w:val="99"/>
    <w:rPr>
      <w:rFonts w:eastAsia="宋体" w:cs="Times New Roman"/>
      <w:b/>
      <w:bCs/>
      <w:kern w:val="2"/>
      <w:sz w:val="32"/>
      <w:szCs w:val="32"/>
      <w:lang w:val="en-US" w:eastAsia="zh-CN"/>
    </w:rPr>
  </w:style>
  <w:style w:type="character" w:customStyle="1" w:styleId="67">
    <w:name w:val="标题 4 字符"/>
    <w:basedOn w:val="47"/>
    <w:link w:val="5"/>
    <w:autoRedefine/>
    <w:qFormat/>
    <w:locked/>
    <w:uiPriority w:val="99"/>
    <w:rPr>
      <w:rFonts w:ascii="Cambria" w:hAnsi="Cambria" w:eastAsia="宋体" w:cs="Cambria"/>
      <w:b/>
      <w:bCs/>
      <w:kern w:val="2"/>
      <w:sz w:val="28"/>
      <w:szCs w:val="28"/>
      <w:lang w:val="en-US" w:eastAsia="zh-CN"/>
    </w:rPr>
  </w:style>
  <w:style w:type="character" w:customStyle="1" w:styleId="68">
    <w:name w:val="标题 5 字符"/>
    <w:basedOn w:val="47"/>
    <w:link w:val="6"/>
    <w:autoRedefine/>
    <w:qFormat/>
    <w:locked/>
    <w:uiPriority w:val="99"/>
    <w:rPr>
      <w:rFonts w:ascii="Calibri" w:hAnsi="Calibri" w:eastAsia="宋体" w:cs="Calibri"/>
      <w:b/>
      <w:bCs/>
      <w:kern w:val="2"/>
      <w:sz w:val="28"/>
      <w:szCs w:val="28"/>
      <w:lang w:val="en-US" w:eastAsia="zh-CN"/>
    </w:rPr>
  </w:style>
  <w:style w:type="character" w:customStyle="1" w:styleId="69">
    <w:name w:val="标题 6 字符"/>
    <w:basedOn w:val="47"/>
    <w:link w:val="7"/>
    <w:autoRedefine/>
    <w:qFormat/>
    <w:locked/>
    <w:uiPriority w:val="99"/>
    <w:rPr>
      <w:rFonts w:ascii="Cambria" w:hAnsi="Cambria" w:eastAsia="宋体" w:cs="Cambria"/>
      <w:b/>
      <w:bCs/>
      <w:kern w:val="2"/>
      <w:sz w:val="24"/>
      <w:szCs w:val="24"/>
      <w:lang w:val="en-US" w:eastAsia="zh-CN"/>
    </w:rPr>
  </w:style>
  <w:style w:type="character" w:customStyle="1" w:styleId="70">
    <w:name w:val="标题 7 字符"/>
    <w:basedOn w:val="47"/>
    <w:link w:val="8"/>
    <w:autoRedefine/>
    <w:qFormat/>
    <w:locked/>
    <w:uiPriority w:val="99"/>
    <w:rPr>
      <w:rFonts w:ascii="Calibri" w:hAnsi="Calibri" w:eastAsia="宋体" w:cs="Calibri"/>
      <w:b/>
      <w:bCs/>
      <w:kern w:val="2"/>
      <w:sz w:val="24"/>
      <w:szCs w:val="24"/>
      <w:lang w:val="en-US" w:eastAsia="zh-CN"/>
    </w:rPr>
  </w:style>
  <w:style w:type="character" w:customStyle="1" w:styleId="71">
    <w:name w:val="标题 8 字符"/>
    <w:basedOn w:val="47"/>
    <w:link w:val="9"/>
    <w:autoRedefine/>
    <w:qFormat/>
    <w:locked/>
    <w:uiPriority w:val="99"/>
    <w:rPr>
      <w:rFonts w:ascii="Cambria" w:hAnsi="Cambria" w:eastAsia="宋体" w:cs="Cambria"/>
      <w:kern w:val="2"/>
      <w:sz w:val="24"/>
      <w:szCs w:val="24"/>
      <w:lang w:val="en-US" w:eastAsia="zh-CN"/>
    </w:rPr>
  </w:style>
  <w:style w:type="character" w:customStyle="1" w:styleId="72">
    <w:name w:val="标题 9 字符"/>
    <w:basedOn w:val="47"/>
    <w:link w:val="10"/>
    <w:autoRedefine/>
    <w:qFormat/>
    <w:locked/>
    <w:uiPriority w:val="99"/>
    <w:rPr>
      <w:rFonts w:ascii="Cambria" w:hAnsi="Cambria" w:eastAsia="宋体" w:cs="Cambria"/>
      <w:kern w:val="2"/>
      <w:sz w:val="21"/>
      <w:szCs w:val="21"/>
      <w:lang w:val="en-US" w:eastAsia="zh-CN"/>
    </w:rPr>
  </w:style>
  <w:style w:type="character" w:customStyle="1" w:styleId="73">
    <w:name w:val="文档结构图 字符"/>
    <w:basedOn w:val="47"/>
    <w:link w:val="13"/>
    <w:autoRedefine/>
    <w:qFormat/>
    <w:locked/>
    <w:uiPriority w:val="99"/>
    <w:rPr>
      <w:rFonts w:cs="Times New Roman"/>
      <w:sz w:val="24"/>
      <w:szCs w:val="24"/>
      <w:shd w:val="clear" w:color="auto" w:fill="000080"/>
    </w:rPr>
  </w:style>
  <w:style w:type="character" w:customStyle="1" w:styleId="74">
    <w:name w:val="批注文字 字符"/>
    <w:basedOn w:val="47"/>
    <w:link w:val="14"/>
    <w:autoRedefine/>
    <w:qFormat/>
    <w:locked/>
    <w:uiPriority w:val="99"/>
    <w:rPr>
      <w:rFonts w:cs="Times New Roman"/>
      <w:kern w:val="2"/>
      <w:sz w:val="22"/>
      <w:szCs w:val="22"/>
    </w:rPr>
  </w:style>
  <w:style w:type="character" w:customStyle="1" w:styleId="75">
    <w:name w:val="正文文本 3 字符"/>
    <w:basedOn w:val="47"/>
    <w:link w:val="15"/>
    <w:autoRedefine/>
    <w:semiHidden/>
    <w:qFormat/>
    <w:locked/>
    <w:uiPriority w:val="99"/>
    <w:rPr>
      <w:rFonts w:cs="Times New Roman"/>
      <w:sz w:val="16"/>
      <w:szCs w:val="16"/>
    </w:rPr>
  </w:style>
  <w:style w:type="character" w:customStyle="1" w:styleId="76">
    <w:name w:val="正文文本 字符"/>
    <w:basedOn w:val="47"/>
    <w:link w:val="16"/>
    <w:autoRedefine/>
    <w:qFormat/>
    <w:locked/>
    <w:uiPriority w:val="99"/>
    <w:rPr>
      <w:rFonts w:eastAsia="宋体" w:cs="Times New Roman"/>
      <w:b/>
      <w:bCs/>
      <w:kern w:val="2"/>
      <w:sz w:val="44"/>
      <w:szCs w:val="44"/>
      <w:lang w:val="en-US" w:eastAsia="zh-CN"/>
    </w:rPr>
  </w:style>
  <w:style w:type="character" w:customStyle="1" w:styleId="77">
    <w:name w:val="正文文本缩进 字符"/>
    <w:basedOn w:val="47"/>
    <w:link w:val="17"/>
    <w:autoRedefine/>
    <w:semiHidden/>
    <w:qFormat/>
    <w:locked/>
    <w:uiPriority w:val="99"/>
    <w:rPr>
      <w:rFonts w:cs="Times New Roman"/>
      <w:sz w:val="21"/>
      <w:szCs w:val="21"/>
    </w:rPr>
  </w:style>
  <w:style w:type="character" w:customStyle="1" w:styleId="78">
    <w:name w:val="纯文本 字符"/>
    <w:basedOn w:val="47"/>
    <w:link w:val="23"/>
    <w:autoRedefine/>
    <w:semiHidden/>
    <w:qFormat/>
    <w:locked/>
    <w:uiPriority w:val="99"/>
    <w:rPr>
      <w:rFonts w:ascii="宋体" w:hAnsi="Courier New" w:cs="Courier New"/>
      <w:sz w:val="21"/>
      <w:szCs w:val="21"/>
    </w:rPr>
  </w:style>
  <w:style w:type="character" w:customStyle="1" w:styleId="79">
    <w:name w:val="日期 字符"/>
    <w:basedOn w:val="47"/>
    <w:link w:val="25"/>
    <w:autoRedefine/>
    <w:qFormat/>
    <w:locked/>
    <w:uiPriority w:val="99"/>
    <w:rPr>
      <w:rFonts w:ascii="仿宋_GB2312" w:eastAsia="仿宋_GB2312" w:cs="仿宋_GB2312"/>
      <w:kern w:val="2"/>
      <w:sz w:val="30"/>
      <w:szCs w:val="30"/>
      <w:lang w:val="en-US" w:eastAsia="zh-CN"/>
    </w:rPr>
  </w:style>
  <w:style w:type="character" w:customStyle="1" w:styleId="80">
    <w:name w:val="正文文本缩进 2 字符"/>
    <w:basedOn w:val="47"/>
    <w:link w:val="26"/>
    <w:autoRedefine/>
    <w:semiHidden/>
    <w:qFormat/>
    <w:locked/>
    <w:uiPriority w:val="99"/>
    <w:rPr>
      <w:rFonts w:cs="Times New Roman"/>
      <w:sz w:val="21"/>
      <w:szCs w:val="21"/>
    </w:rPr>
  </w:style>
  <w:style w:type="character" w:customStyle="1" w:styleId="81">
    <w:name w:val="批注框文本 字符"/>
    <w:basedOn w:val="47"/>
    <w:link w:val="27"/>
    <w:autoRedefine/>
    <w:semiHidden/>
    <w:qFormat/>
    <w:locked/>
    <w:uiPriority w:val="99"/>
    <w:rPr>
      <w:rFonts w:cs="Times New Roman"/>
      <w:sz w:val="2"/>
    </w:rPr>
  </w:style>
  <w:style w:type="character" w:customStyle="1" w:styleId="82">
    <w:name w:val="页脚 字符"/>
    <w:basedOn w:val="47"/>
    <w:link w:val="28"/>
    <w:autoRedefine/>
    <w:qFormat/>
    <w:locked/>
    <w:uiPriority w:val="99"/>
    <w:rPr>
      <w:rFonts w:eastAsia="宋体" w:cs="Times New Roman"/>
      <w:kern w:val="2"/>
      <w:sz w:val="18"/>
      <w:szCs w:val="18"/>
      <w:lang w:val="en-US" w:eastAsia="zh-CN"/>
    </w:rPr>
  </w:style>
  <w:style w:type="character" w:customStyle="1" w:styleId="83">
    <w:name w:val="页眉 字符"/>
    <w:basedOn w:val="47"/>
    <w:link w:val="29"/>
    <w:autoRedefine/>
    <w:qFormat/>
    <w:locked/>
    <w:uiPriority w:val="99"/>
    <w:rPr>
      <w:rFonts w:eastAsia="宋体" w:cs="Times New Roman"/>
      <w:kern w:val="2"/>
      <w:sz w:val="18"/>
      <w:szCs w:val="18"/>
      <w:lang w:val="en-US" w:eastAsia="zh-CN"/>
    </w:rPr>
  </w:style>
  <w:style w:type="character" w:customStyle="1" w:styleId="84">
    <w:name w:val="副标题 字符"/>
    <w:basedOn w:val="47"/>
    <w:link w:val="32"/>
    <w:autoRedefine/>
    <w:qFormat/>
    <w:locked/>
    <w:uiPriority w:val="99"/>
    <w:rPr>
      <w:rFonts w:ascii="Cambria" w:hAnsi="Cambria" w:cs="Cambria"/>
      <w:b/>
      <w:bCs/>
      <w:kern w:val="28"/>
      <w:sz w:val="32"/>
      <w:szCs w:val="32"/>
    </w:rPr>
  </w:style>
  <w:style w:type="character" w:customStyle="1" w:styleId="85">
    <w:name w:val="脚注文本 字符"/>
    <w:basedOn w:val="47"/>
    <w:link w:val="34"/>
    <w:autoRedefine/>
    <w:semiHidden/>
    <w:qFormat/>
    <w:locked/>
    <w:uiPriority w:val="99"/>
    <w:rPr>
      <w:rFonts w:cs="Times New Roman"/>
      <w:sz w:val="18"/>
      <w:szCs w:val="18"/>
    </w:rPr>
  </w:style>
  <w:style w:type="character" w:customStyle="1" w:styleId="86">
    <w:name w:val="正文文本缩进 3 字符"/>
    <w:basedOn w:val="47"/>
    <w:link w:val="36"/>
    <w:autoRedefine/>
    <w:semiHidden/>
    <w:qFormat/>
    <w:locked/>
    <w:uiPriority w:val="99"/>
    <w:rPr>
      <w:rFonts w:cs="Times New Roman"/>
      <w:sz w:val="16"/>
      <w:szCs w:val="16"/>
    </w:rPr>
  </w:style>
  <w:style w:type="character" w:customStyle="1" w:styleId="87">
    <w:name w:val="正文文本 2 字符"/>
    <w:basedOn w:val="47"/>
    <w:link w:val="40"/>
    <w:autoRedefine/>
    <w:semiHidden/>
    <w:qFormat/>
    <w:locked/>
    <w:uiPriority w:val="99"/>
    <w:rPr>
      <w:rFonts w:cs="Times New Roman"/>
      <w:sz w:val="21"/>
      <w:szCs w:val="21"/>
    </w:rPr>
  </w:style>
  <w:style w:type="character" w:customStyle="1" w:styleId="88">
    <w:name w:val="标题 字符"/>
    <w:basedOn w:val="47"/>
    <w:link w:val="42"/>
    <w:autoRedefine/>
    <w:qFormat/>
    <w:locked/>
    <w:uiPriority w:val="99"/>
    <w:rPr>
      <w:rFonts w:ascii="Cambria" w:hAnsi="Cambria" w:cs="Cambria"/>
      <w:b/>
      <w:bCs/>
      <w:kern w:val="2"/>
      <w:sz w:val="32"/>
      <w:szCs w:val="32"/>
    </w:rPr>
  </w:style>
  <w:style w:type="character" w:customStyle="1" w:styleId="89">
    <w:name w:val="批注主题 字符"/>
    <w:basedOn w:val="74"/>
    <w:link w:val="43"/>
    <w:autoRedefine/>
    <w:qFormat/>
    <w:locked/>
    <w:uiPriority w:val="99"/>
    <w:rPr>
      <w:rFonts w:ascii="宋体" w:cs="宋体"/>
      <w:b/>
      <w:bCs/>
      <w:kern w:val="2"/>
      <w:sz w:val="28"/>
      <w:szCs w:val="28"/>
    </w:rPr>
  </w:style>
  <w:style w:type="character" w:customStyle="1" w:styleId="90">
    <w:name w:val="正文文本首行缩进 2 字符"/>
    <w:basedOn w:val="77"/>
    <w:link w:val="44"/>
    <w:autoRedefine/>
    <w:semiHidden/>
    <w:qFormat/>
    <w:locked/>
    <w:uiPriority w:val="99"/>
    <w:rPr>
      <w:rFonts w:cs="Times New Roman"/>
      <w:sz w:val="21"/>
      <w:szCs w:val="21"/>
    </w:rPr>
  </w:style>
  <w:style w:type="character" w:customStyle="1" w:styleId="91">
    <w:name w:val="批注文字 Char Char"/>
    <w:autoRedefine/>
    <w:qFormat/>
    <w:uiPriority w:val="99"/>
    <w:rPr>
      <w:rFonts w:ascii="宋体" w:hAnsi="Times New Roman" w:eastAsia="宋体"/>
      <w:sz w:val="20"/>
    </w:rPr>
  </w:style>
  <w:style w:type="character" w:customStyle="1" w:styleId="92">
    <w:name w:val="标题 1 Char Char"/>
    <w:autoRedefine/>
    <w:qFormat/>
    <w:locked/>
    <w:uiPriority w:val="99"/>
    <w:rPr>
      <w:rFonts w:eastAsia="宋体"/>
      <w:b/>
      <w:kern w:val="44"/>
      <w:sz w:val="44"/>
      <w:lang w:val="en-US" w:eastAsia="zh-CN"/>
    </w:rPr>
  </w:style>
  <w:style w:type="character" w:customStyle="1" w:styleId="93">
    <w:name w:val="Char Char"/>
    <w:autoRedefine/>
    <w:qFormat/>
    <w:uiPriority w:val="99"/>
    <w:rPr>
      <w:rFonts w:ascii="Arial" w:hAnsi="Arial" w:eastAsia="黑体"/>
      <w:b/>
      <w:kern w:val="2"/>
      <w:sz w:val="32"/>
      <w:lang w:val="en-US" w:eastAsia="zh-CN"/>
    </w:rPr>
  </w:style>
  <w:style w:type="character" w:customStyle="1" w:styleId="94">
    <w:name w:val="明显参考1"/>
    <w:autoRedefine/>
    <w:qFormat/>
    <w:uiPriority w:val="99"/>
    <w:rPr>
      <w:b/>
      <w:smallCaps/>
      <w:color w:val="auto"/>
      <w:spacing w:val="5"/>
      <w:u w:val="single"/>
    </w:rPr>
  </w:style>
  <w:style w:type="character" w:customStyle="1" w:styleId="95">
    <w:name w:val="明显强调1"/>
    <w:autoRedefine/>
    <w:qFormat/>
    <w:uiPriority w:val="99"/>
    <w:rPr>
      <w:b/>
      <w:i/>
      <w:color w:val="4F81BD"/>
    </w:rPr>
  </w:style>
  <w:style w:type="character" w:customStyle="1" w:styleId="96">
    <w:name w:val="文档结构图 Char1"/>
    <w:autoRedefine/>
    <w:qFormat/>
    <w:uiPriority w:val="99"/>
    <w:rPr>
      <w:rFonts w:ascii="宋体"/>
      <w:kern w:val="2"/>
      <w:sz w:val="18"/>
    </w:rPr>
  </w:style>
  <w:style w:type="character" w:customStyle="1" w:styleId="97">
    <w:name w:val="日期 Char"/>
    <w:autoRedefine/>
    <w:qFormat/>
    <w:uiPriority w:val="99"/>
    <w:rPr>
      <w:rFonts w:ascii="仿宋_GB2312" w:eastAsia="仿宋_GB2312"/>
      <w:kern w:val="2"/>
      <w:sz w:val="30"/>
      <w:lang w:val="en-US" w:eastAsia="zh-CN"/>
    </w:rPr>
  </w:style>
  <w:style w:type="character" w:customStyle="1" w:styleId="98">
    <w:name w:val="textcontents"/>
    <w:autoRedefine/>
    <w:qFormat/>
    <w:uiPriority w:val="99"/>
  </w:style>
  <w:style w:type="character" w:customStyle="1" w:styleId="99">
    <w:name w:val="引用 Char"/>
    <w:link w:val="100"/>
    <w:autoRedefine/>
    <w:qFormat/>
    <w:locked/>
    <w:uiPriority w:val="99"/>
    <w:rPr>
      <w:i/>
      <w:color w:val="000000"/>
      <w:kern w:val="2"/>
      <w:sz w:val="22"/>
    </w:rPr>
  </w:style>
  <w:style w:type="paragraph" w:customStyle="1" w:styleId="100">
    <w:name w:val="引用1"/>
    <w:basedOn w:val="1"/>
    <w:next w:val="1"/>
    <w:link w:val="99"/>
    <w:autoRedefine/>
    <w:qFormat/>
    <w:uiPriority w:val="99"/>
    <w:rPr>
      <w:i/>
      <w:color w:val="000000"/>
      <w:sz w:val="22"/>
      <w:szCs w:val="20"/>
    </w:rPr>
  </w:style>
  <w:style w:type="character" w:customStyle="1" w:styleId="101">
    <w:name w:val="日期 Char1"/>
    <w:autoRedefine/>
    <w:qFormat/>
    <w:uiPriority w:val="99"/>
    <w:rPr>
      <w:kern w:val="2"/>
      <w:sz w:val="22"/>
    </w:rPr>
  </w:style>
  <w:style w:type="character" w:customStyle="1" w:styleId="102">
    <w:name w:val="不明显参考1"/>
    <w:autoRedefine/>
    <w:qFormat/>
    <w:uiPriority w:val="99"/>
    <w:rPr>
      <w:smallCaps/>
      <w:color w:val="auto"/>
      <w:u w:val="single"/>
    </w:rPr>
  </w:style>
  <w:style w:type="character" w:customStyle="1" w:styleId="103">
    <w:name w:val="批注框文本 Char1"/>
    <w:autoRedefine/>
    <w:qFormat/>
    <w:uiPriority w:val="99"/>
    <w:rPr>
      <w:kern w:val="2"/>
      <w:sz w:val="18"/>
    </w:rPr>
  </w:style>
  <w:style w:type="character" w:customStyle="1" w:styleId="104">
    <w:name w:val="不明显强调1"/>
    <w:autoRedefine/>
    <w:qFormat/>
    <w:uiPriority w:val="99"/>
    <w:rPr>
      <w:i/>
      <w:color w:val="808080"/>
    </w:rPr>
  </w:style>
  <w:style w:type="character" w:customStyle="1" w:styleId="105">
    <w:name w:val="标题4 Char Char"/>
    <w:link w:val="106"/>
    <w:autoRedefine/>
    <w:qFormat/>
    <w:locked/>
    <w:uiPriority w:val="99"/>
    <w:rPr>
      <w:rFonts w:ascii="Arial" w:hAnsi="Arial"/>
      <w:b/>
      <w:sz w:val="32"/>
    </w:rPr>
  </w:style>
  <w:style w:type="paragraph" w:customStyle="1" w:styleId="106">
    <w:name w:val="标题4"/>
    <w:basedOn w:val="3"/>
    <w:next w:val="20"/>
    <w:link w:val="105"/>
    <w:autoRedefine/>
    <w:qFormat/>
    <w:uiPriority w:val="99"/>
    <w:pPr>
      <w:spacing w:line="413" w:lineRule="auto"/>
    </w:pPr>
    <w:rPr>
      <w:rFonts w:eastAsia="宋体" w:cs="Times New Roman"/>
      <w:bCs w:val="0"/>
      <w:kern w:val="0"/>
      <w:szCs w:val="20"/>
    </w:rPr>
  </w:style>
  <w:style w:type="character" w:customStyle="1" w:styleId="107">
    <w:name w:val="书籍标题1"/>
    <w:autoRedefine/>
    <w:qFormat/>
    <w:uiPriority w:val="99"/>
    <w:rPr>
      <w:b/>
      <w:smallCaps/>
      <w:spacing w:val="5"/>
    </w:rPr>
  </w:style>
  <w:style w:type="character" w:customStyle="1" w:styleId="108">
    <w:name w:val="bigfont"/>
    <w:basedOn w:val="47"/>
    <w:autoRedefine/>
    <w:qFormat/>
    <w:uiPriority w:val="99"/>
    <w:rPr>
      <w:rFonts w:cs="Times New Roman"/>
    </w:rPr>
  </w:style>
  <w:style w:type="character" w:customStyle="1" w:styleId="109">
    <w:name w:val="news_title1"/>
    <w:autoRedefine/>
    <w:qFormat/>
    <w:uiPriority w:val="99"/>
    <w:rPr>
      <w:rFonts w:ascii="宋体" w:hAnsi="宋体" w:eastAsia="宋体"/>
      <w:b/>
      <w:color w:val="000000"/>
      <w:sz w:val="36"/>
      <w:u w:val="none"/>
    </w:rPr>
  </w:style>
  <w:style w:type="character" w:customStyle="1" w:styleId="110">
    <w:name w:val="标题5 Char Char"/>
    <w:link w:val="111"/>
    <w:autoRedefine/>
    <w:qFormat/>
    <w:locked/>
    <w:uiPriority w:val="99"/>
    <w:rPr>
      <w:rFonts w:ascii="Arial" w:hAnsi="Arial"/>
      <w:b/>
      <w:sz w:val="32"/>
    </w:rPr>
  </w:style>
  <w:style w:type="paragraph" w:customStyle="1" w:styleId="111">
    <w:name w:val="标题5"/>
    <w:basedOn w:val="4"/>
    <w:link w:val="110"/>
    <w:autoRedefine/>
    <w:qFormat/>
    <w:uiPriority w:val="99"/>
    <w:pPr>
      <w:spacing w:line="413" w:lineRule="auto"/>
    </w:pPr>
    <w:rPr>
      <w:rFonts w:ascii="Arial" w:hAnsi="Arial"/>
      <w:bCs w:val="0"/>
      <w:kern w:val="0"/>
      <w:szCs w:val="20"/>
    </w:rPr>
  </w:style>
  <w:style w:type="character" w:customStyle="1" w:styleId="112">
    <w:name w:val="font161"/>
    <w:autoRedefine/>
    <w:qFormat/>
    <w:uiPriority w:val="99"/>
    <w:rPr>
      <w:b/>
      <w:sz w:val="32"/>
    </w:rPr>
  </w:style>
  <w:style w:type="character" w:customStyle="1" w:styleId="113">
    <w:name w:val="标题 2 Char Char"/>
    <w:autoRedefine/>
    <w:qFormat/>
    <w:locked/>
    <w:uiPriority w:val="99"/>
    <w:rPr>
      <w:rFonts w:ascii="Arial" w:hAnsi="Arial" w:eastAsia="黑体"/>
      <w:b/>
      <w:kern w:val="2"/>
      <w:sz w:val="32"/>
      <w:lang w:val="en-US" w:eastAsia="zh-CN"/>
    </w:rPr>
  </w:style>
  <w:style w:type="character" w:customStyle="1" w:styleId="114">
    <w:name w:val="Char Char1"/>
    <w:autoRedefine/>
    <w:qFormat/>
    <w:uiPriority w:val="99"/>
    <w:rPr>
      <w:rFonts w:ascii="宋体" w:hAnsi="Times New Roman"/>
      <w:sz w:val="28"/>
    </w:rPr>
  </w:style>
  <w:style w:type="character" w:customStyle="1" w:styleId="115">
    <w:name w:val="明显引用 Char"/>
    <w:link w:val="116"/>
    <w:autoRedefine/>
    <w:qFormat/>
    <w:locked/>
    <w:uiPriority w:val="99"/>
    <w:rPr>
      <w:b/>
      <w:i/>
      <w:color w:val="4F81BD"/>
      <w:kern w:val="2"/>
      <w:sz w:val="22"/>
    </w:rPr>
  </w:style>
  <w:style w:type="paragraph" w:customStyle="1" w:styleId="116">
    <w:name w:val="明显引用1"/>
    <w:basedOn w:val="1"/>
    <w:next w:val="1"/>
    <w:link w:val="115"/>
    <w:autoRedefine/>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autoRedefine/>
    <w:qFormat/>
    <w:uiPriority w:val="99"/>
    <w:rPr>
      <w:b/>
      <w:kern w:val="2"/>
      <w:sz w:val="22"/>
    </w:rPr>
  </w:style>
  <w:style w:type="character" w:customStyle="1" w:styleId="118">
    <w:name w:val="正文文本 Char1"/>
    <w:autoRedefine/>
    <w:qFormat/>
    <w:uiPriority w:val="99"/>
    <w:rPr>
      <w:kern w:val="2"/>
      <w:sz w:val="22"/>
    </w:rPr>
  </w:style>
  <w:style w:type="paragraph" w:customStyle="1" w:styleId="119">
    <w:name w:val="默认段落字体 Para Char Char Char Char"/>
    <w:basedOn w:val="1"/>
    <w:autoRedefine/>
    <w:qFormat/>
    <w:uiPriority w:val="99"/>
  </w:style>
  <w:style w:type="paragraph" w:customStyle="1" w:styleId="120">
    <w:name w:val="Char Char Char Char Char Char Char Char Char Char Char Char Char"/>
    <w:basedOn w:val="1"/>
    <w:autoRedefine/>
    <w:qFormat/>
    <w:uiPriority w:val="99"/>
  </w:style>
  <w:style w:type="paragraph" w:customStyle="1" w:styleId="121">
    <w:name w:val="样式 标题 3 + (中文) 黑体 小四 非加粗 段前: 7.8 磅 段后: 0 磅 行距: 固定值 20 磅"/>
    <w:basedOn w:val="4"/>
    <w:autoRedefine/>
    <w:qFormat/>
    <w:uiPriority w:val="99"/>
    <w:pPr>
      <w:spacing w:before="0" w:after="0" w:line="400" w:lineRule="exact"/>
    </w:pPr>
    <w:rPr>
      <w:rFonts w:eastAsia="黑体"/>
      <w:b w:val="0"/>
      <w:bCs w:val="0"/>
      <w:sz w:val="24"/>
      <w:szCs w:val="24"/>
    </w:rPr>
  </w:style>
  <w:style w:type="paragraph" w:customStyle="1" w:styleId="122">
    <w:name w:val="表格文字"/>
    <w:basedOn w:val="1"/>
    <w:autoRedefine/>
    <w:qFormat/>
    <w:uiPriority w:val="99"/>
    <w:pPr>
      <w:adjustRightInd w:val="0"/>
      <w:spacing w:line="420" w:lineRule="atLeast"/>
      <w:jc w:val="left"/>
      <w:textAlignment w:val="baseline"/>
    </w:pPr>
    <w:rPr>
      <w:kern w:val="0"/>
    </w:rPr>
  </w:style>
  <w:style w:type="paragraph" w:customStyle="1" w:styleId="123">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autoRedefine/>
    <w:qFormat/>
    <w:uiPriority w:val="99"/>
    <w:pPr>
      <w:widowControl/>
      <w:spacing w:line="360" w:lineRule="auto"/>
      <w:jc w:val="left"/>
    </w:pPr>
    <w:rPr>
      <w:kern w:val="0"/>
      <w:lang w:eastAsia="en-US"/>
    </w:rPr>
  </w:style>
  <w:style w:type="paragraph" w:customStyle="1" w:styleId="125">
    <w:name w:val="样式2"/>
    <w:basedOn w:val="4"/>
    <w:autoRedefine/>
    <w:qFormat/>
    <w:uiPriority w:val="99"/>
    <w:pPr>
      <w:spacing w:line="413" w:lineRule="auto"/>
    </w:pPr>
  </w:style>
  <w:style w:type="paragraph" w:customStyle="1" w:styleId="126">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autoRedefine/>
    <w:qFormat/>
    <w:uiPriority w:val="99"/>
    <w:pPr>
      <w:jc w:val="center"/>
      <w:textAlignment w:val="center"/>
    </w:pPr>
    <w:rPr>
      <w:rFonts w:ascii="华文细黑" w:hAnsi="华文细黑" w:cs="华文细黑"/>
      <w:kern w:val="0"/>
    </w:rPr>
  </w:style>
  <w:style w:type="paragraph" w:customStyle="1" w:styleId="128">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autoRedefine/>
    <w:qFormat/>
    <w:uiPriority w:val="99"/>
  </w:style>
  <w:style w:type="paragraph" w:customStyle="1" w:styleId="130">
    <w:name w:val="样式1"/>
    <w:basedOn w:val="4"/>
    <w:autoRedefine/>
    <w:qFormat/>
    <w:uiPriority w:val="99"/>
    <w:pPr>
      <w:spacing w:line="413" w:lineRule="auto"/>
    </w:pPr>
  </w:style>
  <w:style w:type="paragraph" w:customStyle="1" w:styleId="131">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autoRedefine/>
    <w:qFormat/>
    <w:uiPriority w:val="99"/>
    <w:pPr>
      <w:spacing w:line="413" w:lineRule="auto"/>
    </w:pPr>
  </w:style>
  <w:style w:type="paragraph" w:customStyle="1" w:styleId="134">
    <w:name w:val="TOC 标题1"/>
    <w:basedOn w:val="2"/>
    <w:next w:val="1"/>
    <w:autoRedefine/>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autoRedefine/>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3"/>
    <w:autoRedefine/>
    <w:qFormat/>
    <w:uiPriority w:val="99"/>
    <w:rPr>
      <w:rFonts w:ascii="Tahoma" w:hAnsi="Tahoma" w:cs="Tahoma"/>
      <w:sz w:val="24"/>
      <w:szCs w:val="24"/>
      <w:shd w:val="clear" w:color="auto" w:fill="auto"/>
    </w:rPr>
  </w:style>
  <w:style w:type="paragraph" w:customStyle="1" w:styleId="138">
    <w:name w:val="列出段落1"/>
    <w:basedOn w:val="1"/>
    <w:autoRedefine/>
    <w:qFormat/>
    <w:uiPriority w:val="99"/>
    <w:pPr>
      <w:ind w:firstLine="420" w:firstLineChars="200"/>
    </w:pPr>
    <w:rPr>
      <w:rFonts w:ascii="Calibri" w:hAnsi="Calibri" w:cs="Calibri"/>
    </w:rPr>
  </w:style>
  <w:style w:type="paragraph" w:customStyle="1" w:styleId="139">
    <w:name w:val="Char1"/>
    <w:basedOn w:val="1"/>
    <w:autoRedefine/>
    <w:qFormat/>
    <w:uiPriority w:val="99"/>
    <w:rPr>
      <w:rFonts w:ascii="Tahoma" w:hAnsi="Tahoma" w:cs="Tahoma"/>
      <w:sz w:val="24"/>
      <w:szCs w:val="24"/>
    </w:rPr>
  </w:style>
  <w:style w:type="paragraph" w:customStyle="1" w:styleId="14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autoRedefine/>
    <w:qFormat/>
    <w:uiPriority w:val="99"/>
    <w:pPr>
      <w:spacing w:line="413" w:lineRule="auto"/>
    </w:pPr>
  </w:style>
  <w:style w:type="paragraph" w:customStyle="1" w:styleId="142">
    <w:name w:val="正文1"/>
    <w:autoRedefine/>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列出段落2"/>
    <w:basedOn w:val="1"/>
    <w:autoRedefine/>
    <w:qFormat/>
    <w:uiPriority w:val="99"/>
    <w:pPr>
      <w:ind w:firstLine="200" w:firstLineChars="200"/>
    </w:pPr>
  </w:style>
  <w:style w:type="paragraph" w:customStyle="1" w:styleId="144">
    <w:name w:val="p0"/>
    <w:basedOn w:val="1"/>
    <w:autoRedefine/>
    <w:qFormat/>
    <w:uiPriority w:val="99"/>
    <w:pPr>
      <w:widowControl/>
    </w:pPr>
    <w:rPr>
      <w:kern w:val="0"/>
    </w:rPr>
  </w:style>
  <w:style w:type="paragraph" w:customStyle="1" w:styleId="145">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autoRedefine/>
    <w:qFormat/>
    <w:uiPriority w:val="99"/>
    <w:rPr>
      <w:rFonts w:ascii="Times New Roman" w:hAnsi="Times New Roman" w:eastAsia="宋体" w:cs="Times New Roman"/>
      <w:lang w:val="en-US" w:eastAsia="zh-CN" w:bidi="ar-SA"/>
    </w:rPr>
  </w:style>
  <w:style w:type="paragraph" w:customStyle="1" w:styleId="147">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48">
    <w:name w:val="WPSOffice手动目录 3"/>
    <w:autoRedefine/>
    <w:qFormat/>
    <w:uiPriority w:val="99"/>
    <w:pPr>
      <w:ind w:left="400" w:leftChars="400"/>
    </w:pPr>
    <w:rPr>
      <w:rFonts w:ascii="Times New Roman" w:hAnsi="Times New Roman" w:eastAsia="宋体" w:cs="Times New Roman"/>
      <w:lang w:val="en-US" w:eastAsia="zh-CN" w:bidi="ar-SA"/>
    </w:rPr>
  </w:style>
  <w:style w:type="character" w:customStyle="1" w:styleId="149">
    <w:name w:val="c-icon26"/>
    <w:basedOn w:val="47"/>
    <w:autoRedefine/>
    <w:qFormat/>
    <w:uiPriority w:val="0"/>
  </w:style>
  <w:style w:type="character" w:customStyle="1" w:styleId="150">
    <w:name w:val="hover28"/>
    <w:basedOn w:val="47"/>
    <w:autoRedefine/>
    <w:qFormat/>
    <w:uiPriority w:val="0"/>
  </w:style>
  <w:style w:type="character" w:customStyle="1" w:styleId="151">
    <w:name w:val="hover29"/>
    <w:basedOn w:val="47"/>
    <w:autoRedefine/>
    <w:qFormat/>
    <w:uiPriority w:val="0"/>
    <w:rPr>
      <w:color w:val="315EFB"/>
    </w:rPr>
  </w:style>
  <w:style w:type="character" w:customStyle="1" w:styleId="152">
    <w:name w:val="hover30"/>
    <w:basedOn w:val="47"/>
    <w:autoRedefine/>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5824</Words>
  <Characters>6351</Characters>
  <Lines>1</Lines>
  <Paragraphs>1</Paragraphs>
  <TotalTime>1</TotalTime>
  <ScaleCrop>false</ScaleCrop>
  <LinksUpToDate>false</LinksUpToDate>
  <CharactersWithSpaces>6532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傻傻一辈子</cp:lastModifiedBy>
  <cp:lastPrinted>2024-11-13T06:32:00Z</cp:lastPrinted>
  <dcterms:modified xsi:type="dcterms:W3CDTF">2024-11-13T08:18:18Z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798D0C231FBA4D34AA68AAFA09D39789_13</vt:lpwstr>
  </property>
</Properties>
</file>