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15058843"/>
      <w:bookmarkStart w:id="1" w:name="_Toc296602400"/>
      <w:bookmarkStart w:id="2" w:name="_Toc461631222"/>
      <w:bookmarkStart w:id="3" w:name="_Toc246996898"/>
      <w:bookmarkStart w:id="4" w:name="_Toc506107265"/>
      <w:bookmarkStart w:id="5" w:name="_Toc247085669"/>
      <w:bookmarkStart w:id="6" w:name="_Toc324404811"/>
      <w:bookmarkStart w:id="7" w:name="OLE_LINK1"/>
      <w:bookmarkStart w:id="8" w:name="OLE_LINK3"/>
      <w:bookmarkStart w:id="9" w:name="OLE_LINK5"/>
      <w:bookmarkStart w:id="10" w:name="OLE_LINK2"/>
      <w:bookmarkStart w:id="11" w:name="OLE_LINK4"/>
    </w:p>
    <w:p w14:paraId="47DD7C31">
      <w:pPr>
        <w:pStyle w:val="14"/>
        <w:ind w:firstLine="420"/>
        <w:rPr>
          <w:color w:val="auto"/>
          <w:highlight w:val="none"/>
        </w:rPr>
      </w:pPr>
    </w:p>
    <w:p w14:paraId="665D6013">
      <w:pPr>
        <w:jc w:val="center"/>
        <w:rPr>
          <w:rFonts w:ascii="宋体" w:hAnsi="宋体"/>
          <w:color w:val="auto"/>
          <w:sz w:val="44"/>
          <w:szCs w:val="44"/>
          <w:highlight w:val="none"/>
        </w:rPr>
      </w:pPr>
      <w:r>
        <w:rPr>
          <w:rFonts w:hint="eastAsia" w:hAnsi="宋体" w:cs="宋体"/>
          <w:b/>
          <w:color w:val="auto"/>
          <w:kern w:val="0"/>
          <w:sz w:val="44"/>
          <w:szCs w:val="44"/>
          <w:highlight w:val="none"/>
          <w:lang w:eastAsia="zh-CN"/>
        </w:rPr>
        <w:t>玄武岩加工厂厂区区域硬化、截排水设施工程</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90C191E">
      <w:pPr>
        <w:pStyle w:val="14"/>
        <w:rPr>
          <w:color w:val="auto"/>
          <w:highlight w:val="none"/>
        </w:rPr>
      </w:pPr>
    </w:p>
    <w:p w14:paraId="17F6ED0D">
      <w:pPr>
        <w:rPr>
          <w:color w:val="auto"/>
          <w:highlight w:val="none"/>
        </w:rPr>
      </w:pPr>
    </w:p>
    <w:p w14:paraId="0FDB5A08">
      <w:pPr>
        <w:pStyle w:val="14"/>
        <w:rPr>
          <w:color w:val="auto"/>
          <w:highlight w:val="none"/>
        </w:rPr>
      </w:pPr>
    </w:p>
    <w:p w14:paraId="7DF49CF7">
      <w:pPr>
        <w:rPr>
          <w:color w:val="auto"/>
          <w:highlight w:val="none"/>
        </w:rPr>
      </w:pPr>
    </w:p>
    <w:p w14:paraId="1D426B7C">
      <w:pPr>
        <w:pStyle w:val="14"/>
        <w:rPr>
          <w:color w:val="auto"/>
          <w:highlight w:val="none"/>
        </w:rPr>
      </w:pPr>
    </w:p>
    <w:p w14:paraId="79E5B4C1">
      <w:pPr>
        <w:rPr>
          <w:color w:val="auto"/>
          <w:highlight w:val="none"/>
        </w:rPr>
      </w:pPr>
    </w:p>
    <w:p w14:paraId="4E3D3D10">
      <w:pPr>
        <w:pStyle w:val="14"/>
        <w:rPr>
          <w:color w:val="auto"/>
          <w:highlight w:val="none"/>
        </w:rPr>
      </w:pPr>
    </w:p>
    <w:p w14:paraId="041A5E3F">
      <w:pPr>
        <w:rPr>
          <w:color w:val="auto"/>
          <w:highlight w:val="none"/>
        </w:rPr>
      </w:pPr>
    </w:p>
    <w:p w14:paraId="20C61F2E">
      <w:pPr>
        <w:pStyle w:val="14"/>
        <w:rPr>
          <w:color w:val="auto"/>
          <w:highlight w:val="none"/>
        </w:rPr>
      </w:pPr>
    </w:p>
    <w:p w14:paraId="5043FF4A">
      <w:pPr>
        <w:rPr>
          <w:color w:val="auto"/>
          <w:highlight w:val="none"/>
        </w:rPr>
      </w:pPr>
    </w:p>
    <w:p w14:paraId="2E5D9C52">
      <w:pPr>
        <w:pStyle w:val="14"/>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2225"/>
      <w:bookmarkStart w:id="13" w:name="_Toc32059"/>
      <w:bookmarkStart w:id="14" w:name="_Toc25057"/>
      <w:bookmarkStart w:id="15" w:name="_Toc2049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安徽磐谷高科有限公司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20AF76B">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11</w:t>
      </w:r>
      <w:r>
        <w:rPr>
          <w:rFonts w:hint="eastAsia" w:ascii="宋体"/>
          <w:b/>
          <w:color w:val="auto"/>
          <w:sz w:val="32"/>
          <w:szCs w:val="32"/>
          <w:highlight w:val="none"/>
        </w:rPr>
        <w:t>月</w:t>
      </w:r>
    </w:p>
    <w:p w14:paraId="7415EFE5">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1DC6623">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44974479"/>
      <w:bookmarkStart w:id="18" w:name="_Toc152042287"/>
      <w:bookmarkStart w:id="19" w:name="_Toc179632527"/>
    </w:p>
    <w:p w14:paraId="2AD525C2">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_Toc12261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玄武岩加工厂厂区区域硬化、截排水设施工程</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_Toc12261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541A45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_Toc18989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_Toc18989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7A35E03">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_Toc5501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_Toc5501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8FE817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_Toc1286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_Toc1286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2707DD7">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_Toc8750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_Toc8750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B870CD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_Toc3388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_Toc3388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7D55F7B">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_Toc25013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 xml:space="preserve">第六章 </w:t>
      </w:r>
      <w:r>
        <w:rPr>
          <w:rFonts w:hint="eastAsia" w:ascii="宋体" w:hAnsi="宋体" w:eastAsia="宋体" w:cs="宋体"/>
          <w:b w:val="0"/>
          <w:bCs w:val="0"/>
          <w:color w:val="auto"/>
          <w:sz w:val="28"/>
          <w:szCs w:val="28"/>
          <w:highlight w:val="none"/>
          <w:lang w:val="en-US" w:eastAsia="zh-CN"/>
        </w:rPr>
        <w:t xml:space="preserve"> 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_Toc25013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DFA278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_Toc8272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_Toc8272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C49A072">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_Toc29114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_Toc29114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7BC1DB96">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12261"/>
      <w:bookmarkStart w:id="22" w:name="_Toc78803320"/>
      <w:bookmarkStart w:id="23" w:name="_Toc152045527"/>
      <w:bookmarkStart w:id="24" w:name="_Toc152042303"/>
      <w:bookmarkStart w:id="25" w:name="_Toc247085687"/>
      <w:bookmarkStart w:id="26" w:name="_Toc246996916"/>
      <w:bookmarkStart w:id="27" w:name="_Toc15058844"/>
      <w:bookmarkStart w:id="28" w:name="_Toc179632544"/>
      <w:bookmarkStart w:id="29" w:name="_Toc35425050"/>
      <w:bookmarkStart w:id="30" w:name="_Toc246996173"/>
      <w:bookmarkStart w:id="31" w:name="_Toc506107267"/>
      <w:bookmarkStart w:id="32" w:name="_Toc35424883"/>
      <w:bookmarkStart w:id="33" w:name="_Toc144974495"/>
      <w:bookmarkStart w:id="34" w:name="_Toc324404813"/>
      <w:r>
        <w:rPr>
          <w:rFonts w:hint="eastAsia"/>
          <w:bCs/>
          <w:color w:val="auto"/>
          <w:szCs w:val="32"/>
          <w:highlight w:val="none"/>
          <w:lang w:eastAsia="zh-CN"/>
        </w:rPr>
        <w:t>玄武岩加工厂厂区区域硬化、截排水设施工程</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5"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玄武岩加工厂厂区区域硬化、截排水设施工程</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1、投标人要求：须具备建设行政主管部门颁发的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工程施工总承包叁级（或以上）资质</w:t>
            </w:r>
            <w:r>
              <w:rPr>
                <w:rFonts w:hint="eastAsia" w:ascii="宋体" w:hAnsi="宋体" w:cs="宋体"/>
                <w:bCs/>
                <w:color w:val="auto"/>
                <w:kern w:val="0"/>
                <w:sz w:val="21"/>
                <w:szCs w:val="21"/>
                <w:highlight w:val="none"/>
                <w:lang w:val="en-US" w:eastAsia="zh-CN" w:bidi="ar"/>
              </w:rPr>
              <w:t>或建筑工程施工总承包叁级（或以上）资质</w:t>
            </w:r>
            <w:r>
              <w:rPr>
                <w:rFonts w:hint="eastAsia" w:ascii="宋体" w:hAnsi="宋体" w:eastAsia="宋体" w:cs="宋体"/>
                <w:bCs/>
                <w:color w:val="auto"/>
                <w:kern w:val="0"/>
                <w:sz w:val="21"/>
                <w:szCs w:val="21"/>
                <w:highlight w:val="none"/>
                <w:lang w:val="en-US" w:eastAsia="zh-CN" w:bidi="ar"/>
              </w:rPr>
              <w:t>；</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2、项目经理（建造师）要求：具有注册在投标单位的市政公用工程</w:t>
            </w:r>
            <w:r>
              <w:rPr>
                <w:rFonts w:hint="eastAsia" w:ascii="宋体" w:hAnsi="宋体" w:cs="宋体"/>
                <w:bCs/>
                <w:color w:val="auto"/>
                <w:kern w:val="0"/>
                <w:sz w:val="21"/>
                <w:szCs w:val="21"/>
                <w:highlight w:val="none"/>
                <w:lang w:val="en-US" w:eastAsia="zh-CN" w:bidi="ar"/>
              </w:rPr>
              <w:t>（或建筑工程）</w:t>
            </w:r>
            <w:r>
              <w:rPr>
                <w:rFonts w:hint="eastAsia" w:ascii="宋体" w:hAnsi="宋体" w:eastAsia="宋体" w:cs="宋体"/>
                <w:bCs/>
                <w:color w:val="auto"/>
                <w:kern w:val="0"/>
                <w:sz w:val="21"/>
                <w:szCs w:val="21"/>
                <w:highlight w:val="none"/>
                <w:lang w:val="en-US" w:eastAsia="zh-CN" w:bidi="ar"/>
              </w:rPr>
              <w:t>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284万</w:t>
            </w:r>
            <w:r>
              <w:rPr>
                <w:rFonts w:hint="eastAsia" w:ascii="宋体" w:hAnsi="宋体" w:eastAsia="宋体" w:cs="宋体"/>
                <w:color w:val="auto"/>
                <w:kern w:val="0"/>
                <w:sz w:val="21"/>
                <w:szCs w:val="21"/>
                <w:highlight w:val="none"/>
                <w:lang w:val="en-US" w:eastAsia="zh-CN" w:bidi="ar"/>
              </w:rPr>
              <w:t>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招标人提供的</w:t>
            </w:r>
            <w:r>
              <w:rPr>
                <w:rFonts w:hint="eastAsia" w:ascii="宋体" w:hAnsi="宋体" w:cs="宋体"/>
                <w:color w:val="auto"/>
                <w:kern w:val="0"/>
                <w:sz w:val="21"/>
                <w:szCs w:val="21"/>
                <w:highlight w:val="none"/>
                <w:lang w:val="en-US" w:eastAsia="zh-CN" w:bidi="ar"/>
              </w:rPr>
              <w:t>施工方案</w:t>
            </w:r>
            <w:r>
              <w:rPr>
                <w:rFonts w:hint="eastAsia" w:ascii="宋体" w:hAnsi="宋体" w:eastAsia="宋体" w:cs="宋体"/>
                <w:color w:val="auto"/>
                <w:kern w:val="0"/>
                <w:sz w:val="21"/>
                <w:szCs w:val="21"/>
                <w:highlight w:val="none"/>
                <w:lang w:val="en-US" w:eastAsia="zh-CN" w:bidi="ar"/>
              </w:rPr>
              <w:t>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22</w:t>
            </w:r>
            <w:r>
              <w:rPr>
                <w:rFonts w:hint="eastAsia" w:ascii="宋体" w:hAnsi="宋体" w:eastAsia="宋体" w:cs="宋体"/>
                <w:b/>
                <w:bCs/>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29</w:t>
            </w:r>
            <w:r>
              <w:rPr>
                <w:rFonts w:hint="eastAsia" w:ascii="宋体" w:hAnsi="宋体" w:eastAsia="宋体" w:cs="宋体"/>
                <w:b/>
                <w:bCs/>
                <w:color w:val="auto"/>
                <w:kern w:val="0"/>
                <w:sz w:val="21"/>
                <w:szCs w:val="21"/>
                <w:highlight w:val="none"/>
                <w:lang w:val="en-US" w:eastAsia="zh-CN" w:bidi="ar"/>
              </w:rPr>
              <w:t>日1</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时(北京时间)</w:t>
            </w:r>
          </w:p>
        </w:tc>
      </w:tr>
      <w:tr w14:paraId="4E92AB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2691AF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3B3990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网上递交，发送至电子邮箱：czsctgczx@163.com（滁州市城投工程咨询管理有限公司邮箱）</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29</w:t>
            </w:r>
            <w:r>
              <w:rPr>
                <w:rFonts w:hint="eastAsia" w:ascii="宋体" w:hAnsi="宋体" w:eastAsia="宋体" w:cs="宋体"/>
                <w:b/>
                <w:bCs/>
                <w:color w:val="auto"/>
                <w:kern w:val="0"/>
                <w:sz w:val="21"/>
                <w:szCs w:val="21"/>
                <w:highlight w:val="none"/>
                <w:lang w:val="en-US" w:eastAsia="zh-CN" w:bidi="ar"/>
              </w:rPr>
              <w:t>日1</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时(北京时间)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滁州市龙蟠大道109号房产商务大厦6楼622会议室</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包括厂区区域硬化、截排水设施等</w:t>
            </w:r>
            <w:r>
              <w:rPr>
                <w:rFonts w:hint="eastAsia" w:ascii="宋体" w:hAnsi="宋体" w:eastAsia="宋体" w:cs="宋体"/>
                <w:bCs/>
                <w:color w:val="auto"/>
                <w:kern w:val="0"/>
                <w:sz w:val="21"/>
                <w:szCs w:val="21"/>
                <w:highlight w:val="none"/>
                <w:lang w:val="en-US" w:eastAsia="zh-CN" w:bidi="ar"/>
              </w:rPr>
              <w:t>，具体内容详见施工方案及工程量清单。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284万</w:t>
            </w:r>
            <w:r>
              <w:rPr>
                <w:rFonts w:hint="eastAsia" w:ascii="宋体" w:hAnsi="宋体" w:eastAsia="宋体" w:cs="宋体"/>
                <w:color w:val="auto"/>
                <w:kern w:val="2"/>
                <w:sz w:val="21"/>
                <w:szCs w:val="21"/>
                <w:highlight w:val="none"/>
                <w:lang w:val="en-US" w:eastAsia="zh-CN" w:bidi="ar"/>
              </w:rPr>
              <w:t>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5E846C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万元。</w:t>
            </w:r>
          </w:p>
          <w:p w14:paraId="2037CC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投标保证金的形式：☑银行转账 </w:t>
            </w:r>
          </w:p>
          <w:p w14:paraId="2515D8F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23F5DF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开户名称：滁州市城投工程咨询管理有限公司</w:t>
            </w:r>
          </w:p>
          <w:p w14:paraId="23DABA6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开户银行：中国银行滁州分行营业部</w:t>
            </w:r>
          </w:p>
          <w:p w14:paraId="4FF6D3C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银行帐号：184256514737</w:t>
            </w:r>
          </w:p>
          <w:p w14:paraId="41A9EDF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保证金到账截止时间同投标文件递交截止时间，交纳保证金时须在交易附言中注明：“</w:t>
            </w:r>
            <w:r>
              <w:rPr>
                <w:rFonts w:hint="eastAsia" w:ascii="宋体" w:hAnsi="宋体" w:cs="宋体"/>
                <w:color w:val="auto"/>
                <w:kern w:val="2"/>
                <w:sz w:val="21"/>
                <w:szCs w:val="21"/>
                <w:highlight w:val="none"/>
                <w:lang w:val="en-US" w:eastAsia="zh-CN" w:bidi="ar"/>
              </w:rPr>
              <w:t>玄武岩加工厂厂区区域硬化、截排水设施工程</w:t>
            </w:r>
            <w:r>
              <w:rPr>
                <w:rFonts w:hint="eastAsia" w:ascii="宋体" w:hAnsi="宋体" w:eastAsia="宋体" w:cs="宋体"/>
                <w:color w:val="auto"/>
                <w:kern w:val="2"/>
                <w:sz w:val="21"/>
                <w:szCs w:val="21"/>
                <w:highlight w:val="none"/>
                <w:lang w:val="en-US" w:eastAsia="zh-CN" w:bidi="ar"/>
              </w:rPr>
              <w:t xml:space="preserve">”投标保证金。 </w:t>
            </w:r>
          </w:p>
          <w:p w14:paraId="359D47B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47C37AF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4DDCE8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招标文件获取方式：投标人从滁州市兴滁矿业投资集团有限公司（http://www.xckytz.com/）下载。</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2024年</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22</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0B38C2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97B08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特别提示：</w:t>
            </w:r>
          </w:p>
          <w:p w14:paraId="309B44C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1.施工场地及周边场地、道路、绿化等，若被施工方损坏，施工方必须无偿按照原貌恢复。</w:t>
            </w:r>
          </w:p>
          <w:p w14:paraId="7ECA1B3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2.投标人自行勘察施工现场情况，因投标人未勘察现场而造成的损失由投标人自行承担。</w:t>
            </w:r>
          </w:p>
          <w:p w14:paraId="1DFE86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3.中标人在合同履行期内与各方发生各种矛盾、纠纷时，由中标人自主解决。</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安徽磐谷高科有限公司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滁州市明光市涧溪镇安徽磐谷高科有限公司</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陈治宇</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0550-2601592</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：滁州市兴滁矿业投资集团有限公司网站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38B4F0B">
      <w:pPr>
        <w:spacing w:beforeLines="50" w:afterLines="50" w:line="440" w:lineRule="exact"/>
        <w:jc w:val="center"/>
        <w:rPr>
          <w:b/>
          <w:bCs/>
          <w:color w:val="auto"/>
          <w:sz w:val="28"/>
          <w:szCs w:val="28"/>
          <w:highlight w:val="none"/>
        </w:rPr>
      </w:pPr>
      <w:bookmarkStart w:id="38" w:name="_Toc15058845"/>
      <w:bookmarkStart w:id="39" w:name="_Toc35424884"/>
      <w:bookmarkStart w:id="40" w:name="_Toc144974496"/>
      <w:bookmarkStart w:id="41" w:name="_Toc152042304"/>
      <w:bookmarkStart w:id="42" w:name="_Toc179632545"/>
      <w:bookmarkStart w:id="43" w:name="_Toc35425051"/>
      <w:bookmarkStart w:id="44" w:name="_Toc324404814"/>
      <w:bookmarkStart w:id="45" w:name="_Toc246996917"/>
      <w:bookmarkStart w:id="46" w:name="_Toc152045528"/>
      <w:bookmarkStart w:id="47" w:name="_Toc246996174"/>
      <w:bookmarkStart w:id="48" w:name="_Toc247085688"/>
      <w:bookmarkStart w:id="49" w:name="_Toc506107268"/>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152045529"/>
            <w:bookmarkStart w:id="51" w:name="_Toc246996918"/>
            <w:bookmarkStart w:id="52" w:name="_Toc152042305"/>
            <w:bookmarkStart w:id="53" w:name="_Toc246996175"/>
            <w:bookmarkStart w:id="54" w:name="_Toc247085689"/>
            <w:bookmarkStart w:id="55" w:name="_Toc179632546"/>
            <w:bookmarkStart w:id="56" w:name="_Toc506107269"/>
            <w:bookmarkStart w:id="57" w:name="_Toc324404815"/>
            <w:bookmarkStart w:id="58"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45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5000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11</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25</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2830529.35 </w:t>
            </w:r>
            <w:r>
              <w:rPr>
                <w:rFonts w:hint="eastAsia" w:ascii="宋体" w:hAnsi="宋体" w:cs="宋体"/>
                <w:color w:val="auto"/>
                <w:sz w:val="21"/>
                <w:szCs w:val="21"/>
                <w:highlight w:val="none"/>
              </w:rPr>
              <w:t>元（其中含暂列金额</w:t>
            </w:r>
            <w:bookmarkStart w:id="1060" w:name="_GoBack"/>
            <w:r>
              <w:rPr>
                <w:rFonts w:hint="eastAsia" w:ascii="宋体" w:hAnsi="宋体" w:cs="宋体"/>
                <w:color w:val="auto"/>
                <w:sz w:val="21"/>
                <w:szCs w:val="21"/>
                <w:highlight w:val="none"/>
                <w:u w:val="none"/>
                <w:lang w:val="en-US" w:eastAsia="zh-CN"/>
              </w:rPr>
              <w:t>5万</w:t>
            </w:r>
            <w:bookmarkEnd w:id="1060"/>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暂估价1万元</w:t>
            </w:r>
            <w:r>
              <w:rPr>
                <w:rFonts w:hint="eastAsia" w:ascii="宋体" w:hAnsi="宋体" w:cs="宋体"/>
                <w:color w:val="auto"/>
                <w:sz w:val="21"/>
                <w:szCs w:val="21"/>
                <w:highlight w:val="none"/>
              </w:rPr>
              <w:t>）。应当包括总价、各单位工程的分部分项工程费、措施项目费、其他项目费、不可竞争性费用和税金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9295943">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hAnsi="宋体" w:cs="宋体"/>
                <w:b/>
                <w:bCs/>
                <w:color w:val="auto"/>
                <w:kern w:val="0"/>
                <w:szCs w:val="21"/>
                <w:highlight w:val="none"/>
                <w:lang w:val="en-US" w:eastAsia="zh-CN"/>
              </w:rPr>
              <w:t>2</w:t>
            </w:r>
            <w:r>
              <w:rPr>
                <w:rFonts w:hint="eastAsia" w:ascii="宋体" w:hAnsi="宋体" w:cs="宋体"/>
                <w:b/>
                <w:bCs/>
                <w:color w:val="auto"/>
                <w:kern w:val="0"/>
                <w:szCs w:val="21"/>
                <w:highlight w:val="none"/>
              </w:rPr>
              <w:t>份；中标单位领取中标通知书时，一并递交给代理机构）</w:t>
            </w:r>
          </w:p>
        </w:tc>
      </w:tr>
      <w:tr w14:paraId="0C6864E0">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时00分（北京时间）</w:t>
            </w:r>
          </w:p>
        </w:tc>
      </w:tr>
      <w:tr w14:paraId="4B87FAFF">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14:paraId="386292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5970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09368C3C">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79D1D503">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14:paraId="050EDE0E">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38C968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 xml:space="preserve">日内完成履约保证金或履约保函缴纳及合同签订。  </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 </w:t>
            </w:r>
          </w:p>
        </w:tc>
      </w:tr>
      <w:tr w14:paraId="6EEFD45D">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EEAD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当月完成进度计划的合格分部分项工程按85%付进度款，工程竣工验收合格并结算完成审计且经审核或复核后付至结算总造价的98%，剩余2%作为工程质量保证金，工程缺陷责任期（缺陷责任期</w:t>
            </w:r>
            <w:r>
              <w:rPr>
                <w:rFonts w:hint="eastAsia" w:ascii="宋体" w:hAnsi="宋体" w:cs="宋体"/>
                <w:color w:val="auto"/>
                <w:szCs w:val="21"/>
                <w:highlight w:val="none"/>
                <w:lang w:val="en-US" w:eastAsia="zh-CN"/>
              </w:rPr>
              <w:t>两</w:t>
            </w:r>
            <w:r>
              <w:rPr>
                <w:rFonts w:hint="eastAsia" w:ascii="宋体" w:hAnsi="宋体" w:eastAsia="宋体" w:cs="宋体"/>
                <w:color w:val="auto"/>
                <w:szCs w:val="21"/>
                <w:highlight w:val="none"/>
                <w:lang w:val="en-US" w:eastAsia="zh-CN"/>
              </w:rPr>
              <w:t>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00B21AE1">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11300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施工方案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14:paraId="2B7A0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rPr>
              <w:t>4、</w:t>
            </w:r>
            <w:r>
              <w:rPr>
                <w:rFonts w:hint="eastAsia"/>
                <w:b/>
                <w:bCs/>
                <w:color w:val="auto"/>
                <w:sz w:val="21"/>
                <w:szCs w:val="21"/>
                <w:highlight w:val="none"/>
              </w:rPr>
              <w:t>本工程施工过程中产生的石方中标单位不得自行处理，如中标单位私自处理石料，依法按盗采处理。</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b/>
                <w:bCs/>
                <w:color w:val="auto"/>
                <w:sz w:val="21"/>
                <w:szCs w:val="21"/>
                <w:highlight w:val="none"/>
                <w:lang w:val="en-US" w:eastAsia="zh-CN"/>
              </w:rPr>
              <w:t>5</w:t>
            </w:r>
            <w:r>
              <w:rPr>
                <w:rFonts w:hint="eastAsia"/>
                <w:b/>
                <w:bCs/>
                <w:color w:val="auto"/>
                <w:sz w:val="21"/>
                <w:szCs w:val="21"/>
                <w:highlight w:val="none"/>
              </w:rPr>
              <w:t>、本项目施工现场涉及的水电费用，由承包人承担，含在响应报价中。</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9" w:name="_Toc35425053"/>
      <w:bookmarkStart w:id="60" w:name="_Toc5813"/>
      <w:bookmarkStart w:id="61" w:name="_Toc78803322"/>
      <w:bookmarkStart w:id="62" w:name="_Toc35424887"/>
      <w:bookmarkStart w:id="63" w:name="_Toc15058846"/>
      <w:r>
        <w:rPr>
          <w:rFonts w:hint="eastAsia" w:ascii="宋体" w:hAnsi="宋体" w:eastAsia="宋体" w:cs="宋体"/>
          <w:color w:val="auto"/>
          <w:sz w:val="24"/>
          <w:szCs w:val="24"/>
          <w:highlight w:val="none"/>
        </w:rPr>
        <w:br w:type="page"/>
      </w:r>
    </w:p>
    <w:p w14:paraId="397CD072">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602C201">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247085690"/>
      <w:bookmarkStart w:id="65" w:name="_Toc246996919"/>
      <w:bookmarkStart w:id="66" w:name="_Toc152042306"/>
      <w:bookmarkStart w:id="67" w:name="_Toc35424888"/>
      <w:bookmarkStart w:id="68" w:name="_Toc144974498"/>
      <w:bookmarkStart w:id="69" w:name="_Toc179632547"/>
      <w:bookmarkStart w:id="70" w:name="_Toc296602421"/>
      <w:bookmarkStart w:id="71" w:name="_Toc4678"/>
      <w:bookmarkStart w:id="72" w:name="_Toc506107270"/>
      <w:bookmarkStart w:id="73" w:name="_Toc152045530"/>
      <w:bookmarkStart w:id="74" w:name="_Toc35425054"/>
      <w:bookmarkStart w:id="75" w:name="_Toc78803323"/>
      <w:bookmarkStart w:id="76" w:name="_Toc324404816"/>
      <w:bookmarkStart w:id="77" w:name="_Toc15058847"/>
      <w:bookmarkStart w:id="78" w:name="_Toc246996176"/>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15058848"/>
      <w:bookmarkStart w:id="80" w:name="_Toc78803324"/>
      <w:bookmarkStart w:id="81" w:name="_Toc296602422"/>
      <w:bookmarkStart w:id="82" w:name="_Toc247085691"/>
      <w:bookmarkStart w:id="83" w:name="_Toc179632548"/>
      <w:bookmarkStart w:id="84" w:name="_Toc7142"/>
      <w:bookmarkStart w:id="85" w:name="_Toc144974499"/>
      <w:bookmarkStart w:id="86" w:name="_Toc152045531"/>
      <w:bookmarkStart w:id="87" w:name="_Toc506107271"/>
      <w:bookmarkStart w:id="88" w:name="_Toc324404817"/>
      <w:bookmarkStart w:id="89" w:name="_Toc35425055"/>
      <w:bookmarkStart w:id="90" w:name="_Toc35424889"/>
      <w:bookmarkStart w:id="91" w:name="_Toc246996920"/>
      <w:bookmarkStart w:id="92" w:name="_Toc246996177"/>
      <w:bookmarkStart w:id="93" w:name="_Toc152042307"/>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144974500"/>
      <w:bookmarkStart w:id="95" w:name="_Toc78803325"/>
      <w:bookmarkStart w:id="96" w:name="_Toc296602423"/>
      <w:bookmarkStart w:id="97" w:name="_Toc179632549"/>
      <w:bookmarkStart w:id="98" w:name="_Toc152042308"/>
      <w:bookmarkStart w:id="99" w:name="_Toc15058849"/>
      <w:bookmarkStart w:id="100" w:name="_Toc324404818"/>
      <w:bookmarkStart w:id="101" w:name="_Toc35424890"/>
      <w:bookmarkStart w:id="102" w:name="_Toc246996921"/>
      <w:bookmarkStart w:id="103" w:name="_Toc506107272"/>
      <w:bookmarkStart w:id="104" w:name="_Toc247085692"/>
      <w:bookmarkStart w:id="105" w:name="_Toc152045532"/>
      <w:bookmarkStart w:id="106" w:name="_Toc35425056"/>
      <w:bookmarkStart w:id="107" w:name="_Toc6330"/>
      <w:bookmarkStart w:id="108" w:name="_Toc24699617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15058850"/>
      <w:bookmarkStart w:id="110" w:name="_Toc35424891"/>
      <w:bookmarkStart w:id="111" w:name="_Toc35425057"/>
      <w:bookmarkStart w:id="112" w:name="_Toc296602424"/>
      <w:bookmarkStart w:id="113" w:name="_Toc246996922"/>
      <w:bookmarkStart w:id="114" w:name="_Toc78803326"/>
      <w:bookmarkStart w:id="115" w:name="_Toc247085693"/>
      <w:bookmarkStart w:id="116" w:name="_Toc152045534"/>
      <w:bookmarkStart w:id="117" w:name="_Toc324404819"/>
      <w:bookmarkStart w:id="118" w:name="_Toc26897"/>
      <w:bookmarkStart w:id="119" w:name="_Toc246996179"/>
      <w:bookmarkStart w:id="120" w:name="_Toc144974502"/>
      <w:bookmarkStart w:id="121" w:name="_Toc506107273"/>
      <w:bookmarkStart w:id="122" w:name="_Toc152042310"/>
      <w:bookmarkStart w:id="123" w:name="_Toc179632551"/>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246996923"/>
      <w:bookmarkStart w:id="125" w:name="_Toc296602425"/>
      <w:bookmarkStart w:id="126" w:name="_Toc324404820"/>
      <w:bookmarkStart w:id="127" w:name="_Toc152042311"/>
      <w:bookmarkStart w:id="128" w:name="_Toc179632552"/>
      <w:bookmarkStart w:id="129" w:name="_Toc247085694"/>
      <w:bookmarkStart w:id="130" w:name="_Toc144974503"/>
      <w:bookmarkStart w:id="131" w:name="_Toc35425058"/>
      <w:bookmarkStart w:id="132" w:name="_Toc10179"/>
      <w:bookmarkStart w:id="133" w:name="_Toc246996180"/>
      <w:bookmarkStart w:id="134" w:name="_Toc152045535"/>
      <w:bookmarkStart w:id="135" w:name="_Toc78803327"/>
      <w:bookmarkStart w:id="136" w:name="_Toc506107274"/>
      <w:bookmarkStart w:id="137" w:name="_Toc15058851"/>
      <w:bookmarkStart w:id="138" w:name="_Toc35424892"/>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247085695"/>
      <w:bookmarkStart w:id="140" w:name="_Toc15058852"/>
      <w:bookmarkStart w:id="141" w:name="_Toc152042312"/>
      <w:bookmarkStart w:id="142" w:name="_Toc246996181"/>
      <w:bookmarkStart w:id="143" w:name="_Toc246996924"/>
      <w:bookmarkStart w:id="144" w:name="_Toc4092"/>
      <w:bookmarkStart w:id="145" w:name="_Toc35425059"/>
      <w:bookmarkStart w:id="146" w:name="_Toc324404821"/>
      <w:bookmarkStart w:id="147" w:name="_Toc506107275"/>
      <w:bookmarkStart w:id="148" w:name="_Toc144974504"/>
      <w:bookmarkStart w:id="149" w:name="_Toc179632553"/>
      <w:bookmarkStart w:id="150" w:name="_Toc35424893"/>
      <w:bookmarkStart w:id="151" w:name="_Toc296602426"/>
      <w:bookmarkStart w:id="152" w:name="_Toc152045536"/>
      <w:bookmarkStart w:id="153" w:name="_Toc78803328"/>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78803329"/>
      <w:bookmarkStart w:id="156" w:name="_Toc247085696"/>
      <w:bookmarkStart w:id="157" w:name="_Toc246996182"/>
      <w:bookmarkStart w:id="158" w:name="_Toc152045537"/>
      <w:bookmarkStart w:id="159" w:name="_Toc296602427"/>
      <w:bookmarkStart w:id="160" w:name="_Toc506107276"/>
      <w:bookmarkStart w:id="161" w:name="_Toc179632554"/>
      <w:bookmarkStart w:id="162" w:name="_Toc246996925"/>
      <w:bookmarkStart w:id="163" w:name="_Toc4119"/>
      <w:bookmarkStart w:id="164" w:name="_Toc324404822"/>
      <w:bookmarkStart w:id="165" w:name="_Toc152042313"/>
      <w:bookmarkStart w:id="166" w:name="_Toc35424894"/>
      <w:bookmarkStart w:id="167" w:name="_Toc35425060"/>
      <w:bookmarkStart w:id="168" w:name="_Toc15058853"/>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246996183"/>
      <w:bookmarkStart w:id="170" w:name="_Toc246996926"/>
      <w:bookmarkStart w:id="171" w:name="_Toc152045538"/>
      <w:bookmarkStart w:id="172" w:name="_Toc179632555"/>
      <w:bookmarkStart w:id="173" w:name="_Toc247085697"/>
      <w:bookmarkStart w:id="174" w:name="_Toc144974506"/>
      <w:bookmarkStart w:id="175" w:name="_Toc152042314"/>
      <w:r>
        <w:rPr>
          <w:rFonts w:hint="eastAsia" w:ascii="宋体" w:hAnsi="宋体" w:cs="宋体"/>
          <w:color w:val="auto"/>
          <w:szCs w:val="21"/>
          <w:highlight w:val="none"/>
        </w:rPr>
        <w:t>招标投标文件使用的语言文字为中文。专用术语使用外文的，应附有中文注释。</w:t>
      </w:r>
    </w:p>
    <w:p w14:paraId="32BE040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35424895"/>
      <w:bookmarkStart w:id="177" w:name="_Toc324404823"/>
      <w:bookmarkStart w:id="178" w:name="_Toc15058854"/>
      <w:bookmarkStart w:id="179" w:name="_Toc506107277"/>
      <w:bookmarkStart w:id="180" w:name="_Toc78803330"/>
      <w:bookmarkStart w:id="181" w:name="_Toc35425061"/>
      <w:bookmarkStart w:id="182" w:name="_Toc296602428"/>
      <w:bookmarkStart w:id="183" w:name="_Toc13408"/>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78803331"/>
      <w:bookmarkStart w:id="185" w:name="_Toc247592876"/>
      <w:bookmarkStart w:id="186" w:name="_Toc35425062"/>
      <w:bookmarkStart w:id="187" w:name="_Toc15058855"/>
      <w:bookmarkStart w:id="188" w:name="_Toc144974507"/>
      <w:bookmarkStart w:id="189" w:name="_Toc152045539"/>
      <w:bookmarkStart w:id="190" w:name="_Toc506107278"/>
      <w:bookmarkStart w:id="191" w:name="_Toc296602429"/>
      <w:bookmarkStart w:id="192" w:name="_Toc324404824"/>
      <w:bookmarkStart w:id="193" w:name="_Toc11493"/>
      <w:bookmarkStart w:id="194" w:name="_Toc247513962"/>
      <w:bookmarkStart w:id="195" w:name="_Toc35424896"/>
      <w:bookmarkStart w:id="196" w:name="_Toc247527563"/>
      <w:bookmarkStart w:id="197" w:name="_Toc152042315"/>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22954"/>
      <w:bookmarkStart w:id="199" w:name="_Toc15058856"/>
      <w:bookmarkStart w:id="200" w:name="_Toc324404825"/>
      <w:bookmarkStart w:id="201" w:name="_Toc78803332"/>
      <w:bookmarkStart w:id="202" w:name="_Toc152042316"/>
      <w:bookmarkStart w:id="203" w:name="_Toc152045540"/>
      <w:bookmarkStart w:id="204" w:name="_Toc247527564"/>
      <w:bookmarkStart w:id="205" w:name="_Toc35425063"/>
      <w:bookmarkStart w:id="206" w:name="_Toc247592877"/>
      <w:bookmarkStart w:id="207" w:name="_Toc247513963"/>
      <w:bookmarkStart w:id="208" w:name="_Toc296602430"/>
      <w:bookmarkStart w:id="209" w:name="_Toc144974508"/>
      <w:bookmarkStart w:id="210" w:name="_Toc506107279"/>
      <w:bookmarkStart w:id="211" w:name="_Toc35424897"/>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324404826"/>
      <w:bookmarkStart w:id="213" w:name="_Toc296602431"/>
      <w:bookmarkStart w:id="214" w:name="_Toc15058857"/>
      <w:bookmarkStart w:id="215" w:name="_Toc506107280"/>
      <w:bookmarkStart w:id="216" w:name="_Toc83301699"/>
      <w:bookmarkStart w:id="217" w:name="_Toc95223347"/>
      <w:bookmarkStart w:id="218" w:name="_Toc60061444"/>
      <w:bookmarkStart w:id="219" w:name="_Toc247085701"/>
      <w:bookmarkStart w:id="220" w:name="_Toc246996930"/>
      <w:bookmarkStart w:id="221" w:name="_Toc506107281"/>
      <w:bookmarkStart w:id="222" w:name="_Toc35424899"/>
      <w:bookmarkStart w:id="223" w:name="_Toc152045542"/>
      <w:bookmarkStart w:id="224" w:name="_Toc78803334"/>
      <w:bookmarkStart w:id="225" w:name="_Toc15058858"/>
      <w:bookmarkStart w:id="226" w:name="_Toc144974510"/>
      <w:bookmarkStart w:id="227" w:name="_Toc4012"/>
      <w:bookmarkStart w:id="228" w:name="_Toc179632560"/>
      <w:bookmarkStart w:id="229" w:name="_Toc324404827"/>
      <w:bookmarkStart w:id="230" w:name="_Toc152042318"/>
      <w:bookmarkStart w:id="231" w:name="_Toc246996187"/>
      <w:bookmarkStart w:id="232" w:name="_Toc35425065"/>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95223348"/>
      <w:bookmarkStart w:id="234" w:name="_Toc83301700"/>
      <w:bookmarkStart w:id="235" w:name="_Toc60061445"/>
      <w:r>
        <w:rPr>
          <w:rFonts w:hint="eastAsia" w:ascii="宋体" w:hAnsi="宋体" w:eastAsia="宋体" w:cs="宋体"/>
          <w:color w:val="auto"/>
          <w:highlight w:val="none"/>
        </w:rPr>
        <w:t>1.12 偏离</w:t>
      </w:r>
      <w:bookmarkEnd w:id="233"/>
      <w:bookmarkEnd w:id="234"/>
      <w:bookmarkEnd w:id="235"/>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617D22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152045543"/>
      <w:bookmarkStart w:id="237" w:name="_Toc324404828"/>
      <w:bookmarkStart w:id="238" w:name="_Toc15058859"/>
      <w:bookmarkStart w:id="239" w:name="_Toc35424900"/>
      <w:bookmarkStart w:id="240" w:name="_Toc35425066"/>
      <w:bookmarkStart w:id="241" w:name="_Toc78803335"/>
      <w:bookmarkStart w:id="242" w:name="_Toc506107282"/>
      <w:bookmarkStart w:id="243" w:name="_Toc246996188"/>
      <w:bookmarkStart w:id="244" w:name="_Toc144974511"/>
      <w:bookmarkStart w:id="245" w:name="_Toc246996931"/>
      <w:bookmarkStart w:id="246" w:name="_Toc152042319"/>
      <w:bookmarkStart w:id="247" w:name="_Toc296602433"/>
      <w:bookmarkStart w:id="248" w:name="_Toc13213"/>
      <w:bookmarkStart w:id="249" w:name="_Toc179632561"/>
      <w:bookmarkStart w:id="250" w:name="_Toc247085702"/>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（7）施工方案；</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144974512"/>
      <w:bookmarkStart w:id="252" w:name="_Toc296602434"/>
      <w:bookmarkStart w:id="253" w:name="_Toc247085703"/>
      <w:bookmarkStart w:id="254" w:name="_Toc35424901"/>
      <w:bookmarkStart w:id="255" w:name="_Toc246996189"/>
      <w:bookmarkStart w:id="256" w:name="_Toc324404829"/>
      <w:bookmarkStart w:id="257" w:name="_Toc506107283"/>
      <w:bookmarkStart w:id="258" w:name="_Toc246996932"/>
      <w:bookmarkStart w:id="259" w:name="_Toc152042320"/>
      <w:bookmarkStart w:id="260" w:name="_Toc78803336"/>
      <w:bookmarkStart w:id="261" w:name="_Toc15058860"/>
      <w:bookmarkStart w:id="262" w:name="_Toc179632562"/>
      <w:bookmarkStart w:id="263" w:name="_Toc152045544"/>
      <w:bookmarkStart w:id="264" w:name="_Toc35425067"/>
      <w:bookmarkStart w:id="265" w:name="_Toc32239"/>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159D9C2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15058861"/>
      <w:bookmarkStart w:id="267" w:name="_Toc179632563"/>
      <w:bookmarkStart w:id="268" w:name="_Toc152042321"/>
      <w:bookmarkStart w:id="269" w:name="_Toc144974513"/>
      <w:bookmarkStart w:id="270" w:name="_Toc324404830"/>
      <w:bookmarkStart w:id="271" w:name="_Toc35425068"/>
      <w:bookmarkStart w:id="272" w:name="_Toc246996190"/>
      <w:bookmarkStart w:id="273" w:name="_Toc24633"/>
      <w:bookmarkStart w:id="274" w:name="_Toc78803337"/>
      <w:bookmarkStart w:id="275" w:name="_Toc246996933"/>
      <w:bookmarkStart w:id="276" w:name="_Toc152045545"/>
      <w:bookmarkStart w:id="277" w:name="_Toc296602435"/>
      <w:bookmarkStart w:id="278" w:name="_Toc506107284"/>
      <w:bookmarkStart w:id="279" w:name="_Toc247085704"/>
      <w:bookmarkStart w:id="280" w:name="_Toc35424902"/>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“滁州市兴滁矿业投资集团有限公司”（http://www.xckytz.com/）</w:t>
      </w:r>
      <w:r>
        <w:rPr>
          <w:rFonts w:hint="eastAsia"/>
          <w:color w:val="auto"/>
          <w:spacing w:val="0"/>
          <w:sz w:val="21"/>
          <w:highlight w:val="none"/>
        </w:rPr>
        <w:t xml:space="preserve"> </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152045546"/>
      <w:bookmarkStart w:id="282" w:name="_Toc15058863"/>
      <w:bookmarkStart w:id="283" w:name="_Toc35425070"/>
      <w:bookmarkStart w:id="284" w:name="_Toc506107285"/>
      <w:bookmarkStart w:id="285" w:name="_Toc324404832"/>
      <w:bookmarkStart w:id="286" w:name="_Toc246996934"/>
      <w:bookmarkStart w:id="287" w:name="_Toc179632564"/>
      <w:bookmarkStart w:id="288" w:name="_Toc144974514"/>
      <w:bookmarkStart w:id="289" w:name="_Toc152042322"/>
      <w:bookmarkStart w:id="290" w:name="_Toc35424904"/>
      <w:bookmarkStart w:id="291" w:name="_Toc6464"/>
      <w:bookmarkStart w:id="292" w:name="_Toc78803339"/>
      <w:bookmarkStart w:id="293" w:name="_Toc247085705"/>
      <w:bookmarkStart w:id="294" w:name="_Toc246996191"/>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13998A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152045547"/>
      <w:bookmarkStart w:id="296" w:name="_Toc35424905"/>
      <w:bookmarkStart w:id="297" w:name="_Toc179632565"/>
      <w:bookmarkStart w:id="298" w:name="_Toc296602437"/>
      <w:bookmarkStart w:id="299" w:name="_Toc15058864"/>
      <w:bookmarkStart w:id="300" w:name="_Toc144974515"/>
      <w:bookmarkStart w:id="301" w:name="_Toc247085706"/>
      <w:bookmarkStart w:id="302" w:name="_Toc35425071"/>
      <w:bookmarkStart w:id="303" w:name="_Toc506107286"/>
      <w:bookmarkStart w:id="304" w:name="_Toc78803340"/>
      <w:bookmarkStart w:id="305" w:name="_Toc246996935"/>
      <w:bookmarkStart w:id="306" w:name="_Toc152042323"/>
      <w:bookmarkStart w:id="307" w:name="_Toc157"/>
      <w:bookmarkStart w:id="308" w:name="_Toc246996192"/>
      <w:bookmarkStart w:id="309" w:name="_Toc324404833"/>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43674CA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296602438"/>
      <w:bookmarkStart w:id="311" w:name="_Toc179632566"/>
      <w:bookmarkStart w:id="312" w:name="_Toc35425072"/>
      <w:bookmarkStart w:id="313" w:name="_Toc246996193"/>
      <w:bookmarkStart w:id="314" w:name="_Toc144974516"/>
      <w:bookmarkStart w:id="315" w:name="_Toc324404834"/>
      <w:bookmarkStart w:id="316" w:name="_Toc246996936"/>
      <w:bookmarkStart w:id="317" w:name="_Toc506107287"/>
      <w:bookmarkStart w:id="318" w:name="_Toc152042324"/>
      <w:bookmarkStart w:id="319" w:name="_Toc15058865"/>
      <w:bookmarkStart w:id="320" w:name="_Toc152045548"/>
      <w:bookmarkStart w:id="321" w:name="_Toc6829"/>
      <w:bookmarkStart w:id="322" w:name="_Toc35424906"/>
      <w:bookmarkStart w:id="323" w:name="_Toc247085707"/>
      <w:bookmarkStart w:id="324" w:name="_Toc78803341"/>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296602439"/>
      <w:bookmarkStart w:id="326" w:name="_Toc506107288"/>
      <w:bookmarkStart w:id="327" w:name="_Toc35425073"/>
      <w:bookmarkStart w:id="328" w:name="_Toc246996194"/>
      <w:bookmarkStart w:id="329" w:name="_Toc324404835"/>
      <w:bookmarkStart w:id="330" w:name="_Toc152045549"/>
      <w:bookmarkStart w:id="331" w:name="_Toc152042325"/>
      <w:bookmarkStart w:id="332" w:name="_Toc31735"/>
      <w:bookmarkStart w:id="333" w:name="_Toc247085708"/>
      <w:bookmarkStart w:id="334" w:name="_Toc15058866"/>
      <w:bookmarkStart w:id="335" w:name="_Toc78803342"/>
      <w:bookmarkStart w:id="336" w:name="_Toc246996937"/>
      <w:bookmarkStart w:id="337" w:name="_Toc144974517"/>
      <w:bookmarkStart w:id="338" w:name="_Toc179632567"/>
      <w:bookmarkStart w:id="339" w:name="_Toc3542490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78803343"/>
      <w:bookmarkStart w:id="341" w:name="_Toc246996938"/>
      <w:bookmarkStart w:id="342" w:name="_Toc246996195"/>
      <w:bookmarkStart w:id="343" w:name="_Toc35425074"/>
      <w:bookmarkStart w:id="344" w:name="_Toc324404836"/>
      <w:bookmarkStart w:id="345" w:name="_Toc144974518"/>
      <w:bookmarkStart w:id="346" w:name="_Toc179632568"/>
      <w:bookmarkStart w:id="347" w:name="_Toc296602440"/>
      <w:bookmarkStart w:id="348" w:name="_Toc152042326"/>
      <w:bookmarkStart w:id="349" w:name="_Toc10714"/>
      <w:bookmarkStart w:id="350" w:name="_Toc247085709"/>
      <w:bookmarkStart w:id="351" w:name="_Toc506107289"/>
      <w:bookmarkStart w:id="352" w:name="_Toc152045550"/>
      <w:bookmarkStart w:id="353" w:name="_Toc35424908"/>
      <w:bookmarkStart w:id="354" w:name="_Toc15058867"/>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35425075"/>
      <w:bookmarkStart w:id="356" w:name="_Toc19037"/>
      <w:bookmarkStart w:id="357" w:name="_Toc324404837"/>
      <w:bookmarkStart w:id="358" w:name="_Toc35424909"/>
      <w:bookmarkStart w:id="359" w:name="_Toc296602442"/>
      <w:bookmarkStart w:id="360" w:name="_Toc78803344"/>
      <w:bookmarkStart w:id="361" w:name="_Toc506107290"/>
      <w:bookmarkStart w:id="362" w:name="_Toc15058868"/>
      <w:bookmarkStart w:id="363" w:name="_Toc144974521"/>
      <w:bookmarkStart w:id="364" w:name="_Toc246996197"/>
      <w:bookmarkStart w:id="365" w:name="_Toc179632571"/>
      <w:bookmarkStart w:id="366" w:name="_Toc246996940"/>
      <w:bookmarkStart w:id="367" w:name="_Toc152045553"/>
      <w:bookmarkStart w:id="368" w:name="_Toc247085711"/>
      <w:bookmarkStart w:id="369" w:name="_Toc152042329"/>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0C2C8A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52045555"/>
      <w:bookmarkStart w:id="371" w:name="_Toc152042331"/>
      <w:bookmarkStart w:id="372" w:name="_Toc324404838"/>
      <w:bookmarkStart w:id="373" w:name="_Toc246996942"/>
      <w:bookmarkStart w:id="374" w:name="_Toc144974523"/>
      <w:bookmarkStart w:id="375" w:name="_Toc179632573"/>
      <w:bookmarkStart w:id="376" w:name="_Toc246996199"/>
      <w:bookmarkStart w:id="377" w:name="_Toc24708571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71101C40">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14:paraId="046040B3">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286AB3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3AFD8E8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15058869"/>
      <w:bookmarkStart w:id="379" w:name="_Toc35424910"/>
      <w:bookmarkStart w:id="380" w:name="_Toc506107291"/>
      <w:bookmarkStart w:id="381" w:name="_Toc78803345"/>
      <w:bookmarkStart w:id="382" w:name="_Toc19455"/>
      <w:bookmarkStart w:id="383" w:name="_Toc35425076"/>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28D5FF5">
      <w:pPr>
        <w:pStyle w:val="3"/>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78803346"/>
      <w:bookmarkStart w:id="385" w:name="_Toc15058870"/>
      <w:bookmarkStart w:id="386" w:name="_Toc35424911"/>
      <w:bookmarkStart w:id="387" w:name="_Toc14473"/>
      <w:bookmarkStart w:id="388" w:name="_Toc35425077"/>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14:paraId="041AC3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14:paraId="7418250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506107294"/>
      <w:bookmarkStart w:id="390" w:name="_Toc152045558"/>
      <w:bookmarkStart w:id="391" w:name="_Toc78803347"/>
      <w:bookmarkStart w:id="392" w:name="_Toc15058873"/>
      <w:bookmarkStart w:id="393" w:name="_Toc246996945"/>
      <w:bookmarkStart w:id="394" w:name="_Toc247085716"/>
      <w:bookmarkStart w:id="395" w:name="_Toc35424914"/>
      <w:bookmarkStart w:id="396" w:name="_Toc179632576"/>
      <w:bookmarkStart w:id="397" w:name="_Toc144974526"/>
      <w:bookmarkStart w:id="398" w:name="_Toc35425080"/>
      <w:bookmarkStart w:id="399" w:name="_Toc19572"/>
      <w:bookmarkStart w:id="400" w:name="_Toc246996202"/>
      <w:bookmarkStart w:id="401" w:name="_Toc324404841"/>
      <w:bookmarkStart w:id="402" w:name="_Toc152042334"/>
      <w:bookmarkStart w:id="403" w:name="_Toc29660244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54810E39">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506107295"/>
      <w:bookmarkStart w:id="405" w:name="_Toc152042335"/>
      <w:bookmarkStart w:id="406" w:name="_Toc35424915"/>
      <w:bookmarkStart w:id="407" w:name="_Toc15058874"/>
      <w:bookmarkStart w:id="408" w:name="_Toc29639"/>
      <w:bookmarkStart w:id="409" w:name="_Toc246996203"/>
      <w:bookmarkStart w:id="410" w:name="_Toc179632577"/>
      <w:bookmarkStart w:id="411" w:name="_Toc324404842"/>
      <w:bookmarkStart w:id="412" w:name="_Toc247085717"/>
      <w:bookmarkStart w:id="413" w:name="_Toc152045559"/>
      <w:bookmarkStart w:id="414" w:name="_Toc78803348"/>
      <w:bookmarkStart w:id="415" w:name="_Toc246996946"/>
      <w:bookmarkStart w:id="416" w:name="_Toc35425081"/>
      <w:bookmarkStart w:id="417" w:name="_Toc144974527"/>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3EC18D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506107296"/>
      <w:bookmarkStart w:id="419" w:name="_Toc247085718"/>
      <w:bookmarkStart w:id="420" w:name="_Toc144974528"/>
      <w:bookmarkStart w:id="421" w:name="_Toc152042336"/>
      <w:bookmarkStart w:id="422" w:name="_Toc246996947"/>
      <w:bookmarkStart w:id="423" w:name="_Toc246996204"/>
      <w:bookmarkStart w:id="424" w:name="_Toc296602448"/>
      <w:bookmarkStart w:id="425" w:name="_Toc324404843"/>
      <w:bookmarkStart w:id="426" w:name="_Toc78803349"/>
      <w:bookmarkStart w:id="427" w:name="_Toc35425082"/>
      <w:bookmarkStart w:id="428" w:name="_Toc152045560"/>
      <w:bookmarkStart w:id="429" w:name="_Toc13691"/>
      <w:bookmarkStart w:id="430" w:name="_Toc35424916"/>
      <w:bookmarkStart w:id="431" w:name="_Toc179632578"/>
      <w:bookmarkStart w:id="432" w:name="_Toc15058875"/>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269D989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32451"/>
      <w:bookmarkStart w:id="434" w:name="_Toc246996948"/>
      <w:bookmarkStart w:id="435" w:name="_Toc246996205"/>
      <w:bookmarkStart w:id="436" w:name="_Toc296602449"/>
      <w:bookmarkStart w:id="437" w:name="_Toc15058876"/>
      <w:bookmarkStart w:id="438" w:name="_Toc324404844"/>
      <w:bookmarkStart w:id="439" w:name="_Toc35424917"/>
      <w:bookmarkStart w:id="440" w:name="_Toc247085719"/>
      <w:bookmarkStart w:id="441" w:name="_Toc152045561"/>
      <w:bookmarkStart w:id="442" w:name="_Toc179632579"/>
      <w:bookmarkStart w:id="443" w:name="_Toc506107297"/>
      <w:bookmarkStart w:id="444" w:name="_Toc152042337"/>
      <w:bookmarkStart w:id="445" w:name="_Toc78803350"/>
      <w:bookmarkStart w:id="446" w:name="_Toc144974529"/>
      <w:bookmarkStart w:id="447" w:name="_Toc35425083"/>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296602450"/>
      <w:bookmarkStart w:id="449" w:name="_Toc324404845"/>
    </w:p>
    <w:p w14:paraId="3E08F9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382C2C6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3C7E759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14:paraId="6DA8798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78803352"/>
      <w:bookmarkStart w:id="456" w:name="_Toc152045562"/>
      <w:bookmarkStart w:id="457" w:name="_Toc506107299"/>
      <w:bookmarkStart w:id="458" w:name="_Toc179632580"/>
      <w:bookmarkStart w:id="459" w:name="_Toc35424919"/>
      <w:bookmarkStart w:id="460" w:name="_Toc247085720"/>
      <w:bookmarkStart w:id="461" w:name="_Toc152042338"/>
      <w:bookmarkStart w:id="462" w:name="_Toc246996206"/>
      <w:bookmarkStart w:id="463" w:name="_Toc20689"/>
      <w:bookmarkStart w:id="464" w:name="_Toc144974530"/>
      <w:bookmarkStart w:id="465" w:name="_Toc15058884"/>
      <w:bookmarkStart w:id="466" w:name="_Toc35425085"/>
      <w:bookmarkStart w:id="467" w:name="_Toc246996949"/>
      <w:bookmarkStart w:id="468" w:name="_Toc324404846"/>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96602452"/>
      <w:bookmarkStart w:id="470" w:name="_Toc246996950"/>
      <w:bookmarkStart w:id="471" w:name="_Toc246996207"/>
      <w:bookmarkStart w:id="472" w:name="_Toc152045563"/>
      <w:bookmarkStart w:id="473" w:name="_Toc14249"/>
      <w:bookmarkStart w:id="474" w:name="_Toc324404847"/>
      <w:bookmarkStart w:id="475" w:name="_Toc35424920"/>
      <w:bookmarkStart w:id="476" w:name="_Toc506107300"/>
      <w:bookmarkStart w:id="477" w:name="_Toc179632581"/>
      <w:bookmarkStart w:id="478" w:name="_Toc144974531"/>
      <w:bookmarkStart w:id="479" w:name="_Toc78803353"/>
      <w:bookmarkStart w:id="480" w:name="_Toc15058885"/>
      <w:bookmarkStart w:id="481" w:name="_Toc35425086"/>
      <w:bookmarkStart w:id="482" w:name="_Toc152042339"/>
      <w:bookmarkStart w:id="483" w:name="_Toc24708572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3B8FCF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F3DD82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0208CC5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1D1EA3D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062268D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125302E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8D48BC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247085722"/>
      <w:bookmarkStart w:id="485" w:name="_Toc246996208"/>
      <w:bookmarkStart w:id="486" w:name="_Toc35425087"/>
      <w:bookmarkStart w:id="487" w:name="_Toc12948"/>
      <w:bookmarkStart w:id="488" w:name="_Toc15058886"/>
      <w:bookmarkStart w:id="489" w:name="_Toc179632582"/>
      <w:bookmarkStart w:id="490" w:name="_Toc144974532"/>
      <w:bookmarkStart w:id="491" w:name="_Toc296602453"/>
      <w:bookmarkStart w:id="492" w:name="_Toc35424921"/>
      <w:bookmarkStart w:id="493" w:name="_Toc152045564"/>
      <w:bookmarkStart w:id="494" w:name="_Toc246996951"/>
      <w:bookmarkStart w:id="495" w:name="_Toc152042340"/>
      <w:bookmarkStart w:id="496" w:name="_Toc324404848"/>
      <w:bookmarkStart w:id="497" w:name="_Toc78803354"/>
      <w:bookmarkStart w:id="498" w:name="_Toc506107301"/>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324404849"/>
      <w:bookmarkStart w:id="500" w:name="_Toc506107302"/>
      <w:bookmarkStart w:id="501" w:name="_Toc15058887"/>
      <w:bookmarkStart w:id="502" w:name="_Toc246996209"/>
      <w:bookmarkStart w:id="503" w:name="_Toc35424922"/>
      <w:bookmarkStart w:id="504" w:name="_Toc35425088"/>
      <w:bookmarkStart w:id="505" w:name="_Toc246996952"/>
      <w:bookmarkStart w:id="506" w:name="_Toc14892"/>
      <w:bookmarkStart w:id="507" w:name="_Toc144974533"/>
      <w:bookmarkStart w:id="508" w:name="_Toc179632583"/>
      <w:bookmarkStart w:id="509" w:name="_Toc152042341"/>
      <w:bookmarkStart w:id="510" w:name="_Toc152045565"/>
      <w:bookmarkStart w:id="511" w:name="_Toc247085723"/>
      <w:bookmarkStart w:id="512" w:name="_Toc296602454"/>
      <w:bookmarkStart w:id="513" w:name="_Toc78803355"/>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44974534"/>
      <w:bookmarkStart w:id="515" w:name="_Toc247085724"/>
      <w:bookmarkStart w:id="516" w:name="_Toc152045566"/>
      <w:bookmarkStart w:id="517" w:name="_Toc246996210"/>
      <w:bookmarkStart w:id="518" w:name="_Toc324404850"/>
      <w:bookmarkStart w:id="519" w:name="_Toc179632584"/>
      <w:bookmarkStart w:id="520" w:name="_Toc152042342"/>
      <w:bookmarkStart w:id="521"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4923"/>
      <w:bookmarkStart w:id="523" w:name="_Toc35425089"/>
      <w:bookmarkStart w:id="524" w:name="_Toc15058888"/>
      <w:bookmarkStart w:id="525" w:name="_Toc26182"/>
      <w:bookmarkStart w:id="526" w:name="_Toc506107303"/>
      <w:bookmarkStart w:id="527" w:name="_Toc78803356"/>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15058890"/>
      <w:bookmarkStart w:id="530" w:name="_Toc506107305"/>
      <w:bookmarkStart w:id="531" w:name="_Toc296602457"/>
      <w:bookmarkStart w:id="532" w:name="_Toc60061472"/>
      <w:bookmarkStart w:id="533" w:name="_Toc324404852"/>
      <w:bookmarkStart w:id="534" w:name="_Toc83301726"/>
      <w:bookmarkStart w:id="535" w:name="_Toc4204"/>
      <w:bookmarkStart w:id="536" w:name="_Toc247085726"/>
      <w:bookmarkStart w:id="537" w:name="_Toc152042344"/>
      <w:bookmarkStart w:id="538" w:name="_Toc35424927"/>
      <w:bookmarkStart w:id="539" w:name="_Toc506107306"/>
      <w:bookmarkStart w:id="540" w:name="_Toc35425093"/>
      <w:bookmarkStart w:id="541" w:name="_Toc15058891"/>
      <w:bookmarkStart w:id="542" w:name="_Toc14692"/>
      <w:bookmarkStart w:id="543" w:name="_Toc246996955"/>
      <w:bookmarkStart w:id="544" w:name="_Toc179632586"/>
      <w:bookmarkStart w:id="545" w:name="_Toc324404853"/>
      <w:bookmarkStart w:id="546" w:name="_Toc152045568"/>
      <w:bookmarkStart w:id="547" w:name="_Toc296602458"/>
      <w:bookmarkStart w:id="548" w:name="_Toc144974536"/>
      <w:bookmarkStart w:id="549" w:name="_Toc246996212"/>
      <w:bookmarkStart w:id="550" w:name="_Toc78803360"/>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246996214"/>
      <w:bookmarkStart w:id="555" w:name="_Toc296602460"/>
      <w:bookmarkStart w:id="556" w:name="_Toc35424930"/>
      <w:bookmarkStart w:id="557" w:name="_Toc179632588"/>
      <w:bookmarkStart w:id="558" w:name="_Toc144974538"/>
      <w:bookmarkStart w:id="559" w:name="_Toc35425096"/>
      <w:bookmarkStart w:id="560" w:name="_Toc152042346"/>
      <w:bookmarkStart w:id="561" w:name="_Toc78803363"/>
      <w:bookmarkStart w:id="562" w:name="_Toc11010"/>
      <w:bookmarkStart w:id="563" w:name="_Toc246996957"/>
      <w:bookmarkStart w:id="564" w:name="_Toc247085728"/>
      <w:bookmarkStart w:id="565" w:name="_Toc324404855"/>
      <w:bookmarkStart w:id="566" w:name="_Toc152045570"/>
      <w:bookmarkStart w:id="567" w:name="_Toc15058893"/>
      <w:bookmarkStart w:id="568" w:name="_Toc50610730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95223378"/>
      <w:bookmarkStart w:id="573" w:name="_Toc246996956"/>
      <w:bookmarkStart w:id="574" w:name="_Toc179632587"/>
      <w:bookmarkStart w:id="575" w:name="_Toc152042345"/>
      <w:bookmarkStart w:id="576" w:name="_Toc246996213"/>
      <w:bookmarkStart w:id="577" w:name="_Toc60061476"/>
      <w:bookmarkStart w:id="578" w:name="_Toc144974537"/>
      <w:bookmarkStart w:id="579" w:name="_Toc15058892"/>
      <w:bookmarkStart w:id="580" w:name="_Toc83301730"/>
      <w:bookmarkStart w:id="581" w:name="_Toc506107307"/>
      <w:bookmarkStart w:id="582" w:name="_Toc324404854"/>
      <w:bookmarkStart w:id="583" w:name="_Toc247085727"/>
      <w:bookmarkStart w:id="584" w:name="_Toc296602459"/>
      <w:bookmarkStart w:id="585" w:name="_Toc152045569"/>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95223379"/>
      <w:bookmarkStart w:id="587" w:name="_Toc60061477"/>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79632589"/>
      <w:bookmarkStart w:id="590" w:name="_Toc152042347"/>
      <w:bookmarkStart w:id="591" w:name="_Toc95223381"/>
      <w:bookmarkStart w:id="592" w:name="_Toc152045571"/>
      <w:bookmarkStart w:id="593" w:name="_Toc83301732"/>
      <w:bookmarkStart w:id="594" w:name="_Toc144974539"/>
      <w:bookmarkStart w:id="595" w:name="_Toc60061478"/>
      <w:bookmarkStart w:id="596" w:name="_Toc26974"/>
      <w:bookmarkStart w:id="597" w:name="_Toc25375"/>
      <w:bookmarkStart w:id="598" w:name="_Toc35424931"/>
      <w:bookmarkStart w:id="599" w:name="_Toc35425097"/>
      <w:bookmarkStart w:id="600" w:name="_Toc78803367"/>
      <w:bookmarkStart w:id="601" w:name="_Toc31686"/>
      <w:bookmarkStart w:id="602" w:name="_Toc324404864"/>
      <w:bookmarkStart w:id="603" w:name="_Toc35424939"/>
      <w:bookmarkStart w:id="604" w:name="_Toc506107317"/>
      <w:bookmarkStart w:id="605" w:name="_Toc35425105"/>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179632590"/>
      <w:bookmarkStart w:id="610" w:name="_Toc144974540"/>
      <w:bookmarkStart w:id="611" w:name="_Toc95223382"/>
      <w:bookmarkStart w:id="612" w:name="_Toc152045572"/>
      <w:bookmarkStart w:id="613" w:name="_Toc60061479"/>
      <w:bookmarkStart w:id="614" w:name="_Toc152042348"/>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52045573"/>
      <w:bookmarkStart w:id="616" w:name="_Toc60061480"/>
      <w:bookmarkStart w:id="617" w:name="_Toc144974541"/>
      <w:bookmarkStart w:id="618" w:name="_Toc179632591"/>
      <w:bookmarkStart w:id="619" w:name="_Toc95223383"/>
      <w:bookmarkStart w:id="620" w:name="_Toc83301734"/>
      <w:bookmarkStart w:id="621" w:name="_Toc152042349"/>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607"/>
      <w:bookmarkStart w:id="623" w:name="_Toc35424932"/>
      <w:bookmarkStart w:id="624" w:name="_Toc246996219"/>
      <w:bookmarkStart w:id="625" w:name="_Toc35425098"/>
      <w:bookmarkStart w:id="626" w:name="_Toc179632593"/>
      <w:bookmarkStart w:id="627" w:name="_Toc144974543"/>
      <w:bookmarkStart w:id="628" w:name="_Toc152042351"/>
      <w:bookmarkStart w:id="629" w:name="_Toc247085733"/>
      <w:bookmarkStart w:id="630" w:name="_Toc78803368"/>
      <w:bookmarkStart w:id="631" w:name="_Toc15058895"/>
      <w:bookmarkStart w:id="632" w:name="_Toc246996962"/>
      <w:bookmarkStart w:id="633" w:name="_Toc296590983"/>
      <w:bookmarkStart w:id="634" w:name="_Toc506107310"/>
      <w:bookmarkStart w:id="635" w:name="_Toc296602462"/>
      <w:bookmarkStart w:id="636" w:name="_Toc2855"/>
      <w:bookmarkStart w:id="637" w:name="_Toc324404857"/>
      <w:bookmarkStart w:id="638" w:name="_Toc152045575"/>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5058896"/>
      <w:bookmarkStart w:id="640" w:name="_Toc324404858"/>
      <w:bookmarkStart w:id="641" w:name="_Toc152042352"/>
      <w:bookmarkStart w:id="642" w:name="_Toc296602463"/>
      <w:bookmarkStart w:id="643" w:name="_Toc19779"/>
      <w:bookmarkStart w:id="644" w:name="_Toc35424933"/>
      <w:bookmarkStart w:id="645" w:name="_Toc78803369"/>
      <w:bookmarkStart w:id="646" w:name="_Toc144974544"/>
      <w:bookmarkStart w:id="647" w:name="_Toc32177"/>
      <w:bookmarkStart w:id="648" w:name="_Toc246996963"/>
      <w:bookmarkStart w:id="649" w:name="_Toc35425099"/>
      <w:bookmarkStart w:id="650" w:name="_Toc152045576"/>
      <w:bookmarkStart w:id="651" w:name="_Toc179632594"/>
      <w:bookmarkStart w:id="652" w:name="_Toc246996220"/>
      <w:bookmarkStart w:id="653" w:name="_Toc506107311"/>
      <w:bookmarkStart w:id="654" w:name="_Toc24708573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3043"/>
      <w:bookmarkStart w:id="656" w:name="_Toc152042353"/>
      <w:bookmarkStart w:id="657" w:name="_Toc246996221"/>
      <w:bookmarkStart w:id="658" w:name="_Toc247085735"/>
      <w:bookmarkStart w:id="659" w:name="_Toc15058897"/>
      <w:bookmarkStart w:id="660" w:name="_Toc35425100"/>
      <w:bookmarkStart w:id="661" w:name="_Toc296602464"/>
      <w:bookmarkStart w:id="662" w:name="_Toc506107312"/>
      <w:bookmarkStart w:id="663" w:name="_Toc246996964"/>
      <w:bookmarkStart w:id="664" w:name="_Toc78803370"/>
      <w:bookmarkStart w:id="665" w:name="_Toc324404859"/>
      <w:bookmarkStart w:id="666" w:name="_Toc152045577"/>
      <w:bookmarkStart w:id="667" w:name="_Toc179632595"/>
      <w:bookmarkStart w:id="668" w:name="_Toc35424934"/>
      <w:bookmarkStart w:id="669" w:name="_Toc12564"/>
      <w:bookmarkStart w:id="670" w:name="_Toc14497454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46996222"/>
      <w:bookmarkStart w:id="672" w:name="_Toc506107313"/>
      <w:bookmarkStart w:id="673" w:name="_Toc35424935"/>
      <w:bookmarkStart w:id="674" w:name="_Toc246996965"/>
      <w:bookmarkStart w:id="675" w:name="_Toc78803371"/>
      <w:bookmarkStart w:id="676" w:name="_Toc296602465"/>
      <w:bookmarkStart w:id="677" w:name="_Toc179632596"/>
      <w:bookmarkStart w:id="678" w:name="_Toc15058898"/>
      <w:bookmarkStart w:id="679" w:name="_Toc18329"/>
      <w:bookmarkStart w:id="680" w:name="_Toc152045578"/>
      <w:bookmarkStart w:id="681" w:name="_Toc35425101"/>
      <w:bookmarkStart w:id="682" w:name="_Toc324404860"/>
      <w:bookmarkStart w:id="683" w:name="_Toc32214"/>
      <w:bookmarkStart w:id="684" w:name="_Toc152042354"/>
      <w:bookmarkStart w:id="685" w:name="_Toc24708573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79632597"/>
      <w:bookmarkStart w:id="689" w:name="_Toc296602466"/>
      <w:bookmarkStart w:id="690" w:name="_Toc152042356"/>
      <w:bookmarkStart w:id="691" w:name="_Toc23607"/>
      <w:bookmarkStart w:id="692" w:name="_Toc152045579"/>
      <w:bookmarkStart w:id="693" w:name="_Toc247085737"/>
      <w:bookmarkStart w:id="694" w:name="_Toc246996966"/>
      <w:bookmarkStart w:id="695" w:name="_Toc35425102"/>
      <w:bookmarkStart w:id="696" w:name="_Toc2811"/>
      <w:bookmarkStart w:id="697" w:name="_Toc506107314"/>
      <w:bookmarkStart w:id="698" w:name="_Toc15058899"/>
      <w:bookmarkStart w:id="699" w:name="_Toc35424936"/>
      <w:bookmarkStart w:id="700" w:name="_Toc246996223"/>
      <w:bookmarkStart w:id="701" w:name="_Toc78803372"/>
      <w:bookmarkStart w:id="702" w:name="_Toc32440486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6463"/>
      <w:bookmarkStart w:id="704" w:name="_Toc20669"/>
      <w:bookmarkStart w:id="705" w:name="_Toc152042357"/>
      <w:bookmarkStart w:id="706" w:name="_Toc246996967"/>
      <w:bookmarkStart w:id="707" w:name="_Toc179632598"/>
      <w:bookmarkStart w:id="708" w:name="_Toc78803373"/>
      <w:bookmarkStart w:id="709" w:name="_Toc144974547"/>
      <w:bookmarkStart w:id="710" w:name="_Toc31643"/>
      <w:bookmarkStart w:id="711" w:name="_Toc247085738"/>
      <w:bookmarkStart w:id="712" w:name="_Toc152045580"/>
      <w:bookmarkStart w:id="713" w:name="_Toc35425103"/>
      <w:bookmarkStart w:id="714" w:name="_Toc15058900"/>
      <w:bookmarkStart w:id="715" w:name="_Toc324404862"/>
      <w:bookmarkStart w:id="716" w:name="_Toc35424937"/>
      <w:bookmarkStart w:id="717" w:name="_Toc506107315"/>
      <w:bookmarkStart w:id="718" w:name="_Toc246996224"/>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1680BB4F">
      <w:pPr>
        <w:spacing w:beforeLines="50" w:afterLines="50" w:line="440" w:lineRule="exact"/>
        <w:jc w:val="center"/>
        <w:rPr>
          <w:rFonts w:ascii="宋体" w:hAnsi="宋体" w:cs="宋体"/>
          <w:b/>
          <w:bCs/>
          <w:color w:val="auto"/>
          <w:sz w:val="28"/>
          <w:szCs w:val="22"/>
          <w:highlight w:val="none"/>
        </w:rPr>
      </w:pPr>
      <w:bookmarkStart w:id="722" w:name="_Toc506107318"/>
      <w:bookmarkStart w:id="723" w:name="_Toc15058903"/>
      <w:bookmarkStart w:id="724" w:name="_Toc35424940"/>
      <w:bookmarkStart w:id="725" w:name="_Toc35425106"/>
      <w:bookmarkStart w:id="726" w:name="_Toc324404865"/>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590C60B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3"/>
        <w:spacing w:beforeLines="50" w:afterLines="50"/>
        <w:ind w:firstLine="422" w:firstLineChars="200"/>
        <w:rPr>
          <w:rFonts w:ascii="宋体" w:hAnsi="宋体" w:eastAsia="宋体" w:cs="宋体"/>
          <w:color w:val="auto"/>
          <w:highlight w:val="none"/>
        </w:rPr>
      </w:pPr>
      <w:bookmarkStart w:id="727" w:name="_Toc35425108"/>
      <w:bookmarkStart w:id="728" w:name="_Toc15058909"/>
      <w:bookmarkStart w:id="729" w:name="_Toc35424942"/>
      <w:bookmarkStart w:id="730" w:name="_Toc506107320"/>
      <w:bookmarkStart w:id="731" w:name="_Toc12549"/>
      <w:bookmarkStart w:id="732" w:name="_Toc78803377"/>
      <w:bookmarkStart w:id="733" w:name="_Toc324404867"/>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3"/>
        <w:spacing w:beforeLines="50" w:afterLines="50"/>
        <w:ind w:firstLine="422" w:firstLineChars="200"/>
        <w:rPr>
          <w:rFonts w:ascii="宋体" w:hAnsi="宋体" w:eastAsia="宋体" w:cs="宋体"/>
          <w:color w:val="auto"/>
          <w:highlight w:val="none"/>
        </w:rPr>
      </w:pPr>
      <w:bookmarkStart w:id="734" w:name="_Toc78803378"/>
      <w:bookmarkStart w:id="735" w:name="_Toc15058910"/>
      <w:bookmarkStart w:id="736" w:name="_Toc35424943"/>
      <w:bookmarkStart w:id="737" w:name="_Toc15626"/>
      <w:bookmarkStart w:id="738" w:name="_Toc324404868"/>
      <w:bookmarkStart w:id="739" w:name="_Toc506107321"/>
      <w:bookmarkStart w:id="740" w:name="_Toc35425109"/>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247912DA">
      <w:pPr>
        <w:spacing w:line="440" w:lineRule="exact"/>
        <w:ind w:firstLine="420" w:firstLineChars="200"/>
        <w:jc w:val="left"/>
        <w:rPr>
          <w:rFonts w:hint="eastAsia" w:ascii="宋体" w:hAnsi="宋体" w:eastAsia="宋体" w:cs="宋体"/>
          <w:color w:val="auto"/>
          <w:szCs w:val="21"/>
          <w:highlight w:val="none"/>
        </w:rPr>
      </w:pPr>
      <w:bookmarkStart w:id="741" w:name="_Toc324404869"/>
      <w:bookmarkStart w:id="742" w:name="_Toc35425110"/>
      <w:bookmarkStart w:id="743" w:name="_Toc15058911"/>
      <w:bookmarkStart w:id="744" w:name="_Toc78803379"/>
      <w:bookmarkStart w:id="745" w:name="_Toc10330"/>
      <w:bookmarkStart w:id="746" w:name="_Toc506107322"/>
      <w:bookmarkStart w:id="747"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10BAEF2B">
      <w:pPr>
        <w:pStyle w:val="2"/>
        <w:numPr>
          <w:ilvl w:val="0"/>
          <w:numId w:val="3"/>
        </w:numPr>
        <w:spacing w:beforeLines="50" w:afterLines="50"/>
        <w:rPr>
          <w:rFonts w:hint="eastAsia" w:ascii="Arial" w:hAnsi="Arial"/>
          <w:color w:val="auto"/>
          <w:kern w:val="0"/>
          <w:sz w:val="32"/>
          <w:szCs w:val="32"/>
          <w:highlight w:val="none"/>
        </w:rPr>
      </w:pPr>
      <w:bookmarkStart w:id="749" w:name="_Toc15058912"/>
      <w:bookmarkStart w:id="750" w:name="_Toc35424945"/>
      <w:bookmarkStart w:id="751" w:name="_Toc35425111"/>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2AF45750">
      <w:pPr>
        <w:pStyle w:val="42"/>
        <w:keepNext w:val="0"/>
        <w:keepLines w:val="0"/>
        <w:widowControl w:val="0"/>
        <w:suppressLineNumbers w:val="0"/>
        <w:autoSpaceDE w:val="0"/>
        <w:autoSpaceDN/>
        <w:spacing w:before="95" w:beforeLines="30" w:beforeAutospacing="0" w:after="95" w:afterLines="30" w:afterAutospacing="0" w:line="440" w:lineRule="exact"/>
        <w:ind w:left="420" w:leftChars="200" w:right="0" w:firstLine="602" w:firstLineChars="250"/>
        <w:jc w:val="center"/>
        <w:rPr>
          <w:rFonts w:hint="eastAsia" w:ascii="Times New Roman" w:hAnsi="Times New Roman" w:eastAsia="宋体" w:cs="Times New Roman"/>
          <w:b/>
          <w:bCs w:val="0"/>
          <w:color w:val="auto"/>
          <w:kern w:val="2"/>
          <w:sz w:val="24"/>
          <w:szCs w:val="24"/>
          <w:highlight w:val="none"/>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一</w:t>
      </w:r>
      <w:r>
        <w:rPr>
          <w:rFonts w:hint="eastAsia" w:ascii="Times New Roman" w:hAnsi="Times New Roman" w:eastAsia="宋体" w:cs="Times New Roman"/>
          <w:b/>
          <w:color w:val="auto"/>
          <w:sz w:val="24"/>
          <w:szCs w:val="24"/>
          <w:highlight w:val="none"/>
          <w:lang w:val="en-US" w:eastAsia="zh-CN"/>
        </w:rPr>
        <w:t>）</w:t>
      </w:r>
      <w:r>
        <w:rPr>
          <w:rFonts w:hint="eastAsia" w:ascii="宋体" w:hAnsi="宋体" w:eastAsia="宋体" w:cs="宋体"/>
          <w:b/>
          <w:bCs w:val="0"/>
          <w:color w:val="auto"/>
          <w:kern w:val="2"/>
          <w:sz w:val="24"/>
          <w:szCs w:val="24"/>
          <w:highlight w:val="none"/>
          <w:lang w:val="en-US" w:eastAsia="zh-CN" w:bidi="ar"/>
        </w:rPr>
        <w:t>资信标评审（</w:t>
      </w:r>
      <w:r>
        <w:rPr>
          <w:rFonts w:hint="default" w:ascii="Times New Roman" w:hAnsi="Times New Roman" w:eastAsia="宋体" w:cs="Times New Roman"/>
          <w:b/>
          <w:bCs w:val="0"/>
          <w:color w:val="auto"/>
          <w:kern w:val="2"/>
          <w:sz w:val="24"/>
          <w:szCs w:val="24"/>
          <w:highlight w:val="none"/>
          <w:lang w:val="en-US" w:eastAsia="zh-CN" w:bidi="ar"/>
        </w:rPr>
        <w:t>10</w:t>
      </w:r>
      <w:r>
        <w:rPr>
          <w:rFonts w:hint="eastAsia" w:ascii="宋体" w:hAnsi="宋体" w:eastAsia="宋体" w:cs="宋体"/>
          <w:b/>
          <w:bCs w:val="0"/>
          <w:color w:val="auto"/>
          <w:kern w:val="2"/>
          <w:sz w:val="24"/>
          <w:szCs w:val="24"/>
          <w:highlight w:val="none"/>
          <w:lang w:val="en-US" w:eastAsia="zh-CN" w:bidi="ar"/>
        </w:rPr>
        <w:t>分）</w:t>
      </w:r>
    </w:p>
    <w:tbl>
      <w:tblPr>
        <w:tblStyle w:val="4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1343"/>
        <w:gridCol w:w="1246"/>
        <w:gridCol w:w="6658"/>
      </w:tblGrid>
      <w:tr w14:paraId="5121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top"/>
          </w:tcPr>
          <w:p w14:paraId="5C073D8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343" w:type="dxa"/>
            <w:tcBorders>
              <w:top w:val="single" w:color="auto" w:sz="4" w:space="0"/>
              <w:left w:val="nil"/>
              <w:bottom w:val="single" w:color="auto" w:sz="4" w:space="0"/>
              <w:right w:val="single" w:color="auto" w:sz="4" w:space="0"/>
            </w:tcBorders>
            <w:shd w:val="clear" w:color="auto" w:fill="auto"/>
            <w:vAlign w:val="top"/>
          </w:tcPr>
          <w:p w14:paraId="5063B29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246" w:type="dxa"/>
            <w:tcBorders>
              <w:top w:val="single" w:color="auto" w:sz="4" w:space="0"/>
              <w:left w:val="nil"/>
              <w:bottom w:val="single" w:color="auto" w:sz="4" w:space="0"/>
              <w:right w:val="single" w:color="auto" w:sz="4" w:space="0"/>
            </w:tcBorders>
            <w:shd w:val="clear" w:color="auto" w:fill="auto"/>
            <w:vAlign w:val="top"/>
          </w:tcPr>
          <w:p w14:paraId="75EDC1B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6658" w:type="dxa"/>
            <w:tcBorders>
              <w:top w:val="single" w:color="auto" w:sz="4" w:space="0"/>
              <w:left w:val="nil"/>
              <w:bottom w:val="single" w:color="auto" w:sz="4" w:space="0"/>
              <w:right w:val="single" w:color="auto" w:sz="4" w:space="0"/>
            </w:tcBorders>
            <w:shd w:val="clear" w:color="auto" w:fill="auto"/>
            <w:vAlign w:val="top"/>
          </w:tcPr>
          <w:p w14:paraId="39B644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CE6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53D78E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343" w:type="dxa"/>
            <w:tcBorders>
              <w:top w:val="single" w:color="auto" w:sz="4" w:space="0"/>
              <w:left w:val="nil"/>
              <w:bottom w:val="single" w:color="auto" w:sz="4" w:space="0"/>
              <w:right w:val="single" w:color="auto" w:sz="4" w:space="0"/>
            </w:tcBorders>
            <w:shd w:val="clear" w:color="auto" w:fill="auto"/>
            <w:vAlign w:val="center"/>
          </w:tcPr>
          <w:p w14:paraId="6B3BCB76">
            <w:pPr>
              <w:keepNext w:val="0"/>
              <w:keepLines w:val="0"/>
              <w:widowControl w:val="0"/>
              <w:suppressLineNumbers w:val="0"/>
              <w:adjustRightInd w:val="0"/>
              <w:snapToGrid w:val="0"/>
              <w:spacing w:before="0" w:beforeAutospacing="0" w:after="0" w:afterAutospacing="0" w:line="56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人员配备</w:t>
            </w:r>
          </w:p>
        </w:tc>
        <w:tc>
          <w:tcPr>
            <w:tcW w:w="1246" w:type="dxa"/>
            <w:tcBorders>
              <w:top w:val="single" w:color="auto" w:sz="4" w:space="0"/>
              <w:left w:val="nil"/>
              <w:bottom w:val="single" w:color="auto" w:sz="4" w:space="0"/>
              <w:right w:val="single" w:color="auto" w:sz="4" w:space="0"/>
            </w:tcBorders>
            <w:shd w:val="clear" w:color="auto" w:fill="auto"/>
            <w:vAlign w:val="center"/>
          </w:tcPr>
          <w:p w14:paraId="2FE57F72">
            <w:pPr>
              <w:keepNext w:val="0"/>
              <w:keepLines w:val="0"/>
              <w:widowControl w:val="0"/>
              <w:suppressLineNumbers w:val="0"/>
              <w:adjustRightInd w:val="0"/>
              <w:snapToGrid w:val="0"/>
              <w:spacing w:before="0" w:beforeAutospacing="0" w:after="0" w:afterAutospacing="0" w:line="56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tc>
        <w:tc>
          <w:tcPr>
            <w:tcW w:w="6658" w:type="dxa"/>
            <w:tcBorders>
              <w:top w:val="single" w:color="auto" w:sz="4" w:space="0"/>
              <w:left w:val="nil"/>
              <w:bottom w:val="single" w:color="auto" w:sz="4" w:space="0"/>
              <w:right w:val="single" w:color="auto" w:sz="4" w:space="0"/>
            </w:tcBorders>
            <w:shd w:val="clear" w:color="auto" w:fill="auto"/>
            <w:vAlign w:val="top"/>
          </w:tcPr>
          <w:p w14:paraId="575AB362">
            <w:pPr>
              <w:pStyle w:val="42"/>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1.本项目拟派项目经理具有建筑类（或市政类）专业</w:t>
            </w:r>
            <w:r>
              <w:rPr>
                <w:rFonts w:hint="eastAsia" w:cs="宋体"/>
                <w:color w:val="auto"/>
                <w:kern w:val="2"/>
                <w:sz w:val="21"/>
                <w:szCs w:val="21"/>
                <w:highlight w:val="none"/>
                <w:lang w:val="en-US" w:eastAsia="zh-CN" w:bidi="ar"/>
              </w:rPr>
              <w:t>高</w:t>
            </w:r>
            <w:r>
              <w:rPr>
                <w:rFonts w:hint="eastAsia" w:ascii="宋体" w:hAnsi="宋体" w:eastAsia="宋体" w:cs="宋体"/>
                <w:color w:val="auto"/>
                <w:kern w:val="2"/>
                <w:sz w:val="21"/>
                <w:szCs w:val="21"/>
                <w:highlight w:val="none"/>
                <w:lang w:val="en-US" w:eastAsia="zh-CN" w:bidi="ar"/>
              </w:rPr>
              <w:t>级及以上职称的，得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p w14:paraId="473F8196">
            <w:pPr>
              <w:pStyle w:val="42"/>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2.本项目拟派技术负责人具有建筑类（或市政类）专业高级及以上职称的，得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p w14:paraId="23890CB5">
            <w:pPr>
              <w:pStyle w:val="42"/>
              <w:keepNext w:val="0"/>
              <w:keepLines w:val="0"/>
              <w:widowControl/>
              <w:suppressLineNumbers w:val="0"/>
              <w:autoSpaceDE w:val="0"/>
              <w:autoSpaceDN/>
              <w:spacing w:before="0" w:beforeAutospacing="0" w:after="0" w:afterAutospacing="0" w:line="44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注：投标文件中提供人员证书，未提供或经评审不符合要求的，不得分。</w:t>
            </w:r>
          </w:p>
        </w:tc>
      </w:tr>
    </w:tbl>
    <w:p w14:paraId="7712EAE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p>
    <w:p w14:paraId="0255804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技术标评审（20分）</w:t>
      </w:r>
    </w:p>
    <w:tbl>
      <w:tblPr>
        <w:tblStyle w:val="46"/>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2216"/>
        <w:gridCol w:w="4939"/>
      </w:tblGrid>
      <w:tr w14:paraId="0A7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jc w:val="center"/>
        </w:trPr>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5BD028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2946" w:type="dxa"/>
            <w:gridSpan w:val="2"/>
            <w:tcBorders>
              <w:top w:val="single" w:color="auto" w:sz="4" w:space="0"/>
              <w:left w:val="nil"/>
              <w:bottom w:val="single" w:color="auto" w:sz="4" w:space="0"/>
              <w:right w:val="single" w:color="auto" w:sz="4" w:space="0"/>
            </w:tcBorders>
            <w:noWrap w:val="0"/>
            <w:vAlign w:val="center"/>
          </w:tcPr>
          <w:p w14:paraId="5623A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4939" w:type="dxa"/>
            <w:tcBorders>
              <w:top w:val="single" w:color="auto" w:sz="4" w:space="0"/>
              <w:left w:val="nil"/>
              <w:bottom w:val="single" w:color="auto" w:sz="4" w:space="0"/>
              <w:right w:val="single" w:color="auto" w:sz="4" w:space="0"/>
            </w:tcBorders>
            <w:noWrap w:val="0"/>
            <w:vAlign w:val="center"/>
          </w:tcPr>
          <w:p w14:paraId="3774C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1B4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5C22ADA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1</w:t>
            </w:r>
          </w:p>
        </w:tc>
        <w:tc>
          <w:tcPr>
            <w:tcW w:w="1221" w:type="dxa"/>
            <w:vMerge w:val="restart"/>
            <w:tcBorders>
              <w:top w:val="nil"/>
              <w:left w:val="nil"/>
              <w:bottom w:val="single" w:color="auto" w:sz="4" w:space="0"/>
              <w:right w:val="single" w:color="auto" w:sz="4" w:space="0"/>
            </w:tcBorders>
            <w:noWrap w:val="0"/>
            <w:vAlign w:val="center"/>
          </w:tcPr>
          <w:p w14:paraId="2E3A7F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946" w:type="dxa"/>
            <w:gridSpan w:val="2"/>
            <w:tcBorders>
              <w:top w:val="single" w:color="auto" w:sz="4" w:space="0"/>
              <w:left w:val="nil"/>
              <w:bottom w:val="single" w:color="auto" w:sz="4" w:space="0"/>
              <w:right w:val="single" w:color="auto" w:sz="4" w:space="0"/>
            </w:tcBorders>
            <w:noWrap w:val="0"/>
            <w:vAlign w:val="center"/>
          </w:tcPr>
          <w:p w14:paraId="40B24CCC">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939" w:type="dxa"/>
            <w:tcBorders>
              <w:top w:val="single" w:color="auto" w:sz="4" w:space="0"/>
              <w:left w:val="nil"/>
              <w:bottom w:val="single" w:color="auto" w:sz="4" w:space="0"/>
              <w:right w:val="single" w:color="auto" w:sz="4" w:space="0"/>
            </w:tcBorders>
            <w:noWrap w:val="0"/>
            <w:vAlign w:val="center"/>
          </w:tcPr>
          <w:p w14:paraId="4A4EE9F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047B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50DCD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295FF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46" w:type="dxa"/>
            <w:gridSpan w:val="2"/>
            <w:tcBorders>
              <w:top w:val="single" w:color="auto" w:sz="4" w:space="0"/>
              <w:left w:val="nil"/>
              <w:bottom w:val="single" w:color="auto" w:sz="4" w:space="0"/>
              <w:right w:val="single" w:color="auto" w:sz="4" w:space="0"/>
            </w:tcBorders>
            <w:noWrap w:val="0"/>
            <w:vAlign w:val="center"/>
          </w:tcPr>
          <w:p w14:paraId="6C4E6B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939" w:type="dxa"/>
            <w:tcBorders>
              <w:top w:val="single" w:color="auto" w:sz="4" w:space="0"/>
              <w:left w:val="nil"/>
              <w:bottom w:val="single" w:color="auto" w:sz="4" w:space="0"/>
              <w:right w:val="single" w:color="auto" w:sz="4" w:space="0"/>
            </w:tcBorders>
            <w:noWrap w:val="0"/>
            <w:vAlign w:val="center"/>
          </w:tcPr>
          <w:p w14:paraId="10946D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符合第六章“投标文件格式”的要求，</w:t>
            </w:r>
          </w:p>
          <w:p w14:paraId="66B99A0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color w:val="auto"/>
                <w:spacing w:val="-6"/>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035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2233E43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2</w:t>
            </w:r>
          </w:p>
        </w:tc>
        <w:tc>
          <w:tcPr>
            <w:tcW w:w="1221" w:type="dxa"/>
            <w:vMerge w:val="restart"/>
            <w:tcBorders>
              <w:top w:val="nil"/>
              <w:left w:val="nil"/>
              <w:bottom w:val="single" w:color="auto" w:sz="4" w:space="0"/>
              <w:right w:val="single" w:color="auto" w:sz="4" w:space="0"/>
            </w:tcBorders>
            <w:noWrap w:val="0"/>
            <w:vAlign w:val="center"/>
          </w:tcPr>
          <w:p w14:paraId="2965052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2946" w:type="dxa"/>
            <w:gridSpan w:val="2"/>
            <w:tcBorders>
              <w:top w:val="single" w:color="auto" w:sz="4" w:space="0"/>
              <w:left w:val="nil"/>
              <w:bottom w:val="single" w:color="auto" w:sz="4" w:space="0"/>
              <w:right w:val="single" w:color="auto" w:sz="4" w:space="0"/>
            </w:tcBorders>
            <w:noWrap w:val="0"/>
            <w:vAlign w:val="center"/>
          </w:tcPr>
          <w:p w14:paraId="1FDDC04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939" w:type="dxa"/>
            <w:tcBorders>
              <w:top w:val="single" w:color="auto" w:sz="4" w:space="0"/>
              <w:left w:val="nil"/>
              <w:bottom w:val="single" w:color="auto" w:sz="4" w:space="0"/>
              <w:right w:val="single" w:color="auto" w:sz="4" w:space="0"/>
            </w:tcBorders>
            <w:noWrap w:val="0"/>
            <w:vAlign w:val="center"/>
          </w:tcPr>
          <w:p w14:paraId="0C5D41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5FA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D05E0B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A958A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46" w:type="dxa"/>
            <w:gridSpan w:val="2"/>
            <w:tcBorders>
              <w:top w:val="single" w:color="auto" w:sz="4" w:space="0"/>
              <w:left w:val="nil"/>
              <w:bottom w:val="single" w:color="auto" w:sz="4" w:space="0"/>
              <w:right w:val="single" w:color="auto" w:sz="4" w:space="0"/>
            </w:tcBorders>
            <w:noWrap w:val="0"/>
            <w:vAlign w:val="center"/>
          </w:tcPr>
          <w:p w14:paraId="41F6261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工期</w:t>
            </w:r>
          </w:p>
        </w:tc>
        <w:tc>
          <w:tcPr>
            <w:tcW w:w="4939" w:type="dxa"/>
            <w:tcBorders>
              <w:top w:val="single" w:color="auto" w:sz="4" w:space="0"/>
              <w:left w:val="nil"/>
              <w:bottom w:val="single" w:color="auto" w:sz="4" w:space="0"/>
              <w:right w:val="single" w:color="auto" w:sz="4" w:space="0"/>
            </w:tcBorders>
            <w:noWrap w:val="0"/>
            <w:vAlign w:val="center"/>
          </w:tcPr>
          <w:p w14:paraId="138B9B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3B0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921C8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E4842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946" w:type="dxa"/>
            <w:gridSpan w:val="2"/>
            <w:tcBorders>
              <w:top w:val="single" w:color="auto" w:sz="4" w:space="0"/>
              <w:left w:val="nil"/>
              <w:bottom w:val="single" w:color="auto" w:sz="4" w:space="0"/>
              <w:right w:val="single" w:color="auto" w:sz="4" w:space="0"/>
            </w:tcBorders>
            <w:noWrap w:val="0"/>
            <w:vAlign w:val="center"/>
          </w:tcPr>
          <w:p w14:paraId="099D13C8">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939" w:type="dxa"/>
            <w:tcBorders>
              <w:top w:val="single" w:color="auto" w:sz="4" w:space="0"/>
              <w:left w:val="nil"/>
              <w:bottom w:val="single" w:color="auto" w:sz="4" w:space="0"/>
              <w:right w:val="single" w:color="auto" w:sz="4" w:space="0"/>
            </w:tcBorders>
            <w:noWrap w:val="0"/>
            <w:vAlign w:val="center"/>
          </w:tcPr>
          <w:p w14:paraId="4F599D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符合第五章“合同条款及格式”规定。</w:t>
            </w:r>
          </w:p>
        </w:tc>
      </w:tr>
      <w:tr w14:paraId="719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restart"/>
            <w:tcBorders>
              <w:top w:val="single" w:color="auto" w:sz="4" w:space="0"/>
              <w:left w:val="single" w:color="auto" w:sz="4" w:space="0"/>
              <w:right w:val="single" w:color="auto" w:sz="4" w:space="0"/>
            </w:tcBorders>
            <w:noWrap w:val="0"/>
            <w:vAlign w:val="center"/>
          </w:tcPr>
          <w:p w14:paraId="5A006C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1221" w:type="dxa"/>
            <w:vMerge w:val="restart"/>
            <w:tcBorders>
              <w:top w:val="single" w:color="auto" w:sz="4" w:space="0"/>
              <w:left w:val="nil"/>
              <w:bottom w:val="single" w:color="auto" w:sz="4" w:space="0"/>
              <w:right w:val="single" w:color="auto" w:sz="4" w:space="0"/>
            </w:tcBorders>
            <w:noWrap w:val="0"/>
            <w:vAlign w:val="center"/>
          </w:tcPr>
          <w:p w14:paraId="6A2FC8CB">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宋体" w:hAnsi="宋体" w:eastAsia="宋体" w:cs="宋体"/>
                <w:color w:val="auto"/>
                <w:kern w:val="2"/>
                <w:sz w:val="21"/>
                <w:szCs w:val="21"/>
                <w:highlight w:val="none"/>
                <w:lang w:val="en-US"/>
              </w:rPr>
            </w:pPr>
            <w:r>
              <w:rPr>
                <w:rFonts w:hint="eastAsia" w:ascii="宋体" w:hAnsi="宋体" w:cs="宋体"/>
                <w:color w:val="auto"/>
                <w:kern w:val="2"/>
                <w:sz w:val="21"/>
                <w:szCs w:val="21"/>
                <w:highlight w:val="none"/>
                <w:lang w:val="en-US" w:eastAsia="zh-CN" w:bidi="ar"/>
              </w:rPr>
              <w:t>技术评分</w:t>
            </w:r>
          </w:p>
        </w:tc>
        <w:tc>
          <w:tcPr>
            <w:tcW w:w="730" w:type="dxa"/>
            <w:vMerge w:val="restart"/>
            <w:tcBorders>
              <w:top w:val="nil"/>
              <w:left w:val="nil"/>
              <w:bottom w:val="single" w:color="auto" w:sz="4" w:space="0"/>
              <w:right w:val="single" w:color="auto" w:sz="4" w:space="0"/>
            </w:tcBorders>
            <w:noWrap w:val="0"/>
            <w:vAlign w:val="center"/>
          </w:tcPr>
          <w:p w14:paraId="70ABD0E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r>
              <w:rPr>
                <w:rFonts w:hint="eastAsia" w:ascii="宋体" w:hAnsi="宋体" w:cs="宋体"/>
                <w:color w:val="auto"/>
                <w:kern w:val="2"/>
                <w:sz w:val="21"/>
                <w:szCs w:val="21"/>
                <w:highlight w:val="none"/>
                <w:lang w:val="en-US" w:eastAsia="zh-CN" w:bidi="ar"/>
              </w:rPr>
              <w:t>（20分）</w:t>
            </w:r>
          </w:p>
        </w:tc>
        <w:tc>
          <w:tcPr>
            <w:tcW w:w="2216" w:type="dxa"/>
            <w:tcBorders>
              <w:top w:val="single" w:color="auto" w:sz="4" w:space="0"/>
              <w:left w:val="nil"/>
              <w:bottom w:val="single" w:color="auto" w:sz="4" w:space="0"/>
              <w:right w:val="single" w:color="auto" w:sz="4" w:space="0"/>
            </w:tcBorders>
            <w:noWrap w:val="0"/>
            <w:vAlign w:val="center"/>
          </w:tcPr>
          <w:p w14:paraId="3AC3FD8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总体施工组织布置及规划（4分）</w:t>
            </w:r>
          </w:p>
        </w:tc>
        <w:tc>
          <w:tcPr>
            <w:tcW w:w="4939" w:type="dxa"/>
            <w:tcBorders>
              <w:top w:val="single" w:color="auto" w:sz="4" w:space="0"/>
              <w:left w:val="nil"/>
              <w:bottom w:val="single" w:color="auto" w:sz="4" w:space="0"/>
              <w:right w:val="single" w:color="auto" w:sz="4" w:space="0"/>
            </w:tcBorders>
            <w:noWrap w:val="0"/>
            <w:vAlign w:val="center"/>
          </w:tcPr>
          <w:p w14:paraId="36E3A5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结合本工程特点，依据投标人提出的总体施工组织布置及规划进行评审。</w:t>
            </w:r>
          </w:p>
          <w:p w14:paraId="6CC02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0＜差的≤1</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一般</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2分</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良好</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3分</w:t>
            </w:r>
            <w:r>
              <w:rPr>
                <w:rFonts w:hint="eastAsia" w:ascii="宋体" w:hAnsi="宋体" w:eastAsia="宋体" w:cs="宋体"/>
                <w:color w:val="auto"/>
                <w:kern w:val="2"/>
                <w:sz w:val="21"/>
                <w:szCs w:val="21"/>
                <w:highlight w:val="none"/>
                <w:lang w:val="en-US" w:eastAsia="zh-CN"/>
              </w:rPr>
              <w:t>，3＜优秀≤4</w:t>
            </w:r>
            <w:r>
              <w:rPr>
                <w:rFonts w:hint="eastAsia" w:ascii="宋体" w:hAnsi="宋体" w:cs="宋体"/>
                <w:color w:val="auto"/>
                <w:kern w:val="2"/>
                <w:sz w:val="21"/>
                <w:szCs w:val="21"/>
                <w:highlight w:val="none"/>
                <w:lang w:val="en-US" w:eastAsia="zh-CN"/>
              </w:rPr>
              <w:t>分</w:t>
            </w:r>
            <w:r>
              <w:rPr>
                <w:rFonts w:hint="eastAsia" w:ascii="宋体" w:hAnsi="宋体" w:eastAsia="宋体" w:cs="宋体"/>
                <w:color w:val="auto"/>
                <w:kern w:val="2"/>
                <w:sz w:val="21"/>
                <w:szCs w:val="21"/>
                <w:highlight w:val="none"/>
                <w:lang w:val="en-US" w:eastAsia="zh-CN"/>
              </w:rPr>
              <w:t>。明显不合理的、错误的或者未提供的不得分。</w:t>
            </w:r>
          </w:p>
        </w:tc>
      </w:tr>
      <w:tr w14:paraId="6810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0F087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3B620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C5303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4B138BF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主要工程项目的施工方案、方法与技术措施</w:t>
            </w:r>
          </w:p>
          <w:p w14:paraId="2B1FDE6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（2分）</w:t>
            </w:r>
          </w:p>
        </w:tc>
        <w:tc>
          <w:tcPr>
            <w:tcW w:w="4939" w:type="dxa"/>
            <w:tcBorders>
              <w:top w:val="single" w:color="auto" w:sz="4" w:space="0"/>
              <w:left w:val="nil"/>
              <w:bottom w:val="single" w:color="auto" w:sz="4" w:space="0"/>
              <w:right w:val="single" w:color="auto" w:sz="4" w:space="0"/>
            </w:tcBorders>
            <w:noWrap w:val="0"/>
            <w:vAlign w:val="center"/>
          </w:tcPr>
          <w:p w14:paraId="30A4E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依据各分部分项工程的主要工程项目的施工方案、方法与技术措施进行评审。</w:t>
            </w:r>
          </w:p>
          <w:p w14:paraId="20EE1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＜一般≤</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＜良好≤</w:t>
            </w:r>
            <w:r>
              <w:rPr>
                <w:rFonts w:hint="eastAsia" w:ascii="宋体"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en-US" w:eastAsia="zh-CN"/>
              </w:rPr>
              <w:t>＜优秀≤</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分。明显不合理的、错误的或者未提供的不得分。</w:t>
            </w:r>
          </w:p>
        </w:tc>
      </w:tr>
      <w:tr w14:paraId="037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EBDE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200D5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9FD07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7E0177A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项目施工过程重难点分析、针对重难点的相关措施（2分）</w:t>
            </w:r>
          </w:p>
        </w:tc>
        <w:tc>
          <w:tcPr>
            <w:tcW w:w="4939" w:type="dxa"/>
            <w:tcBorders>
              <w:top w:val="single" w:color="auto" w:sz="4" w:space="0"/>
              <w:left w:val="nil"/>
              <w:bottom w:val="single" w:color="auto" w:sz="4" w:space="0"/>
              <w:right w:val="single" w:color="auto" w:sz="4" w:space="0"/>
            </w:tcBorders>
            <w:noWrap w:val="0"/>
            <w:vAlign w:val="center"/>
          </w:tcPr>
          <w:p w14:paraId="05FD9C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结合本工程施工内容，依据投标人的相关情况，对施工过程中的重难点逐条分析，并对重难点实施措施进行评审。</w:t>
            </w:r>
          </w:p>
          <w:p w14:paraId="5728B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78EF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6969B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8BA43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72478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7B91D78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工期保证体系及保证措施</w:t>
            </w:r>
          </w:p>
          <w:p w14:paraId="169FBE0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（2分）</w:t>
            </w:r>
          </w:p>
        </w:tc>
        <w:tc>
          <w:tcPr>
            <w:tcW w:w="4939" w:type="dxa"/>
            <w:tcBorders>
              <w:top w:val="single" w:color="auto" w:sz="4" w:space="0"/>
              <w:left w:val="nil"/>
              <w:bottom w:val="single" w:color="auto" w:sz="4" w:space="0"/>
              <w:right w:val="single" w:color="auto" w:sz="4" w:space="0"/>
            </w:tcBorders>
            <w:noWrap w:val="0"/>
            <w:vAlign w:val="center"/>
          </w:tcPr>
          <w:p w14:paraId="32EAD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结合本工程特点，依据投标人提出的工期保证体系及保证措施进行评审。</w:t>
            </w:r>
          </w:p>
          <w:p w14:paraId="5023F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6A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53ECE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F6D8C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58F33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24662B9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工程质量管理体系及保证措施（2分）</w:t>
            </w:r>
          </w:p>
        </w:tc>
        <w:tc>
          <w:tcPr>
            <w:tcW w:w="4939" w:type="dxa"/>
            <w:tcBorders>
              <w:top w:val="single" w:color="auto" w:sz="4" w:space="0"/>
              <w:left w:val="nil"/>
              <w:bottom w:val="single" w:color="auto" w:sz="4" w:space="0"/>
              <w:right w:val="single" w:color="auto" w:sz="4" w:space="0"/>
            </w:tcBorders>
            <w:noWrap w:val="0"/>
            <w:vAlign w:val="center"/>
          </w:tcPr>
          <w:p w14:paraId="7907A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结合本工程特点，依据投标人提出的工程质量管理体系及保证措施进行评审。</w:t>
            </w:r>
          </w:p>
          <w:p w14:paraId="5EF0BB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70B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4D34E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F43C0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2B495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1601786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安全生产管理体系及保证措施（2分）</w:t>
            </w:r>
          </w:p>
        </w:tc>
        <w:tc>
          <w:tcPr>
            <w:tcW w:w="4939" w:type="dxa"/>
            <w:tcBorders>
              <w:top w:val="single" w:color="auto" w:sz="4" w:space="0"/>
              <w:left w:val="nil"/>
              <w:bottom w:val="single" w:color="auto" w:sz="4" w:space="0"/>
              <w:right w:val="single" w:color="auto" w:sz="4" w:space="0"/>
            </w:tcBorders>
            <w:noWrap w:val="0"/>
            <w:vAlign w:val="center"/>
          </w:tcPr>
          <w:p w14:paraId="47719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结合本工程特点，依据投标人提出的安全生产管理体系及保证措施进行评审。</w:t>
            </w:r>
          </w:p>
          <w:p w14:paraId="579AB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55D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9284C2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4FCCC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75001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33EAFC7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环境保护、水土保持保证体系及保证措施（2分）</w:t>
            </w:r>
          </w:p>
        </w:tc>
        <w:tc>
          <w:tcPr>
            <w:tcW w:w="4939" w:type="dxa"/>
            <w:tcBorders>
              <w:top w:val="single" w:color="auto" w:sz="4" w:space="0"/>
              <w:left w:val="nil"/>
              <w:bottom w:val="single" w:color="auto" w:sz="4" w:space="0"/>
              <w:right w:val="single" w:color="auto" w:sz="4" w:space="0"/>
            </w:tcBorders>
            <w:noWrap w:val="0"/>
            <w:vAlign w:val="center"/>
          </w:tcPr>
          <w:p w14:paraId="3E541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结合本工程特点，依据投标人提出的环境保护、水土保持保证体系及保证措施进行评审。</w:t>
            </w:r>
          </w:p>
          <w:p w14:paraId="44502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17B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1FDFAF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1F276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19275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7CBDF20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文明施工保证体系及保证措施（2分）</w:t>
            </w:r>
          </w:p>
        </w:tc>
        <w:tc>
          <w:tcPr>
            <w:tcW w:w="4939" w:type="dxa"/>
            <w:tcBorders>
              <w:top w:val="single" w:color="auto" w:sz="4" w:space="0"/>
              <w:left w:val="nil"/>
              <w:bottom w:val="single" w:color="auto" w:sz="4" w:space="0"/>
              <w:right w:val="single" w:color="auto" w:sz="4" w:space="0"/>
            </w:tcBorders>
            <w:noWrap w:val="0"/>
            <w:vAlign w:val="center"/>
          </w:tcPr>
          <w:p w14:paraId="30805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结合本工程特点，依据投标人提出的文明施工保证体系及保证措施进行评审。</w:t>
            </w:r>
          </w:p>
          <w:p w14:paraId="05F94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0＜差的≤0.5分，0.5＜一般≤1分，1＜良好≤1.5分，1.5＜优秀≤2分。明显不合理的、错误的或者未提供的不得分。</w:t>
            </w:r>
          </w:p>
        </w:tc>
      </w:tr>
      <w:tr w14:paraId="6BB9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E5990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B3BF1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4085AAB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16" w:type="dxa"/>
            <w:tcBorders>
              <w:top w:val="single" w:color="auto" w:sz="4" w:space="0"/>
              <w:left w:val="nil"/>
              <w:bottom w:val="single" w:color="auto" w:sz="4" w:space="0"/>
              <w:right w:val="single" w:color="auto" w:sz="4" w:space="0"/>
            </w:tcBorders>
            <w:noWrap w:val="0"/>
            <w:vAlign w:val="center"/>
          </w:tcPr>
          <w:p w14:paraId="15CE1A5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项目风险预测与防范，事故应急预案（2分）</w:t>
            </w:r>
          </w:p>
        </w:tc>
        <w:tc>
          <w:tcPr>
            <w:tcW w:w="4939" w:type="dxa"/>
            <w:tcBorders>
              <w:top w:val="single" w:color="auto" w:sz="4" w:space="0"/>
              <w:left w:val="nil"/>
              <w:bottom w:val="single" w:color="auto" w:sz="4" w:space="0"/>
              <w:right w:val="single" w:color="auto" w:sz="4" w:space="0"/>
            </w:tcBorders>
            <w:noWrap w:val="0"/>
            <w:vAlign w:val="center"/>
          </w:tcPr>
          <w:p w14:paraId="3AED7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结合本工程特点，依据投标人的项目风险预测与防范，事故应急预案进行评审。</w:t>
            </w:r>
          </w:p>
          <w:p w14:paraId="38BCC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0＜差的≤0.5分，0.5＜一般≤1分，1＜良好≤1.5分，1.5＜优秀≤2分</w:t>
            </w:r>
            <w:r>
              <w:rPr>
                <w:rFonts w:hint="eastAsia" w:ascii="宋体" w:hAnsi="宋体" w:eastAsia="宋体" w:cs="宋体"/>
                <w:color w:val="auto"/>
                <w:kern w:val="2"/>
                <w:sz w:val="21"/>
                <w:szCs w:val="21"/>
                <w:highlight w:val="none"/>
              </w:rPr>
              <w:t>。明显不合理的、错误的或者未提供的不得分。</w:t>
            </w:r>
          </w:p>
        </w:tc>
      </w:tr>
    </w:tbl>
    <w:p w14:paraId="599C6239">
      <w:pPr>
        <w:spacing w:line="440" w:lineRule="exact"/>
        <w:ind w:firstLine="422" w:firstLineChars="200"/>
        <w:jc w:val="left"/>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备注：该项由专家评委评审打分，取所有评委评分的平均值为最终得分，保留两位小数点，第三位四舍五入。</w:t>
      </w:r>
    </w:p>
    <w:p w14:paraId="7C381146">
      <w:pPr>
        <w:spacing w:line="440" w:lineRule="exact"/>
        <w:ind w:firstLine="420" w:firstLineChars="200"/>
        <w:jc w:val="left"/>
        <w:rPr>
          <w:rFonts w:hint="eastAsia" w:ascii="宋体" w:hAnsi="宋体" w:eastAsia="宋体" w:cs="宋体"/>
          <w:color w:val="auto"/>
          <w:highlight w:val="none"/>
          <w:lang w:val="en-US" w:eastAsia="zh-CN"/>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三</w:t>
      </w:r>
      <w:r>
        <w:rPr>
          <w:rFonts w:hint="eastAsia" w:ascii="Times New Roman" w:hAnsi="Times New Roman" w:eastAsia="宋体" w:cs="Times New Roman"/>
          <w:b/>
          <w:color w:val="auto"/>
          <w:sz w:val="24"/>
          <w:szCs w:val="24"/>
          <w:highlight w:val="none"/>
          <w:lang w:val="en-US" w:eastAsia="zh-CN"/>
        </w:rPr>
        <w:t>）商务标评审</w:t>
      </w:r>
      <w:r>
        <w:rPr>
          <w:rFonts w:hint="eastAsia" w:cs="Times New Roman"/>
          <w:b/>
          <w:color w:val="auto"/>
          <w:sz w:val="24"/>
          <w:szCs w:val="24"/>
          <w:highlight w:val="none"/>
          <w:lang w:val="en-US" w:eastAsia="zh-CN"/>
        </w:rPr>
        <w:t>（70分）</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905"/>
        <w:gridCol w:w="1645"/>
        <w:gridCol w:w="5581"/>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5" w:name="_Toc78803381"/>
            <w:bookmarkStart w:id="756" w:name="_Toc152042366"/>
            <w:bookmarkStart w:id="757" w:name="_Toc6491"/>
            <w:bookmarkStart w:id="758" w:name="_Toc324404872"/>
            <w:bookmarkStart w:id="759" w:name="_Toc179632607"/>
            <w:bookmarkStart w:id="760" w:name="_Toc35424947"/>
            <w:bookmarkStart w:id="761" w:name="_Toc15058913"/>
            <w:bookmarkStart w:id="762" w:name="_Toc246996232"/>
            <w:bookmarkStart w:id="763" w:name="_Toc247085747"/>
            <w:bookmarkStart w:id="764" w:name="_Toc144974556"/>
            <w:bookmarkStart w:id="765" w:name="_Toc506107324"/>
            <w:bookmarkStart w:id="766" w:name="_Toc35425113"/>
            <w:bookmarkStart w:id="767" w:name="_Toc152045589"/>
            <w:bookmarkStart w:id="768" w:name="_Toc246996975"/>
            <w:r>
              <w:rPr>
                <w:rFonts w:hint="eastAsia" w:ascii="宋体" w:hAnsi="宋体" w:eastAsia="宋体" w:cs="宋体"/>
                <w:b/>
                <w:bCs w:val="0"/>
                <w:color w:val="auto"/>
                <w:kern w:val="2"/>
                <w:sz w:val="21"/>
                <w:szCs w:val="21"/>
                <w:highlight w:val="none"/>
                <w:lang w:val="en-US" w:eastAsia="zh-CN" w:bidi="ar"/>
              </w:rPr>
              <w:t>条款号</w:t>
            </w:r>
          </w:p>
        </w:tc>
        <w:tc>
          <w:tcPr>
            <w:tcW w:w="2550" w:type="dxa"/>
            <w:gridSpan w:val="2"/>
            <w:tcBorders>
              <w:top w:val="single" w:color="auto" w:sz="4" w:space="0"/>
              <w:left w:val="nil"/>
              <w:bottom w:val="single" w:color="auto" w:sz="4" w:space="0"/>
              <w:right w:val="single" w:color="auto" w:sz="4" w:space="0"/>
            </w:tcBorders>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581" w:type="dxa"/>
            <w:tcBorders>
              <w:top w:val="single" w:color="auto" w:sz="4" w:space="0"/>
              <w:left w:val="nil"/>
              <w:bottom w:val="single" w:color="auto" w:sz="4" w:space="0"/>
              <w:right w:val="single" w:color="auto" w:sz="4" w:space="0"/>
            </w:tcBorders>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tcBorders>
              <w:top w:val="nil"/>
              <w:left w:val="nil"/>
              <w:bottom w:val="single" w:color="auto" w:sz="4" w:space="0"/>
              <w:right w:val="single" w:color="auto" w:sz="4" w:space="0"/>
            </w:tcBorders>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581" w:type="dxa"/>
            <w:tcBorders>
              <w:top w:val="single" w:color="auto" w:sz="4" w:space="0"/>
              <w:left w:val="nil"/>
              <w:bottom w:val="single" w:color="auto" w:sz="4" w:space="0"/>
              <w:right w:val="single" w:color="auto" w:sz="4" w:space="0"/>
            </w:tcBorders>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否则经评委会一致认定后并经综合监管部门同意后，按照无效投标处理。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581" w:type="dxa"/>
            <w:tcBorders>
              <w:top w:val="single" w:color="auto" w:sz="4" w:space="0"/>
              <w:left w:val="nil"/>
              <w:bottom w:val="single" w:color="auto" w:sz="4" w:space="0"/>
              <w:right w:val="single" w:color="auto" w:sz="4" w:space="0"/>
            </w:tcBorders>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符合第六章“投标文件格式”的要求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581" w:type="dxa"/>
            <w:tcBorders>
              <w:top w:val="single" w:color="auto" w:sz="4" w:space="0"/>
              <w:left w:val="nil"/>
              <w:bottom w:val="single" w:color="auto" w:sz="4" w:space="0"/>
              <w:right w:val="single" w:color="auto" w:sz="4" w:space="0"/>
            </w:tcBorders>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tcBorders>
              <w:top w:val="nil"/>
              <w:left w:val="nil"/>
              <w:bottom w:val="single" w:color="auto" w:sz="4" w:space="0"/>
              <w:right w:val="single" w:color="auto" w:sz="4" w:space="0"/>
            </w:tcBorders>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581" w:type="dxa"/>
            <w:tcBorders>
              <w:top w:val="single" w:color="auto" w:sz="4" w:space="0"/>
              <w:left w:val="nil"/>
              <w:bottom w:val="single" w:color="auto" w:sz="4" w:space="0"/>
              <w:right w:val="single" w:color="auto" w:sz="4" w:space="0"/>
            </w:tcBorders>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581" w:type="dxa"/>
            <w:tcBorders>
              <w:top w:val="single" w:color="auto" w:sz="4" w:space="0"/>
              <w:left w:val="nil"/>
              <w:bottom w:val="single" w:color="auto" w:sz="4" w:space="0"/>
              <w:right w:val="single" w:color="auto" w:sz="4" w:space="0"/>
            </w:tcBorders>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581" w:type="dxa"/>
            <w:tcBorders>
              <w:top w:val="single" w:color="auto" w:sz="4" w:space="0"/>
              <w:left w:val="nil"/>
              <w:bottom w:val="single" w:color="auto" w:sz="4" w:space="0"/>
              <w:right w:val="single" w:color="auto" w:sz="4" w:space="0"/>
            </w:tcBorders>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E8A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02DBD8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0FD82B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4BD8341">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581" w:type="dxa"/>
            <w:tcBorders>
              <w:top w:val="single" w:color="auto" w:sz="4" w:space="0"/>
              <w:left w:val="nil"/>
              <w:bottom w:val="single" w:color="auto" w:sz="4" w:space="0"/>
              <w:right w:val="single" w:color="auto" w:sz="4" w:space="0"/>
            </w:tcBorders>
            <w:noWrap w:val="0"/>
            <w:vAlign w:val="center"/>
          </w:tcPr>
          <w:p w14:paraId="1CBEA3D5">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p>
        </w:tc>
      </w:tr>
      <w:tr w14:paraId="2D5A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E5CB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201C08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0498BE6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暂列金额、专业工程暂估价、分部分项工程材料及设备暂估价</w:t>
            </w:r>
          </w:p>
        </w:tc>
        <w:tc>
          <w:tcPr>
            <w:tcW w:w="5581" w:type="dxa"/>
            <w:tcBorders>
              <w:top w:val="single" w:color="auto" w:sz="4" w:space="0"/>
              <w:left w:val="nil"/>
              <w:bottom w:val="single" w:color="auto" w:sz="4" w:space="0"/>
              <w:right w:val="single" w:color="auto" w:sz="4" w:space="0"/>
            </w:tcBorders>
            <w:noWrap w:val="0"/>
            <w:vAlign w:val="center"/>
          </w:tcPr>
          <w:p w14:paraId="0F03AED9">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与招标人发布的招标工程量清单一致</w:t>
            </w:r>
          </w:p>
        </w:tc>
      </w:tr>
      <w:tr w14:paraId="76CD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273632FC">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136" w:type="dxa"/>
            <w:vMerge w:val="restart"/>
            <w:tcBorders>
              <w:top w:val="nil"/>
              <w:left w:val="nil"/>
              <w:bottom w:val="single" w:color="auto" w:sz="4" w:space="0"/>
              <w:right w:val="single" w:color="auto" w:sz="4" w:space="0"/>
            </w:tcBorders>
            <w:noWrap w:val="0"/>
            <w:vAlign w:val="center"/>
          </w:tcPr>
          <w:p w14:paraId="058952DB">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74BF87D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投标总价评审</w:t>
            </w:r>
          </w:p>
        </w:tc>
        <w:tc>
          <w:tcPr>
            <w:tcW w:w="5581" w:type="dxa"/>
            <w:tcBorders>
              <w:top w:val="single" w:color="auto" w:sz="4" w:space="0"/>
              <w:left w:val="nil"/>
              <w:bottom w:val="single" w:color="auto" w:sz="4" w:space="0"/>
              <w:right w:val="single" w:color="auto" w:sz="4" w:space="0"/>
            </w:tcBorders>
            <w:noWrap w:val="0"/>
            <w:vAlign w:val="center"/>
          </w:tcPr>
          <w:p w14:paraId="0BE9AB8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不得高于最高投标限价，也不得低于工程成本价</w:t>
            </w:r>
          </w:p>
        </w:tc>
      </w:tr>
      <w:tr w14:paraId="0F28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948654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65F891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397ECD6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226" w:type="dxa"/>
            <w:gridSpan w:val="2"/>
            <w:tcBorders>
              <w:top w:val="single" w:color="auto" w:sz="4" w:space="0"/>
              <w:left w:val="nil"/>
              <w:bottom w:val="single" w:color="auto" w:sz="4" w:space="0"/>
              <w:right w:val="single" w:color="auto" w:sz="4" w:space="0"/>
            </w:tcBorders>
            <w:noWrap w:val="0"/>
            <w:vAlign w:val="center"/>
          </w:tcPr>
          <w:p w14:paraId="7569BE1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投标报价出现下列情形之一的，由评标委员会重点评审后界定其报价是否低于工程成本</w:t>
            </w:r>
          </w:p>
        </w:tc>
      </w:tr>
      <w:tr w14:paraId="108D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67C13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36B8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38CDF8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8F7ECA0">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581" w:type="dxa"/>
            <w:tcBorders>
              <w:top w:val="single" w:color="auto" w:sz="4" w:space="0"/>
              <w:left w:val="nil"/>
              <w:bottom w:val="single" w:color="auto" w:sz="4" w:space="0"/>
              <w:right w:val="single" w:color="auto" w:sz="4" w:space="0"/>
            </w:tcBorders>
            <w:noWrap w:val="0"/>
            <w:vAlign w:val="center"/>
          </w:tcPr>
          <w:p w14:paraId="6D15BC2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投标报价低于同一工程有效投标报价平均值10%以上</w:t>
            </w:r>
          </w:p>
        </w:tc>
      </w:tr>
      <w:tr w14:paraId="41F0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2C89F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7112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7B2AC2C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3CAA59F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报价内容完整性</w:t>
            </w:r>
          </w:p>
        </w:tc>
        <w:tc>
          <w:tcPr>
            <w:tcW w:w="5581" w:type="dxa"/>
            <w:tcBorders>
              <w:top w:val="single" w:color="auto" w:sz="4" w:space="0"/>
              <w:left w:val="nil"/>
              <w:bottom w:val="single" w:color="auto" w:sz="4" w:space="0"/>
              <w:right w:val="single" w:color="auto" w:sz="4" w:space="0"/>
            </w:tcBorders>
            <w:noWrap w:val="0"/>
            <w:vAlign w:val="center"/>
          </w:tcPr>
          <w:p w14:paraId="589D811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因投标人原因造成投标报价清单缺漏，缺漏项总额（多算或多报总额不得抵消缺漏项目总额）累计占同一工程有效投标总报价平均值5%以上。</w:t>
            </w:r>
          </w:p>
        </w:tc>
      </w:tr>
      <w:tr w14:paraId="4DDC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FFFCF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EF38E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670E4C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CC5A7E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人工工日单价</w:t>
            </w:r>
          </w:p>
        </w:tc>
        <w:tc>
          <w:tcPr>
            <w:tcW w:w="5581" w:type="dxa"/>
            <w:tcBorders>
              <w:top w:val="single" w:color="auto" w:sz="4" w:space="0"/>
              <w:left w:val="nil"/>
              <w:bottom w:val="single" w:color="auto" w:sz="4" w:space="0"/>
              <w:right w:val="single" w:color="auto" w:sz="4" w:space="0"/>
            </w:tcBorders>
            <w:noWrap w:val="0"/>
            <w:vAlign w:val="center"/>
          </w:tcPr>
          <w:p w14:paraId="7FD4C15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不得低于工程所在地政府发布的最低工资标准折算的工日单价。</w:t>
            </w:r>
          </w:p>
        </w:tc>
      </w:tr>
      <w:tr w14:paraId="7651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CE86C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50536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3F5576E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2553D8D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需评审材料数量</w:t>
            </w:r>
          </w:p>
        </w:tc>
        <w:tc>
          <w:tcPr>
            <w:tcW w:w="5581" w:type="dxa"/>
            <w:tcBorders>
              <w:top w:val="single" w:color="auto" w:sz="4" w:space="0"/>
              <w:left w:val="nil"/>
              <w:bottom w:val="single" w:color="auto" w:sz="4" w:space="0"/>
              <w:right w:val="single" w:color="auto" w:sz="4" w:space="0"/>
            </w:tcBorders>
            <w:noWrap w:val="0"/>
            <w:vAlign w:val="center"/>
          </w:tcPr>
          <w:p w14:paraId="25F4658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需评审的主要材料消耗量低于最高投标限价相应材料数量的5%以上，且低于同一工程有效投标报价相应材料消耗量平均值的3%以上。</w:t>
            </w:r>
          </w:p>
        </w:tc>
      </w:tr>
      <w:tr w14:paraId="7166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E9E6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F8E6C7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207166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55B77D1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w:t>
            </w:r>
          </w:p>
        </w:tc>
        <w:tc>
          <w:tcPr>
            <w:tcW w:w="5581" w:type="dxa"/>
            <w:tcBorders>
              <w:top w:val="single" w:color="auto" w:sz="4" w:space="0"/>
              <w:left w:val="nil"/>
              <w:bottom w:val="single" w:color="auto" w:sz="4" w:space="0"/>
              <w:right w:val="single" w:color="auto" w:sz="4" w:space="0"/>
            </w:tcBorders>
            <w:noWrap w:val="0"/>
            <w:vAlign w:val="center"/>
          </w:tcPr>
          <w:p w14:paraId="2268A79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施工机具使用费低于同一工程有效投标报价施工机具使用费平均值的10%以上。</w:t>
            </w:r>
          </w:p>
        </w:tc>
      </w:tr>
      <w:tr w14:paraId="293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98F8A7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719622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EFBCC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AC60F3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管理费和利润费率</w:t>
            </w:r>
          </w:p>
        </w:tc>
        <w:tc>
          <w:tcPr>
            <w:tcW w:w="5581" w:type="dxa"/>
            <w:tcBorders>
              <w:top w:val="single" w:color="auto" w:sz="4" w:space="0"/>
              <w:left w:val="nil"/>
              <w:bottom w:val="single" w:color="auto" w:sz="4" w:space="0"/>
              <w:right w:val="single" w:color="auto" w:sz="4" w:space="0"/>
            </w:tcBorders>
            <w:noWrap w:val="0"/>
            <w:vAlign w:val="center"/>
          </w:tcPr>
          <w:p w14:paraId="55B6E89B">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管理费、利润投标费率低于0%。</w:t>
            </w:r>
          </w:p>
        </w:tc>
      </w:tr>
      <w:tr w14:paraId="0C7D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D7F1D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ED9E6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7E38172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w:t>
            </w:r>
          </w:p>
          <w:p w14:paraId="5D6CC99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w:t>
            </w:r>
          </w:p>
        </w:tc>
        <w:tc>
          <w:tcPr>
            <w:tcW w:w="1645" w:type="dxa"/>
            <w:tcBorders>
              <w:top w:val="single" w:color="auto" w:sz="4" w:space="0"/>
              <w:left w:val="nil"/>
              <w:bottom w:val="single" w:color="auto" w:sz="4" w:space="0"/>
              <w:right w:val="single" w:color="auto" w:sz="4" w:space="0"/>
            </w:tcBorders>
            <w:noWrap w:val="0"/>
            <w:vAlign w:val="center"/>
          </w:tcPr>
          <w:p w14:paraId="0EA1C45C">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581" w:type="dxa"/>
            <w:tcBorders>
              <w:top w:val="single" w:color="auto" w:sz="4" w:space="0"/>
              <w:left w:val="nil"/>
              <w:bottom w:val="single" w:color="auto" w:sz="4" w:space="0"/>
              <w:right w:val="single" w:color="auto" w:sz="4" w:space="0"/>
            </w:tcBorders>
            <w:noWrap w:val="0"/>
            <w:vAlign w:val="center"/>
          </w:tcPr>
          <w:p w14:paraId="1FE4F16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3535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7F836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22AA3DA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FF0F5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4CCD7DA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581" w:type="dxa"/>
            <w:tcBorders>
              <w:top w:val="single" w:color="auto" w:sz="4" w:space="0"/>
              <w:left w:val="nil"/>
              <w:bottom w:val="single" w:color="auto" w:sz="4" w:space="0"/>
              <w:right w:val="single" w:color="auto" w:sz="4" w:space="0"/>
            </w:tcBorders>
            <w:noWrap w:val="0"/>
            <w:vAlign w:val="center"/>
          </w:tcPr>
          <w:p w14:paraId="762B040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6E8C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8EE5B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76AF7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76D201E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5797AB2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581" w:type="dxa"/>
            <w:tcBorders>
              <w:top w:val="single" w:color="auto" w:sz="4" w:space="0"/>
              <w:left w:val="nil"/>
              <w:bottom w:val="single" w:color="auto" w:sz="4" w:space="0"/>
              <w:right w:val="single" w:color="auto" w:sz="4" w:space="0"/>
            </w:tcBorders>
            <w:noWrap w:val="0"/>
            <w:vAlign w:val="center"/>
          </w:tcPr>
          <w:p w14:paraId="745D4FD1">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r w14:paraId="6DA2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7994868">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136" w:type="dxa"/>
            <w:tcBorders>
              <w:top w:val="single" w:color="auto" w:sz="4" w:space="0"/>
              <w:left w:val="nil"/>
              <w:bottom w:val="single" w:color="auto" w:sz="4" w:space="0"/>
              <w:right w:val="single" w:color="auto" w:sz="4" w:space="0"/>
            </w:tcBorders>
            <w:noWrap w:val="0"/>
            <w:vAlign w:val="center"/>
          </w:tcPr>
          <w:p w14:paraId="3D9E7D6E">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w:t>
            </w:r>
          </w:p>
          <w:p w14:paraId="24EC70B8">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w:t>
            </w:r>
          </w:p>
          <w:p w14:paraId="5BC9D681">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0分）</w:t>
            </w:r>
          </w:p>
        </w:tc>
        <w:tc>
          <w:tcPr>
            <w:tcW w:w="8131" w:type="dxa"/>
            <w:gridSpan w:val="3"/>
            <w:tcBorders>
              <w:top w:val="single" w:color="auto" w:sz="4" w:space="0"/>
              <w:left w:val="nil"/>
              <w:bottom w:val="single" w:color="auto" w:sz="4" w:space="0"/>
              <w:right w:val="single" w:color="auto" w:sz="4" w:space="0"/>
            </w:tcBorders>
            <w:noWrap w:val="0"/>
            <w:vAlign w:val="center"/>
          </w:tcPr>
          <w:p w14:paraId="681AC8B7">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商务标评分按下列步骤计算：</w:t>
            </w:r>
          </w:p>
          <w:p w14:paraId="32061FE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第一步：计算B值。</w:t>
            </w:r>
          </w:p>
          <w:p w14:paraId="78B1AF93">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①B值为通过（资信、技术、商务）详细评审的有效投标人有效投标报价的算术平均值。</w:t>
            </w:r>
          </w:p>
          <w:p w14:paraId="023CCE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第二步：计算评标基准价F值。</w:t>
            </w:r>
          </w:p>
          <w:p w14:paraId="3C6E13B3">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①F=B×（1-K），其中K为调整系数，K的取值为-0.5%（1号），0%（2号），0.5%（3号），1.0%（4号），1.5%（5号）。</w:t>
            </w:r>
          </w:p>
          <w:p w14:paraId="4A02286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第三步：计算报价偏差率。</w:t>
            </w:r>
          </w:p>
          <w:p w14:paraId="1841CBF1">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①偏差率=|（投标报价-评标基准价）/评标基准价|×100%</w:t>
            </w:r>
          </w:p>
          <w:p w14:paraId="6A6E9BB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第四步：计算报价得分</w:t>
            </w:r>
          </w:p>
          <w:p w14:paraId="222F73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①投标报价等于评标基准价的得满分。</w:t>
            </w:r>
          </w:p>
          <w:p w14:paraId="38679590">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②投标报价高于评标基准价的，投标报价得分=报价满分值-偏差率×100×1</w:t>
            </w:r>
          </w:p>
          <w:p w14:paraId="3B3D126D">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③投标报价低于评标基准价的，投标报价得分=报价满分值-偏差率×100×0.5</w:t>
            </w:r>
          </w:p>
          <w:p w14:paraId="03B55A9F">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注：计算过程中，B值、评标基准价F值、偏差率、报价得分均保留两位小数，小数点后第三位四舍五入。</w:t>
            </w:r>
          </w:p>
        </w:tc>
      </w:tr>
    </w:tbl>
    <w:p w14:paraId="1E40AA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5DE693A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lang w:eastAsia="zh-CN"/>
        </w:rPr>
        <w:t xml:space="preserve">%），则商务标不得分，且该投标报价不参与B值计算。 </w:t>
      </w:r>
    </w:p>
    <w:p w14:paraId="1E829C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（2）只有通过详细评审的投标人才能参加评分。</w:t>
      </w:r>
    </w:p>
    <w:p w14:paraId="0FBBC1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14:paraId="6CA35A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（4）K值的抽取：资信标、技术标、商务标详细评审完成后，招标人抽取K值，并根据抽取的K值计算F值。</w:t>
      </w:r>
      <w:r>
        <w:rPr>
          <w:rFonts w:hint="eastAsia" w:ascii="宋体" w:hAnsi="宋体" w:cs="宋体"/>
          <w:b/>
          <w:bCs/>
          <w:color w:val="auto"/>
          <w:szCs w:val="21"/>
          <w:highlight w:val="none"/>
          <w:lang w:eastAsia="zh-CN"/>
        </w:rPr>
        <w:t>评标办法中的评标基准价计算出来后，除数字计算错误外，其他情况均不再调整。</w:t>
      </w:r>
    </w:p>
    <w:p w14:paraId="09F15E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）本表所述累计投标报价缺漏错总额占原投标报价格5%以下者，视为投标人主动让利或包含在其他项目中，不修正总价，工程结算时亦不予调整。</w:t>
      </w:r>
    </w:p>
    <w:p w14:paraId="0C6ABCCB">
      <w:pPr>
        <w:pStyle w:val="3"/>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DE433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11945"/>
      <w:bookmarkStart w:id="770" w:name="_Toc324404873"/>
      <w:bookmarkStart w:id="771" w:name="_Toc15058914"/>
      <w:bookmarkStart w:id="772" w:name="_Toc35424948"/>
      <w:bookmarkStart w:id="773" w:name="_Toc506107325"/>
      <w:bookmarkStart w:id="774" w:name="_Toc78803382"/>
      <w:bookmarkStart w:id="775" w:name="_Toc35425114"/>
      <w:bookmarkStart w:id="776" w:name="_Toc296602478"/>
      <w:bookmarkStart w:id="777" w:name="_Toc152042367"/>
      <w:bookmarkStart w:id="778" w:name="_Toc246996233"/>
      <w:bookmarkStart w:id="779" w:name="_Toc144974557"/>
      <w:bookmarkStart w:id="780" w:name="_Toc246996976"/>
      <w:bookmarkStart w:id="781" w:name="_Toc247085748"/>
      <w:bookmarkStart w:id="782" w:name="_Toc179632608"/>
      <w:bookmarkStart w:id="783" w:name="_Toc152045590"/>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052B9A6D">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35424949"/>
      <w:bookmarkStart w:id="785" w:name="_Toc15058915"/>
      <w:bookmarkStart w:id="786" w:name="_Toc324404874"/>
      <w:bookmarkStart w:id="787" w:name="_Toc506107326"/>
      <w:bookmarkStart w:id="788" w:name="_Toc78803384"/>
      <w:bookmarkStart w:id="789" w:name="_Toc17377"/>
      <w:bookmarkStart w:id="790"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267FE0A5">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27389"/>
      <w:bookmarkStart w:id="792" w:name="_Toc78803385"/>
      <w:bookmarkStart w:id="793" w:name="_Toc15058916"/>
      <w:bookmarkStart w:id="794" w:name="_Toc35424950"/>
      <w:bookmarkStart w:id="795" w:name="_Toc35425116"/>
      <w:r>
        <w:rPr>
          <w:rFonts w:hint="eastAsia" w:ascii="宋体" w:hAnsi="宋体" w:eastAsia="宋体" w:cs="宋体"/>
          <w:color w:val="auto"/>
          <w:highlight w:val="none"/>
        </w:rPr>
        <w:t>3.1评标准备工作</w:t>
      </w:r>
      <w:bookmarkEnd w:id="791"/>
      <w:bookmarkEnd w:id="792"/>
      <w:bookmarkEnd w:id="793"/>
      <w:bookmarkEnd w:id="794"/>
      <w:bookmarkEnd w:id="795"/>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738846CD">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35424951"/>
      <w:bookmarkStart w:id="797" w:name="_Toc24650"/>
      <w:bookmarkStart w:id="798" w:name="_Toc15058917"/>
      <w:bookmarkStart w:id="799" w:name="_Toc1299"/>
      <w:bookmarkStart w:id="800" w:name="_Toc35425117"/>
      <w:bookmarkStart w:id="801" w:name="_Toc78803386"/>
      <w:bookmarkStart w:id="802" w:name="_Toc506107327"/>
      <w:bookmarkStart w:id="803" w:name="_Toc12200"/>
      <w:bookmarkStart w:id="804" w:name="_Toc35424954"/>
      <w:bookmarkStart w:id="805" w:name="_Toc324404875"/>
      <w:bookmarkStart w:id="806" w:name="_Toc35425120"/>
      <w:bookmarkStart w:id="807" w:name="_Toc15058919"/>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555BEA84">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0DC00819">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11990"/>
      <w:bookmarkStart w:id="809" w:name="_Toc78803387"/>
      <w:bookmarkStart w:id="810" w:name="_Toc35424952"/>
      <w:bookmarkStart w:id="811" w:name="_Toc15058918"/>
      <w:bookmarkStart w:id="812" w:name="_Toc35425118"/>
      <w:bookmarkStart w:id="813" w:name="_Toc17468"/>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35425119"/>
      <w:bookmarkStart w:id="815" w:name="_Toc35424953"/>
      <w:bookmarkStart w:id="816" w:name="_Toc78803388"/>
      <w:bookmarkStart w:id="817" w:name="_Toc26895"/>
      <w:bookmarkStart w:id="818" w:name="_Toc18087"/>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96AA247">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0DA4AD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0" w:name="_Toc78803390"/>
      <w:bookmarkStart w:id="821" w:name="_Toc9630"/>
      <w:r>
        <w:rPr>
          <w:rFonts w:hint="eastAsia" w:ascii="宋体" w:hAnsi="宋体" w:eastAsia="宋体" w:cs="宋体"/>
          <w:color w:val="auto"/>
          <w:highlight w:val="none"/>
        </w:rPr>
        <w:t>4.1</w:t>
      </w:r>
      <w:bookmarkEnd w:id="820"/>
      <w:bookmarkEnd w:id="821"/>
      <w:bookmarkStart w:id="822" w:name="_Toc13125"/>
      <w:bookmarkStart w:id="823" w:name="_Toc35424957"/>
      <w:bookmarkStart w:id="824" w:name="_Toc15058922"/>
      <w:bookmarkStart w:id="825" w:name="_Toc324404876"/>
      <w:bookmarkStart w:id="826" w:name="_Toc78803392"/>
      <w:bookmarkStart w:id="827" w:name="_Toc506107328"/>
      <w:bookmarkStart w:id="828" w:name="_Toc35425123"/>
      <w:r>
        <w:rPr>
          <w:rFonts w:hint="eastAsia" w:ascii="宋体" w:hAnsi="宋体" w:eastAsia="宋体" w:cs="宋体"/>
          <w:b/>
          <w:bCs/>
          <w:color w:val="auto"/>
          <w:kern w:val="2"/>
          <w:sz w:val="21"/>
          <w:szCs w:val="21"/>
          <w:highlight w:val="none"/>
          <w:lang w:val="en-US" w:eastAsia="zh-CN" w:bidi="ar"/>
        </w:rPr>
        <w:t>技术标评审</w:t>
      </w:r>
    </w:p>
    <w:p w14:paraId="3F73C387">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4.1.1形式性评审标准：见技术标评审表。</w:t>
      </w:r>
    </w:p>
    <w:p w14:paraId="560C04A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4.1.2响应性评审标准：见技术标评审表。</w:t>
      </w:r>
    </w:p>
    <w:p w14:paraId="11E9F97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评标委员会依据上述标准对投标文件进行评审。有一项不符合评审标准的，作无效投标处理。</w:t>
      </w:r>
    </w:p>
    <w:p w14:paraId="02E73996">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4.2商务标评审</w:t>
      </w:r>
    </w:p>
    <w:p w14:paraId="58CB8419">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7A77142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4.2.1形式性评审标准：见商务标评审表。</w:t>
      </w:r>
    </w:p>
    <w:p w14:paraId="42EA714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4.2.2响应性评审标准：见商务标评审表。</w:t>
      </w:r>
    </w:p>
    <w:p w14:paraId="77DE37C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3DAC13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4.2.3投标报价评审</w:t>
      </w:r>
    </w:p>
    <w:p w14:paraId="70F6EDA0">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6969EFA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14:paraId="5322ADD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13D8E2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198C96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2"/>
      <w:bookmarkEnd w:id="823"/>
      <w:bookmarkEnd w:id="824"/>
      <w:bookmarkEnd w:id="825"/>
      <w:bookmarkEnd w:id="826"/>
      <w:bookmarkEnd w:id="827"/>
      <w:bookmarkEnd w:id="828"/>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054EAA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24B720F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w:t>
      </w:r>
    </w:p>
    <w:p w14:paraId="537DB5E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.2商务标评审</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0353053F">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9" w:name="_Toc35425124"/>
      <w:bookmarkStart w:id="830" w:name="_Toc78803393"/>
      <w:bookmarkStart w:id="831" w:name="_Toc15058923"/>
      <w:bookmarkStart w:id="832" w:name="_Toc35424958"/>
      <w:bookmarkStart w:id="833" w:name="_Toc506107329"/>
      <w:bookmarkStart w:id="834" w:name="_Toc27846"/>
      <w:bookmarkStart w:id="835" w:name="_Toc324404877"/>
      <w:r>
        <w:rPr>
          <w:rFonts w:hint="eastAsia" w:ascii="宋体" w:hAnsi="宋体" w:eastAsia="宋体" w:cs="宋体"/>
          <w:color w:val="auto"/>
          <w:highlight w:val="none"/>
        </w:rPr>
        <w:t>6.投标文件的澄清和补正</w:t>
      </w:r>
      <w:bookmarkEnd w:id="829"/>
      <w:bookmarkEnd w:id="830"/>
      <w:bookmarkEnd w:id="831"/>
      <w:bookmarkEnd w:id="832"/>
      <w:bookmarkEnd w:id="833"/>
      <w:bookmarkEnd w:id="834"/>
      <w:bookmarkEnd w:id="835"/>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6" w:name="_Toc78803394"/>
      <w:bookmarkStart w:id="837" w:name="_Toc13990"/>
      <w:bookmarkStart w:id="838" w:name="_Toc506107330"/>
      <w:bookmarkStart w:id="839" w:name="_Toc324404878"/>
      <w:bookmarkStart w:id="840" w:name="_Toc35425125"/>
      <w:bookmarkStart w:id="841" w:name="_Toc15058924"/>
      <w:bookmarkStart w:id="842" w:name="_Toc35424959"/>
      <w:r>
        <w:rPr>
          <w:rFonts w:hint="eastAsia" w:ascii="宋体" w:hAnsi="宋体" w:eastAsia="宋体" w:cs="宋体"/>
          <w:color w:val="auto"/>
          <w:highlight w:val="none"/>
        </w:rPr>
        <w:t>7.评分标准</w:t>
      </w:r>
      <w:bookmarkEnd w:id="836"/>
      <w:bookmarkEnd w:id="837"/>
      <w:bookmarkEnd w:id="838"/>
      <w:bookmarkEnd w:id="839"/>
      <w:bookmarkEnd w:id="840"/>
      <w:bookmarkEnd w:id="841"/>
      <w:bookmarkEnd w:id="842"/>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56B7BF7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045E90A1">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3" w:name="_Toc22863"/>
      <w:bookmarkStart w:id="844" w:name="_Toc15058925"/>
      <w:bookmarkStart w:id="845" w:name="_Toc35424960"/>
      <w:bookmarkStart w:id="846" w:name="_Toc78803395"/>
      <w:bookmarkStart w:id="847" w:name="_Toc35425126"/>
      <w:bookmarkStart w:id="848" w:name="_Toc506107331"/>
      <w:bookmarkStart w:id="849" w:name="_Toc324404879"/>
      <w:r>
        <w:rPr>
          <w:rFonts w:hint="eastAsia" w:ascii="宋体" w:hAnsi="宋体" w:eastAsia="宋体" w:cs="宋体"/>
          <w:color w:val="auto"/>
          <w:highlight w:val="none"/>
        </w:rPr>
        <w:t>8.评审结果</w:t>
      </w:r>
      <w:bookmarkEnd w:id="843"/>
      <w:bookmarkEnd w:id="844"/>
      <w:bookmarkEnd w:id="845"/>
      <w:bookmarkEnd w:id="846"/>
      <w:bookmarkEnd w:id="847"/>
      <w:bookmarkEnd w:id="848"/>
      <w:bookmarkEnd w:id="849"/>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0" w:name="_Toc506107332"/>
      <w:bookmarkStart w:id="851" w:name="_Toc35424961"/>
      <w:bookmarkStart w:id="852" w:name="_Toc1576"/>
      <w:bookmarkStart w:id="853" w:name="_Toc78803396"/>
      <w:bookmarkStart w:id="854" w:name="_Toc35425127"/>
      <w:bookmarkStart w:id="855" w:name="_Toc324404880"/>
      <w:bookmarkStart w:id="856" w:name="_Toc15058926"/>
      <w:r>
        <w:rPr>
          <w:rFonts w:hint="eastAsia" w:ascii="宋体" w:hAnsi="宋体" w:eastAsia="宋体" w:cs="宋体"/>
          <w:color w:val="auto"/>
          <w:highlight w:val="none"/>
        </w:rPr>
        <w:t>9.其他</w:t>
      </w:r>
      <w:bookmarkEnd w:id="850"/>
      <w:bookmarkEnd w:id="851"/>
      <w:bookmarkEnd w:id="852"/>
      <w:bookmarkEnd w:id="853"/>
      <w:bookmarkEnd w:id="854"/>
      <w:bookmarkEnd w:id="855"/>
      <w:bookmarkEnd w:id="856"/>
    </w:p>
    <w:bookmarkEnd w:id="776"/>
    <w:bookmarkEnd w:id="777"/>
    <w:bookmarkEnd w:id="778"/>
    <w:bookmarkEnd w:id="779"/>
    <w:bookmarkEnd w:id="780"/>
    <w:bookmarkEnd w:id="781"/>
    <w:bookmarkEnd w:id="782"/>
    <w:bookmarkEnd w:id="783"/>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7" w:name="_Toc15058927"/>
      <w:bookmarkStart w:id="858" w:name="_Toc35424962"/>
      <w:bookmarkStart w:id="859" w:name="_Toc506107333"/>
      <w:bookmarkStart w:id="860" w:name="_Toc35425128"/>
      <w:bookmarkStart w:id="861" w:name="_Toc179632785"/>
      <w:bookmarkStart w:id="862" w:name="_Toc152045767"/>
      <w:bookmarkStart w:id="863" w:name="_Toc144974826"/>
      <w:bookmarkStart w:id="864"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5" w:name="_Toc78803397"/>
    </w:p>
    <w:bookmarkEnd w:id="857"/>
    <w:bookmarkEnd w:id="858"/>
    <w:bookmarkEnd w:id="859"/>
    <w:bookmarkEnd w:id="860"/>
    <w:bookmarkEnd w:id="865"/>
    <w:p w14:paraId="51F85308">
      <w:pPr>
        <w:pStyle w:val="2"/>
        <w:rPr>
          <w:rFonts w:hint="eastAsia" w:ascii="Arial" w:hAnsi="Arial"/>
          <w:color w:val="auto"/>
          <w:kern w:val="0"/>
          <w:sz w:val="32"/>
          <w:szCs w:val="32"/>
          <w:highlight w:val="none"/>
        </w:rPr>
      </w:pPr>
      <w:bookmarkStart w:id="866" w:name="_Toc16721"/>
    </w:p>
    <w:p w14:paraId="47DAF6BF">
      <w:pPr>
        <w:pStyle w:val="2"/>
        <w:rPr>
          <w:color w:val="auto"/>
          <w:highlight w:val="none"/>
        </w:rPr>
      </w:pPr>
      <w:bookmarkStart w:id="867" w:name="_Toc27074"/>
      <w:bookmarkStart w:id="868"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6"/>
      <w:bookmarkEnd w:id="867"/>
      <w:bookmarkEnd w:id="868"/>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69"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0" w:name="_Toc1470"/>
      <w:bookmarkStart w:id="871" w:name="_Toc32748"/>
      <w:bookmarkStart w:id="872" w:name="_Toc30846"/>
      <w:r>
        <w:rPr>
          <w:rFonts w:hint="eastAsia"/>
          <w:b/>
          <w:color w:val="auto"/>
          <w:sz w:val="32"/>
          <w:szCs w:val="28"/>
          <w:highlight w:val="none"/>
        </w:rPr>
        <w:t>国家工商行政管理总局</w:t>
      </w:r>
      <w:bookmarkEnd w:id="870"/>
      <w:bookmarkEnd w:id="871"/>
      <w:bookmarkEnd w:id="872"/>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69"/>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3" w:name="_Toc95223459"/>
      <w:bookmarkStart w:id="874" w:name="_Toc28799376"/>
      <w:bookmarkStart w:id="875" w:name="_Toc3977"/>
      <w:bookmarkStart w:id="876" w:name="_Toc2308"/>
      <w:bookmarkStart w:id="877" w:name="_Toc29801"/>
      <w:r>
        <w:rPr>
          <w:rFonts w:hint="eastAsia" w:ascii="宋体" w:hAnsi="宋体" w:cs="宋体"/>
          <w:b/>
          <w:bCs/>
          <w:color w:val="auto"/>
          <w:sz w:val="32"/>
          <w:szCs w:val="32"/>
          <w:highlight w:val="none"/>
        </w:rPr>
        <w:t>第一节  合同协议书</w:t>
      </w:r>
      <w:bookmarkEnd w:id="873"/>
      <w:bookmarkEnd w:id="874"/>
      <w:bookmarkEnd w:id="875"/>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安徽磐谷高科有限公司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78"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78"/>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施工方案和工程量清单载明的施工内容及施工过程中的变更内容（如施工方案和工程量清单不一致，由发包人负责解释）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79" w:name="_Toc351203482"/>
      <w:r>
        <w:rPr>
          <w:rFonts w:hint="eastAsia" w:ascii="宋体" w:hAnsi="宋体" w:cs="宋体"/>
          <w:b/>
          <w:color w:val="auto"/>
          <w:szCs w:val="21"/>
          <w:highlight w:val="none"/>
          <w:u w:val="single"/>
        </w:rPr>
        <w:t>二、合同工期</w:t>
      </w:r>
      <w:bookmarkEnd w:id="879"/>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0" w:name="_Toc351203483"/>
      <w:r>
        <w:rPr>
          <w:rFonts w:hint="eastAsia" w:ascii="宋体" w:hAnsi="宋体" w:cs="宋体"/>
          <w:b/>
          <w:color w:val="auto"/>
          <w:szCs w:val="21"/>
          <w:highlight w:val="none"/>
          <w:u w:val="single"/>
        </w:rPr>
        <w:t>三、质量标准</w:t>
      </w:r>
      <w:bookmarkEnd w:id="880"/>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4"/>
      <w:r>
        <w:rPr>
          <w:rFonts w:hint="eastAsia" w:ascii="宋体" w:hAnsi="宋体" w:cs="宋体"/>
          <w:b/>
          <w:color w:val="auto"/>
          <w:szCs w:val="21"/>
          <w:highlight w:val="none"/>
          <w:u w:val="single"/>
        </w:rPr>
        <w:t>四、签约合同价与合同价格形式</w:t>
      </w:r>
      <w:bookmarkEnd w:id="881"/>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2" w:name="_Toc351203485"/>
      <w:r>
        <w:rPr>
          <w:rFonts w:hint="eastAsia" w:ascii="宋体" w:hAnsi="宋体" w:cs="宋体"/>
          <w:b/>
          <w:color w:val="auto"/>
          <w:szCs w:val="21"/>
          <w:highlight w:val="none"/>
        </w:rPr>
        <w:t>五、</w:t>
      </w:r>
      <w:bookmarkEnd w:id="882"/>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3" w:name="_Toc351203486"/>
      <w:r>
        <w:rPr>
          <w:rFonts w:hint="eastAsia" w:ascii="宋体" w:hAnsi="宋体" w:cs="宋体"/>
          <w:b/>
          <w:color w:val="auto"/>
          <w:szCs w:val="21"/>
          <w:highlight w:val="none"/>
        </w:rPr>
        <w:t>六、合同文件构成</w:t>
      </w:r>
      <w:bookmarkEnd w:id="883"/>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38550B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7"/>
      <w:r>
        <w:rPr>
          <w:rFonts w:hint="eastAsia" w:ascii="宋体" w:hAnsi="宋体" w:cs="宋体"/>
          <w:b/>
          <w:color w:val="auto"/>
          <w:szCs w:val="21"/>
          <w:highlight w:val="none"/>
        </w:rPr>
        <w:t>七、承诺</w:t>
      </w:r>
      <w:bookmarkEnd w:id="884"/>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8"/>
      <w:r>
        <w:rPr>
          <w:rFonts w:hint="eastAsia" w:ascii="宋体" w:hAnsi="宋体" w:cs="宋体"/>
          <w:b/>
          <w:color w:val="auto"/>
          <w:szCs w:val="21"/>
          <w:highlight w:val="none"/>
        </w:rPr>
        <w:t>八、词语含义</w:t>
      </w:r>
      <w:bookmarkEnd w:id="885"/>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9"/>
      <w:r>
        <w:rPr>
          <w:rFonts w:hint="eastAsia" w:ascii="宋体" w:hAnsi="宋体" w:cs="宋体"/>
          <w:b/>
          <w:color w:val="auto"/>
          <w:szCs w:val="21"/>
          <w:highlight w:val="none"/>
        </w:rPr>
        <w:t>九、签订时间</w:t>
      </w:r>
      <w:bookmarkEnd w:id="886"/>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90"/>
      <w:r>
        <w:rPr>
          <w:rFonts w:hint="eastAsia" w:ascii="宋体" w:hAnsi="宋体" w:cs="宋体"/>
          <w:b/>
          <w:color w:val="auto"/>
          <w:szCs w:val="21"/>
          <w:highlight w:val="none"/>
        </w:rPr>
        <w:t>十、签订地点</w:t>
      </w:r>
      <w:bookmarkEnd w:id="887"/>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91"/>
      <w:r>
        <w:rPr>
          <w:rFonts w:hint="eastAsia" w:ascii="宋体" w:hAnsi="宋体" w:cs="宋体"/>
          <w:b/>
          <w:color w:val="auto"/>
          <w:szCs w:val="21"/>
          <w:highlight w:val="none"/>
        </w:rPr>
        <w:t>十一、补充协议</w:t>
      </w:r>
      <w:bookmarkEnd w:id="888"/>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2"/>
      <w:r>
        <w:rPr>
          <w:rFonts w:hint="eastAsia" w:ascii="宋体" w:hAnsi="宋体" w:cs="宋体"/>
          <w:b/>
          <w:color w:val="auto"/>
          <w:szCs w:val="21"/>
          <w:highlight w:val="none"/>
        </w:rPr>
        <w:t>十二、合同生效</w:t>
      </w:r>
      <w:bookmarkEnd w:id="889"/>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3"/>
      <w:r>
        <w:rPr>
          <w:rFonts w:hint="eastAsia" w:ascii="宋体" w:hAnsi="宋体" w:cs="宋体"/>
          <w:b/>
          <w:color w:val="auto"/>
          <w:szCs w:val="21"/>
          <w:highlight w:val="none"/>
        </w:rPr>
        <w:t>十三、合同份数</w:t>
      </w:r>
      <w:bookmarkEnd w:id="890"/>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6"/>
      <w:bookmarkEnd w:id="877"/>
      <w:bookmarkStart w:id="891" w:name="_Toc95223460"/>
      <w:bookmarkStart w:id="892" w:name="_Toc15494"/>
      <w:bookmarkStart w:id="893"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1"/>
      <w:bookmarkEnd w:id="892"/>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4"/>
        <w:jc w:val="center"/>
        <w:rPr>
          <w:rFonts w:hint="eastAsia" w:ascii="黑体" w:eastAsia="黑体" w:cs="黑体"/>
          <w:color w:val="auto"/>
          <w:highlight w:val="none"/>
        </w:rPr>
      </w:pPr>
      <w:bookmarkStart w:id="894" w:name="_Toc14492"/>
      <w:r>
        <w:rPr>
          <w:rFonts w:hint="eastAsia" w:ascii="黑体" w:eastAsia="黑体" w:cs="黑体"/>
          <w:color w:val="auto"/>
          <w:highlight w:val="none"/>
        </w:rPr>
        <w:t>第三节 专用合同条款</w:t>
      </w:r>
    </w:p>
    <w:p w14:paraId="3096D989">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现场确定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按监理要求执行，包括但不限于项目部人员证书（在领取中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按监理要求执行</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按监理要求执行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按监理要求执行</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安徽磐谷高科有限公司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安徽磐谷高科有限公司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工程量按实计量，结算工程量减少0-100%或增加15%以内部分，执行中标单价；超出15％以外部分的，若中标综合单价高于（最高投标限价中综合单价×投标让利幅度）时，按（最高投标限价中综合单价×投标让利幅度）计算，若中标综合单价低于（最高投标限价中综合单价×投标让利幅度）时，执行中标单价；组价明显错误或人材机含量及单价明显异常的（明显异常指被选取人单价超出最高投标限价中相应单价20%及以上的）应予纠正。新增项目单价按照最高投标限价的编制原则重新组价×投标让利幅度，重新组价价格最终以相关部门审核价为准。注：投标让利幅度为中标价/最高投标限价，其中中标价和最高投标限价均扣除暂列金额、暂估价</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因承包人改变施工技术措施，造成的价格变动，措施费不予调整。因发包人要求或工程量清单错误必须改变原来施工技术措施，造成价格变动的，按实调整，变更组价原则同上。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1）施工用水、电力、通讯线路等施工所必需的条件发包人可提供现场接驳口；（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承包单位须服从现场总承包单位的管理，严禁野蛮施工、冒险作业；⑥月工程量进度及时完成；⑦按规定提供工程资料并及时归档的；⑧承包人选用的设备机械，须满足国家级行业标准安全质量要求；⑨承包人为现场安全第一责任主体，现场须配备安全员，遵守先防护后施工原则；</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5A5D2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279956D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1CE3865E">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B4483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14:paraId="1A0A366A">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274E14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D764C5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6.1.6 关于安全文明施工费支付比例和支付期限的约定：</w:t>
      </w:r>
      <w:r>
        <w:rPr>
          <w:rFonts w:hint="eastAsia" w:ascii="宋体" w:cs="宋体"/>
          <w:color w:val="auto"/>
          <w:szCs w:val="21"/>
          <w:highlight w:val="none"/>
          <w:u w:val="single"/>
        </w:rPr>
        <w:t xml:space="preserve">  与工程款同期同比例支付。施工单位须按滁州市相关规定及监理单位、建设单位、安监站要求做好现场安全文明措施。</w:t>
      </w:r>
    </w:p>
    <w:p w14:paraId="5CCF693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6.1.7发生安全事故，承包人应按照有关规定立即上报有关部门并通知工程师，同时按照政府有关要求处理，由事故责任方承担发生的费用。发包人根据事故的分类对承包人进行处以违约：（1）特别重大事故，发包人对承包人处以50万元  的人民币违约金；（2）重大事故，发包人对承包人处以 30万元  的人民币违约金；（3）较大事故，发包人对承包人处以 20万元  的人民币违约金；（4）一般事故，发包人对承包人处以 10万元的人民币违约金；并承担因施工安全事故给本工程建设单位、项目管理单位和监理人带来的经济损失。</w:t>
      </w:r>
    </w:p>
    <w:p w14:paraId="4119149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6.1.8发生质量事故，承包人应按照有关规定立即上报有关部门并通知工程师，同时按照政府有关要求处理，由事故责任方承担发生的费用。发包人根据事故的分类对承包人进行处以违约：（1）特别重大质量事故，发包人对承包人处以 50万元 的人民币违约金；（2）重大质量事故，发包人对承包人处以 30万元 的人民币违约金；（3）严重质量事故，发包人对承包人处以 20万元 的人民币违约金；（4）一般质量事故，发包人对承包人处以 10万元 的人民币违约金；并承担因施工质量事故给本工程建设单位、项目管理单位和监理人带来的经济损失。</w:t>
      </w:r>
    </w:p>
    <w:p w14:paraId="4EA43A65">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 xml:space="preserve">  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开工前提供水准点与坐标控制点，按施工图由发包人、承包人、监理现场交验，交验后，承包人应妥善保护场内水准点与控制点，任意破坏或遗失应由承包人负责恢复的费用。</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由于发包人的原因和非承包人的责任停工的，工期顺延 。</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罚款5000元；月工程量未完成的当期不得请款，当月未完成的工程量纳入下月一并完成，完不成的仍不予请款，依此类推。连续两个月工程量未完成的立即限制承包人一年内不得参与发包人项目投标。</w:t>
      </w:r>
    </w:p>
    <w:p w14:paraId="601700C4">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12D8D346">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1EA21FC2">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承包人应了解当地地质、水文等情况并对照地勘报告了解当地情况，现场进行踏勘，</w:t>
      </w:r>
      <w:r>
        <w:rPr>
          <w:rFonts w:hint="eastAsia" w:ascii="宋体" w:cs="宋体"/>
          <w:color w:val="auto"/>
          <w:szCs w:val="21"/>
          <w:highlight w:val="none"/>
          <w:u w:val="single"/>
          <w:lang w:val="en-US" w:eastAsia="zh-CN"/>
        </w:rPr>
        <w:t>中标</w:t>
      </w:r>
      <w:r>
        <w:rPr>
          <w:rFonts w:hint="eastAsia" w:ascii="宋体" w:cs="宋体"/>
          <w:color w:val="auto"/>
          <w:szCs w:val="21"/>
          <w:highlight w:val="none"/>
          <w:u w:val="single"/>
        </w:rPr>
        <w:t>后不得以不利物质条件为由提出索赔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0C57EA4">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15DE2A1">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且该分部分项清单总价超过该单位工程总价2%的,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w:t>
      </w:r>
      <w:r>
        <w:rPr>
          <w:rFonts w:hint="eastAsia" w:hAnsi="宋体" w:cs="宋体"/>
          <w:b/>
          <w:bCs/>
          <w:color w:val="auto"/>
          <w:szCs w:val="21"/>
          <w:highlight w:val="none"/>
          <w:u w:val="single"/>
          <w:lang w:val="en-US" w:eastAsia="zh-CN"/>
        </w:rPr>
        <w:t>中标</w:t>
      </w:r>
      <w:r>
        <w:rPr>
          <w:rFonts w:hint="eastAsia" w:ascii="宋体" w:hAnsi="宋体" w:cs="宋体"/>
          <w:b/>
          <w:bCs/>
          <w:color w:val="auto"/>
          <w:szCs w:val="21"/>
          <w:highlight w:val="none"/>
          <w:u w:val="single"/>
        </w:rPr>
        <w:t>价/最高投标限价，其中</w:t>
      </w:r>
      <w:r>
        <w:rPr>
          <w:rFonts w:hint="eastAsia" w:ascii="宋体" w:hAnsi="宋体" w:cs="宋体"/>
          <w:b/>
          <w:bCs/>
          <w:color w:val="auto"/>
          <w:szCs w:val="21"/>
          <w:highlight w:val="none"/>
          <w:u w:val="single"/>
          <w:lang w:val="en-US" w:eastAsia="zh-CN"/>
        </w:rPr>
        <w:t>中标</w:t>
      </w:r>
      <w:r>
        <w:rPr>
          <w:rFonts w:hint="eastAsia" w:ascii="宋体" w:hAnsi="宋体" w:cs="宋体"/>
          <w:b/>
          <w:bCs/>
          <w:color w:val="auto"/>
          <w:szCs w:val="21"/>
          <w:highlight w:val="none"/>
          <w:u w:val="single"/>
        </w:rPr>
        <w:t>价和最高投标限价均扣除暂列金额、暂估价及相应税金），结算价格最终以相关部门审核价为准；</w:t>
      </w:r>
    </w:p>
    <w:p w14:paraId="539923C4">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因承包人改变施工技术措施，造成的价格变动，措施费不予调整。因工程变更必须改变原来施工技术措施，造成价格变动的，按实调整，变更组价原则同上。</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729F17F0">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当月完成进度计划的合格分部分项工程按85%付进度款，工程竣工验收合格并结算完成审计且经审核或复核后付至结算总造价的98%，剩余2%作为工程质量保证金，工程缺陷责任期（缺陷责任期</w:t>
      </w:r>
      <w:r>
        <w:rPr>
          <w:rFonts w:hint="eastAsia" w:ascii="宋体" w:cs="宋体"/>
          <w:color w:val="auto"/>
          <w:szCs w:val="21"/>
          <w:highlight w:val="none"/>
          <w:u w:val="single"/>
          <w:lang w:val="en-US" w:eastAsia="zh-CN"/>
        </w:rPr>
        <w:t>两</w:t>
      </w:r>
      <w:r>
        <w:rPr>
          <w:rFonts w:hint="eastAsia" w:ascii="宋体" w:cs="宋体"/>
          <w:color w:val="auto"/>
          <w:szCs w:val="21"/>
          <w:highlight w:val="none"/>
          <w:u w:val="single"/>
        </w:rPr>
        <w:t>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89C9138">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67CE96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color w:val="auto"/>
          <w:szCs w:val="21"/>
          <w:highlight w:val="none"/>
        </w:rPr>
        <w:t>2.4.7 农民工工资管理</w:t>
      </w:r>
      <w:r>
        <w:rPr>
          <w:rFonts w:hint="eastAsia" w:ascii="宋体" w:hAnsi="宋体" w:cs="宋体"/>
          <w:b/>
          <w:color w:val="auto"/>
          <w:highlight w:val="none"/>
        </w:rPr>
        <w:t>（农民工工资保证金支持保函使用）</w:t>
      </w:r>
    </w:p>
    <w:p w14:paraId="43F542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40F061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097A0D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8DFED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0382BA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4A3B8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auto"/>
          <w:highlight w:val="none"/>
          <w:lang w:eastAsia="zh-CN"/>
        </w:rPr>
        <w:t>。</w:t>
      </w:r>
    </w:p>
    <w:p w14:paraId="34A23DCC">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lang w:val="en-US" w:eastAsia="zh-CN"/>
        </w:rPr>
        <w:t xml:space="preserve"> 整体工程完工后组织竣工验收，验收合格之日作为竣工日期</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14:paraId="32DAD0B0">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24</w:t>
      </w:r>
      <w:r>
        <w:rPr>
          <w:rFonts w:hint="eastAsia" w:ascii="黑体" w:hAnsi="黑体" w:eastAsia="黑体" w:cs="黑体"/>
          <w:b/>
          <w:bCs/>
          <w:color w:val="auto"/>
          <w:szCs w:val="21"/>
          <w:highlight w:val="none"/>
          <w:u w:val="single"/>
        </w:rPr>
        <w:t>个月（详见付款方式）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执行补充条款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执行补充条款</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14FD3927">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承包人自行考虑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E4ECB22">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1"/>
    <w:bookmarkEnd w:id="862"/>
    <w:bookmarkEnd w:id="863"/>
    <w:bookmarkEnd w:id="864"/>
    <w:bookmarkEnd w:id="893"/>
    <w:bookmarkEnd w:id="894"/>
    <w:p w14:paraId="1D997B59">
      <w:pPr>
        <w:autoSpaceDE w:val="0"/>
        <w:autoSpaceDN w:val="0"/>
        <w:adjustRightInd w:val="0"/>
        <w:snapToGrid w:val="0"/>
        <w:spacing w:line="420" w:lineRule="exact"/>
        <w:ind w:firstLine="420" w:firstLineChars="200"/>
        <w:jc w:val="left"/>
        <w:rPr>
          <w:rFonts w:hint="eastAsia" w:ascii="宋体" w:hAnsi="宋体" w:eastAsia="宋体" w:cs="宋体"/>
          <w:color w:val="auto"/>
          <w:kern w:val="2"/>
          <w:sz w:val="21"/>
          <w:szCs w:val="21"/>
          <w:highlight w:val="none"/>
        </w:rPr>
      </w:pPr>
      <w:bookmarkStart w:id="895" w:name="_Toc95223487"/>
      <w:bookmarkStart w:id="896" w:name="_Toc35425136"/>
      <w:bookmarkStart w:id="897" w:name="_Toc247085872"/>
      <w:bookmarkStart w:id="898" w:name="_Toc506107340"/>
      <w:bookmarkStart w:id="899" w:name="_Toc78803398"/>
      <w:bookmarkStart w:id="900" w:name="_Toc15058934"/>
      <w:bookmarkStart w:id="901" w:name="_Toc179632806"/>
      <w:bookmarkStart w:id="902" w:name="_Toc246996354"/>
      <w:bookmarkStart w:id="903" w:name="_Toc324404888"/>
      <w:bookmarkStart w:id="904" w:name="_Toc152045786"/>
      <w:bookmarkStart w:id="905" w:name="_Toc246997097"/>
      <w:bookmarkStart w:id="906" w:name="_Toc152042575"/>
      <w:bookmarkStart w:id="907" w:name="_Toc144974855"/>
      <w:bookmarkStart w:id="908" w:name="_Toc35424970"/>
      <w:r>
        <w:rPr>
          <w:rFonts w:hint="eastAsia" w:ascii="宋体" w:hAnsi="宋体" w:eastAsia="宋体" w:cs="宋体"/>
          <w:color w:val="auto"/>
          <w:kern w:val="2"/>
          <w:sz w:val="21"/>
          <w:szCs w:val="21"/>
          <w:highlight w:val="none"/>
          <w:lang w:val="en-US" w:eastAsia="zh-CN" w:bidi="ar"/>
        </w:rPr>
        <w:t xml:space="preserve">21. 补充条款 </w:t>
      </w:r>
    </w:p>
    <w:p w14:paraId="2B80788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本补充条款是专用条款的一部分，其解释顺序优先于专用条款内的其他条款。</w:t>
      </w:r>
    </w:p>
    <w:p w14:paraId="6B7C8E88">
      <w:pPr>
        <w:keepNext/>
        <w:keepLines/>
        <w:widowControl w:val="0"/>
        <w:suppressLineNumbers w:val="0"/>
        <w:adjustRightInd w:val="0"/>
        <w:snapToGrid w:val="0"/>
        <w:spacing w:before="0" w:beforeAutospacing="0" w:after="0" w:afterAutospacing="0" w:line="500" w:lineRule="exact"/>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21.1 人员及职责</w:t>
      </w:r>
    </w:p>
    <w:p w14:paraId="602FC77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21.1.1 发包人委派的发包人代表或监理工程师（以下简称“工程师”）无权更改合同，也无权解除发包人和承包人的义务和责任。</w:t>
      </w:r>
    </w:p>
    <w:p w14:paraId="0051F6C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21.1.2 发包人代表的任何批准、检查、证书、同意、通知、建议、检验、指令和要求等不解除承包人在合同中的责任。</w:t>
      </w:r>
    </w:p>
    <w:p w14:paraId="4D7268B0">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21.1.3 承包人只能从发包人代表或其授权代表处接受指令。</w:t>
      </w:r>
    </w:p>
    <w:p w14:paraId="42369AE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21.1.4 发包人如需更换发包人代表须提前7天通知承包人。</w:t>
      </w:r>
    </w:p>
    <w:p w14:paraId="47250742">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21.1.5 被选取人委任的项目经理、项目技术负责人、各专业负责人（其他主要管理人员和技术人员）及施工机械等在整个项目施工期内必须在位。</w:t>
      </w:r>
    </w:p>
    <w:p w14:paraId="5B7EDE2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承包人的项目经理离开现场的，须经发包人代表同意，并书面指定临时代表，代为行使项目经理的权力；该临时代表的一切行为，甲方均认为是项目经理的行为。</w:t>
      </w:r>
    </w:p>
    <w:p w14:paraId="1931B2B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21.1.6 承包人提交发包人的任何文件，发包人都认为该文件已经承包人内部程序批准；承包人提交的文件发生修改的，应及时将最新版本提交发包人代表。</w:t>
      </w:r>
    </w:p>
    <w:p w14:paraId="3875342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21.1.7 承包人应始终采取一切合理防范措施来避免在项目人员内部发生违法、动乱或妨碍治安的行为，保持项目的安定；并保护好现场和周围的人员和财产安全。</w:t>
      </w:r>
    </w:p>
    <w:p w14:paraId="2E11C33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21.1.8 承包人雇佣职员或工人应遵守相关法律法规的规定。</w:t>
      </w:r>
    </w:p>
    <w:p w14:paraId="28A4ACF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21.1.9 参与本项目的承包人代表或其雇员不遵守合同规定或一贯行为不轨或或不能胜任工作或危害安全，发包人代表有权要求更换；原人选未经发包人许可不得再进入本项目（包括项目经理在内）。</w:t>
      </w:r>
    </w:p>
    <w:p w14:paraId="73AB5F3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21.1.10 承包人更换项目经理的，须提前14天通知发包人，并征得发包人同意；该行为视为违约，承包人须支付发包人</w:t>
      </w:r>
      <w:r>
        <w:rPr>
          <w:rFonts w:hint="eastAsia" w:ascii="宋体" w:hAnsi="宋体" w:eastAsia="宋体" w:cs="宋体"/>
          <w:color w:val="auto"/>
          <w:kern w:val="2"/>
          <w:sz w:val="21"/>
          <w:szCs w:val="21"/>
          <w:highlight w:val="none"/>
          <w:u w:val="single"/>
          <w:lang w:val="en-US" w:eastAsia="zh-CN" w:bidi="ar"/>
        </w:rPr>
        <w:t xml:space="preserve"> 20 </w:t>
      </w:r>
      <w:r>
        <w:rPr>
          <w:rFonts w:hint="eastAsia" w:ascii="宋体" w:hAnsi="宋体" w:eastAsia="宋体" w:cs="宋体"/>
          <w:color w:val="auto"/>
          <w:kern w:val="2"/>
          <w:sz w:val="21"/>
          <w:szCs w:val="21"/>
          <w:highlight w:val="none"/>
          <w:lang w:val="en-US" w:eastAsia="zh-CN" w:bidi="ar"/>
        </w:rPr>
        <w:t>万元违约金。更换后的项目经理资历、水平不得降低。</w:t>
      </w:r>
    </w:p>
    <w:p w14:paraId="343F88B3">
      <w:pPr>
        <w:keepNext/>
        <w:keepLines/>
        <w:widowControl w:val="0"/>
        <w:suppressLineNumbers w:val="0"/>
        <w:adjustRightInd w:val="0"/>
        <w:snapToGrid w:val="0"/>
        <w:spacing w:before="0" w:beforeAutospacing="0" w:after="0" w:afterAutospacing="0" w:line="500" w:lineRule="exact"/>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21.2 变更与调整</w:t>
      </w:r>
    </w:p>
    <w:p w14:paraId="7C090C35">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21.2.1 在工程移交前，发包人代表有权签发变更指令，承包人应按照指令来实施变更，并进行工期和费用的估算，提交发包人代表。</w:t>
      </w:r>
    </w:p>
    <w:p w14:paraId="036EF23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21.2.2 发包人代表收到承包人的估算后，可以决定撤销、修改或确认实施该项变更。</w:t>
      </w:r>
    </w:p>
    <w:p w14:paraId="5AF885A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21.2.3 如果承包人认为自己的建议能缩短工期、降低工程实施或运营成本，或对业主产生其他利益，可以向发包人代表提交建议书；建议书的编制费用自理。</w:t>
      </w:r>
    </w:p>
    <w:p w14:paraId="4BD8E97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21.2.4 如果发包人采纳承包人的建议节省了工程费用，将给予承包人节约费用适当比例的奖励。</w:t>
      </w:r>
    </w:p>
    <w:p w14:paraId="4A51B7E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21.2.5 上一款中节省费用的计算方法为：降低的合同额度减去因变更而引起在工程质量、寿命、以及运营效率等方面为发包人带来的潜在损失。</w:t>
      </w:r>
    </w:p>
    <w:p w14:paraId="270F8E7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21.2.6 任何变更指令都应由发包人代表签发给承包人，承包人收到后应回函说明；涉及到费用调整的，按照相关条款执行。</w:t>
      </w:r>
    </w:p>
    <w:p w14:paraId="4E9C719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E60D0B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21.2.8 未经发包人代表批准，承包人不得对工程进行任何变更。</w:t>
      </w:r>
    </w:p>
    <w:p w14:paraId="633EFDFE">
      <w:pPr>
        <w:keepNext/>
        <w:keepLines/>
        <w:widowControl w:val="0"/>
        <w:suppressLineNumbers w:val="0"/>
        <w:adjustRightInd w:val="0"/>
        <w:snapToGrid w:val="0"/>
        <w:spacing w:before="0" w:beforeAutospacing="0" w:after="0" w:afterAutospacing="0" w:line="500" w:lineRule="exact"/>
        <w:ind w:left="0" w:right="0" w:firstLine="420" w:firstLineChars="200"/>
        <w:jc w:val="both"/>
        <w:outlineLvl w:val="3"/>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21.3 分包与配合</w:t>
      </w:r>
    </w:p>
    <w:p w14:paraId="1F4C636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21.3.1 承包人进行工程分包的，应遵守通用条款相关规定，发包人视其为承包人自行施工的工程；发包人代表对分包的同意或批准并不解除承包人的任何责任，也不代表发包人对此承担任何责任。</w:t>
      </w:r>
    </w:p>
    <w:p w14:paraId="173AC97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21.3.2 发包人分包的专业工程范围如下： </w:t>
      </w:r>
    </w:p>
    <w:p w14:paraId="1529A74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BE4CFF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BEE919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21.3.3 发包人通过招标方式选择专业工程分包施工单位，承包人参与分包工程的招标，认可招标结果，并作为总包单位与分包工程的中选人（以下简称“分包人”）签订工程分包施工合同。</w:t>
      </w:r>
    </w:p>
    <w:p w14:paraId="4BB7446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21.3.4 发包人支付给承包人专业分包工程合同价款（不含设备价格）的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%作为总承包服务配合费用，承包人不得向分包人收取其他费用；该项费用包括但不限于以下内容：</w:t>
      </w:r>
    </w:p>
    <w:p w14:paraId="636FA616">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（1）乙方承担总包责任所发生的费用。</w:t>
      </w:r>
    </w:p>
    <w:p w14:paraId="1160373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（2）“分包工程”施工完毕、土建工程的收尾和修复以及使用承包人的施工所用水电管线等费用（水电费用装表计量，按照实际用量结算）。</w:t>
      </w:r>
    </w:p>
    <w:p w14:paraId="0B707CAC">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（3）分包人使用承包人现场临时工程及在用的脚手架、塔吊、施工电梯等费用。</w:t>
      </w:r>
    </w:p>
    <w:p w14:paraId="5A07F8AD">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（4）分包人使用工程的施工道路，到总包单位搭伙，使用总包单位的卫生间等。</w:t>
      </w:r>
    </w:p>
    <w:p w14:paraId="4048840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（5）门窗洞口、安装工程管道口、楼地面墙面凿洞、槽等的后塞及修补等，以及整个工程的安全保卫等。</w:t>
      </w:r>
    </w:p>
    <w:p w14:paraId="0DD26F2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（6）为分包人提供标高、轴线、定位，隐蔽工程指引等。</w:t>
      </w:r>
    </w:p>
    <w:p w14:paraId="11DBE58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（7）分包人的工程资料收集整理和移交；工程质量的检验和验收。</w:t>
      </w:r>
    </w:p>
    <w:p w14:paraId="3BCDB09E">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（8）保证分包工程在施工期间有足够的工作面，保证其按时开工和连续施工，并承担因乙方原因使分包工程不能按时开工和配合不及时造成的工期延误责任。</w:t>
      </w:r>
    </w:p>
    <w:p w14:paraId="70F56EC4">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21.3.5 配合工程：是指某一位于施工现场内或现场外的工程，并非由承包人施工或总包，但与承包人的工程有一定联系，需要承包人配合的工程；配合工程如下：</w:t>
      </w:r>
    </w:p>
    <w:p w14:paraId="4B9FCCC3">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p>
    <w:p w14:paraId="4C39BB19">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p>
    <w:p w14:paraId="45C67421">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21.3.6 对于配合工程，承包人除不需要承办总包责任外，其他责任和义务同分包工程；发包人给予承包人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万元作为承包人承担配合工作的配合费用。</w:t>
      </w:r>
    </w:p>
    <w:p w14:paraId="4E4E169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21.3.7 凡在与已交工工程有关联的部位施工时，必须提前向甲方提出书面联系单，经甲方同意，并签字后方可施工。</w:t>
      </w:r>
    </w:p>
    <w:p w14:paraId="76313377">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 结算</w:t>
      </w:r>
    </w:p>
    <w:p w14:paraId="248048B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21.4.1 承包人的报价（合同价款）是承包人基于业主提供的资料和现场数据及承包人的解释和现场考察计算出来的，覆盖了完成合同义务所包括的一切工作，不得以漏项或考虑不周提出索赔。</w:t>
      </w:r>
    </w:p>
    <w:p w14:paraId="3DF31ADF">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21.4.2 水电费的结算：</w:t>
      </w:r>
    </w:p>
    <w:p w14:paraId="77FFB3DA">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（1）承包人在现场自行安装计量装置，承包人负责施工期间的保护，并在工程移交的同时完好地移交给发包人。</w:t>
      </w:r>
    </w:p>
    <w:p w14:paraId="1A30848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（2）承包人报价已经包含水电费用，工程结算时按照发包人实际缴纳的水电费在结算价（税前）中扣除。</w:t>
      </w:r>
    </w:p>
    <w:p w14:paraId="725A85B8">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（3）因承包人保护不善造成计量装置损坏，承包人负责修复，并承担由此造成的增加费用（包括修复费用和水电损失费用以及可能发生的罚款或其他费用）。</w:t>
      </w:r>
    </w:p>
    <w:p w14:paraId="0931981B">
      <w:pPr>
        <w:keepNext w:val="0"/>
        <w:keepLines w:val="0"/>
        <w:widowControl w:val="0"/>
        <w:suppressLineNumbers w:val="0"/>
        <w:adjustRightInd w:val="0"/>
        <w:snapToGrid w:val="0"/>
        <w:spacing w:before="0" w:beforeAutospacing="0" w:after="0" w:afterAutospacing="0" w:line="500" w:lineRule="exact"/>
        <w:ind w:left="0" w:right="0" w:firstLine="420" w:firstLineChars="200"/>
        <w:jc w:val="both"/>
        <w:rPr>
          <w:rFonts w:hint="eastAsia" w:ascii="宋体" w:hAnsi="宋体" w:eastAsia="宋体" w:cs="宋体"/>
          <w:color w:val="auto"/>
          <w:kern w:val="0"/>
          <w:sz w:val="21"/>
          <w:szCs w:val="21"/>
          <w:highlight w:val="none"/>
          <w:u w:val="single" w:color="FFFFFF"/>
        </w:rPr>
      </w:pPr>
      <w:r>
        <w:rPr>
          <w:rFonts w:hint="eastAsia" w:ascii="宋体" w:hAnsi="宋体" w:eastAsia="宋体" w:cs="宋体"/>
          <w:color w:val="auto"/>
          <w:kern w:val="0"/>
          <w:sz w:val="21"/>
          <w:szCs w:val="21"/>
          <w:highlight w:val="none"/>
          <w:u w:val="single" w:color="FFFFFF"/>
          <w:lang w:val="en-US" w:eastAsia="zh-CN" w:bidi="ar"/>
        </w:rPr>
        <w:t>21.4.3 发包人供应材料设备的结算：材料按照总价的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%计取保管费（材料数量最多不超过设计文件的用量（可以计算定额损耗））；设备按照总价的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color="FFFFFF"/>
          <w:lang w:val="en-US" w:eastAsia="zh-CN" w:bidi="ar"/>
        </w:rPr>
        <w:t xml:space="preserve"> %计取保管费；此费用仅计取税金。</w:t>
      </w:r>
    </w:p>
    <w:p w14:paraId="40C5336C">
      <w:pPr>
        <w:keepNext w:val="0"/>
        <w:keepLines w:val="0"/>
        <w:widowControl w:val="0"/>
        <w:suppressLineNumbers w:val="0"/>
        <w:adjustRightInd w:val="0"/>
        <w:snapToGrid w:val="0"/>
        <w:spacing w:before="0" w:beforeAutospacing="0" w:after="0" w:afterAutospacing="0" w:line="500" w:lineRule="exact"/>
        <w:ind w:left="0" w:right="0" w:firstLine="422" w:firstLineChars="20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21.4.4 分包工程的总承包配合费和配合工程的配合费：分包工程的总承包配合费不予记取；配合工程的配合费也不予记取。</w:t>
      </w:r>
    </w:p>
    <w:p w14:paraId="2BEAF172">
      <w:pPr>
        <w:keepNext w:val="0"/>
        <w:keepLines w:val="0"/>
        <w:widowControl w:val="0"/>
        <w:suppressLineNumbers w:val="0"/>
        <w:adjustRightInd w:val="0"/>
        <w:snapToGrid w:val="0"/>
        <w:spacing w:before="0" w:beforeAutospacing="0" w:after="0" w:afterAutospacing="0" w:line="500" w:lineRule="exact"/>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21.4.5对于发包人提供的工程量清单中的单项子目，承包人没有报价的，发包人认为视同该项价格已经包括在其他项目中。</w:t>
      </w:r>
    </w:p>
    <w:p w14:paraId="30F49098">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1AA56CB">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  (公章)                           承包人：  (公章)</w:t>
      </w:r>
    </w:p>
    <w:p w14:paraId="6F28D5B9">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法定代表人或其委托代理人：                 法定代表人或其委托代理人：</w:t>
      </w:r>
    </w:p>
    <w:p w14:paraId="1EB883DB">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（签字）                                  （签字）</w:t>
      </w:r>
    </w:p>
    <w:p w14:paraId="54E7EB9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组织机构代码：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组织机构代码：</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w:t>
      </w:r>
    </w:p>
    <w:p w14:paraId="65C2750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  址：</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地  址：</w:t>
      </w:r>
      <w:r>
        <w:rPr>
          <w:rFonts w:hint="eastAsia" w:ascii="宋体" w:hAnsi="宋体" w:eastAsia="宋体" w:cs="宋体"/>
          <w:color w:val="auto"/>
          <w:kern w:val="2"/>
          <w:sz w:val="21"/>
          <w:szCs w:val="21"/>
          <w:highlight w:val="none"/>
          <w:u w:val="single"/>
          <w:lang w:val="en-US" w:eastAsia="zh-CN" w:bidi="ar"/>
        </w:rPr>
        <w:t xml:space="preserve">                  </w:t>
      </w:r>
    </w:p>
    <w:p w14:paraId="0446FD41">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邮政编码：</w:t>
      </w:r>
      <w:r>
        <w:rPr>
          <w:rFonts w:hint="eastAsia" w:ascii="宋体" w:hAnsi="宋体" w:eastAsia="宋体" w:cs="宋体"/>
          <w:color w:val="auto"/>
          <w:kern w:val="2"/>
          <w:sz w:val="21"/>
          <w:szCs w:val="21"/>
          <w:highlight w:val="none"/>
          <w:u w:val="single"/>
          <w:lang w:val="en-US" w:eastAsia="zh-CN" w:bidi="ar"/>
        </w:rPr>
        <w:t xml:space="preserve">                   </w:t>
      </w:r>
    </w:p>
    <w:p w14:paraId="19E67902">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法定代表人：</w:t>
      </w:r>
      <w:r>
        <w:rPr>
          <w:rFonts w:hint="eastAsia" w:ascii="宋体" w:hAnsi="宋体" w:eastAsia="宋体" w:cs="宋体"/>
          <w:color w:val="auto"/>
          <w:kern w:val="2"/>
          <w:sz w:val="21"/>
          <w:szCs w:val="21"/>
          <w:highlight w:val="none"/>
          <w:u w:val="single"/>
          <w:lang w:val="en-US" w:eastAsia="zh-CN" w:bidi="ar"/>
        </w:rPr>
        <w:t xml:space="preserve">             </w:t>
      </w:r>
    </w:p>
    <w:p w14:paraId="1A8E4FE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委托代理人：</w:t>
      </w:r>
      <w:r>
        <w:rPr>
          <w:rFonts w:hint="eastAsia" w:ascii="宋体" w:hAnsi="宋体" w:eastAsia="宋体" w:cs="宋体"/>
          <w:color w:val="auto"/>
          <w:kern w:val="2"/>
          <w:sz w:val="21"/>
          <w:szCs w:val="21"/>
          <w:highlight w:val="none"/>
          <w:u w:val="single"/>
          <w:lang w:val="en-US" w:eastAsia="zh-CN" w:bidi="ar"/>
        </w:rPr>
        <w:t xml:space="preserve">                 </w:t>
      </w:r>
    </w:p>
    <w:p w14:paraId="1034C8E3">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  话：</w:t>
      </w:r>
      <w:r>
        <w:rPr>
          <w:rFonts w:hint="eastAsia" w:ascii="宋体" w:hAnsi="宋体" w:eastAsia="宋体" w:cs="宋体"/>
          <w:color w:val="auto"/>
          <w:kern w:val="2"/>
          <w:sz w:val="21"/>
          <w:szCs w:val="21"/>
          <w:highlight w:val="none"/>
          <w:u w:val="single"/>
          <w:lang w:val="en-US" w:eastAsia="zh-CN" w:bidi="ar"/>
        </w:rPr>
        <w:t xml:space="preserve">                     </w:t>
      </w:r>
    </w:p>
    <w:p w14:paraId="0394499C">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  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传  真：</w:t>
      </w:r>
      <w:r>
        <w:rPr>
          <w:rFonts w:hint="eastAsia" w:ascii="宋体" w:hAnsi="宋体" w:eastAsia="宋体" w:cs="宋体"/>
          <w:color w:val="auto"/>
          <w:kern w:val="2"/>
          <w:sz w:val="21"/>
          <w:szCs w:val="21"/>
          <w:highlight w:val="none"/>
          <w:u w:val="single"/>
          <w:lang w:val="en-US" w:eastAsia="zh-CN" w:bidi="ar"/>
        </w:rPr>
        <w:t xml:space="preserve">                   </w:t>
      </w:r>
    </w:p>
    <w:p w14:paraId="0D5FE86D">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电子信箱：</w:t>
      </w:r>
      <w:r>
        <w:rPr>
          <w:rFonts w:hint="eastAsia" w:ascii="宋体" w:hAnsi="宋体" w:eastAsia="宋体" w:cs="宋体"/>
          <w:color w:val="auto"/>
          <w:kern w:val="2"/>
          <w:sz w:val="21"/>
          <w:szCs w:val="21"/>
          <w:highlight w:val="none"/>
          <w:u w:val="single"/>
          <w:lang w:val="en-US" w:eastAsia="zh-CN" w:bidi="ar"/>
        </w:rPr>
        <w:t xml:space="preserve">                   </w:t>
      </w:r>
    </w:p>
    <w:p w14:paraId="03EBC5B8">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开户银行：</w:t>
      </w:r>
      <w:r>
        <w:rPr>
          <w:rFonts w:hint="eastAsia" w:ascii="宋体" w:hAnsi="宋体" w:eastAsia="宋体" w:cs="宋体"/>
          <w:color w:val="auto"/>
          <w:kern w:val="2"/>
          <w:sz w:val="21"/>
          <w:szCs w:val="21"/>
          <w:highlight w:val="none"/>
          <w:u w:val="single"/>
          <w:lang w:val="en-US" w:eastAsia="zh-CN" w:bidi="ar"/>
        </w:rPr>
        <w:t xml:space="preserve">                   </w:t>
      </w:r>
    </w:p>
    <w:p w14:paraId="2E2DBC60">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账  号：</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 xml:space="preserve">                账  号：</w:t>
      </w:r>
      <w:r>
        <w:rPr>
          <w:rFonts w:hint="eastAsia" w:ascii="宋体" w:hAnsi="宋体" w:eastAsia="宋体" w:cs="宋体"/>
          <w:color w:val="auto"/>
          <w:kern w:val="2"/>
          <w:sz w:val="21"/>
          <w:szCs w:val="21"/>
          <w:highlight w:val="none"/>
          <w:u w:val="single"/>
          <w:lang w:val="en-US" w:eastAsia="zh-CN" w:bidi="ar"/>
        </w:rPr>
        <w:t xml:space="preserve">                     </w:t>
      </w:r>
    </w:p>
    <w:p w14:paraId="12A797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1F17E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4A4C3D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63C48556">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9" w:name="_Toc296944564"/>
      <w:bookmarkStart w:id="910" w:name="_Toc296891265"/>
      <w:bookmarkStart w:id="911" w:name="_Toc296347224"/>
      <w:bookmarkStart w:id="912" w:name="_Toc296891053"/>
      <w:bookmarkStart w:id="913" w:name="_Toc296346726"/>
      <w:bookmarkStart w:id="914" w:name="_Toc296503225"/>
      <w:bookmarkStart w:id="915"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5"/>
    </w:p>
    <w:bookmarkEnd w:id="909"/>
    <w:bookmarkEnd w:id="910"/>
    <w:bookmarkEnd w:id="911"/>
    <w:bookmarkEnd w:id="912"/>
    <w:bookmarkEnd w:id="913"/>
    <w:bookmarkEnd w:id="914"/>
    <w:bookmarkEnd w:id="915"/>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14"/>
        <w:rPr>
          <w:rFonts w:hint="eastAsia"/>
          <w:color w:val="auto"/>
          <w:highlight w:val="none"/>
        </w:rPr>
      </w:pPr>
    </w:p>
    <w:p w14:paraId="2B3FBC5C">
      <w:pPr>
        <w:rPr>
          <w:rFonts w:hint="eastAsia" w:ascii="宋体" w:hAnsi="宋体" w:cs="宋体"/>
          <w:bCs/>
          <w:color w:val="auto"/>
          <w:sz w:val="24"/>
          <w:highlight w:val="none"/>
        </w:rPr>
      </w:pPr>
      <w:bookmarkStart w:id="916"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7" w:name="_Toc296944565"/>
      <w:bookmarkStart w:id="918" w:name="_Toc267261693"/>
      <w:bookmarkStart w:id="919" w:name="_Toc296891054"/>
      <w:bookmarkStart w:id="920" w:name="_Toc296347225"/>
      <w:bookmarkStart w:id="921" w:name="_Toc296891266"/>
      <w:bookmarkStart w:id="922" w:name="_Toc296503226"/>
      <w:bookmarkStart w:id="923" w:name="_Toc2963467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17"/>
      <w:bookmarkEnd w:id="918"/>
      <w:bookmarkEnd w:id="919"/>
      <w:bookmarkEnd w:id="920"/>
      <w:bookmarkEnd w:id="921"/>
      <w:bookmarkEnd w:id="922"/>
      <w:bookmarkEnd w:id="923"/>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BDFCB5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发包人和承包人根据《中华人民共和国建筑法》、《建设工程质量管理条例》，经协商一致，就（工程全称）订立工程质量保修书。</w:t>
      </w:r>
    </w:p>
    <w:p w14:paraId="353A40FC">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一、工程质量保修范围和内容</w:t>
      </w:r>
    </w:p>
    <w:p w14:paraId="0481AEF2">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承包人在质量保修期内，按照有关法律规定和合同约定，承担本工程质量保修责任。</w:t>
      </w:r>
    </w:p>
    <w:p w14:paraId="1898349F">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合同文件中明确的全部内容（含设计变更及签证以及决算中所含的全部内容）。</w:t>
      </w:r>
    </w:p>
    <w:p w14:paraId="5CB5DF1B">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二、质量保修期</w:t>
      </w:r>
    </w:p>
    <w:p w14:paraId="22C5C536">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根据《建设工程质量管理条例》及有关规定，工程的质量保修期如下：</w:t>
      </w:r>
    </w:p>
    <w:p w14:paraId="213E642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1、地基基础工程和主体结构工程为设计文件规定的工程合理使用年限；</w:t>
      </w:r>
    </w:p>
    <w:p w14:paraId="3D20D46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2、屋面防水工程、有防水要求的卫生间、房间的外墙面的防渗漏为</w:t>
      </w:r>
      <w:r>
        <w:rPr>
          <w:rFonts w:hint="eastAsia" w:ascii="宋体" w:hAnsi="宋体" w:eastAsia="宋体" w:cs="宋体"/>
          <w:color w:val="auto"/>
          <w:kern w:val="2"/>
          <w:sz w:val="21"/>
          <w:szCs w:val="21"/>
          <w:highlight w:val="none"/>
          <w:u w:val="single"/>
          <w:lang w:val="en-US" w:eastAsia="zh-CN" w:bidi="ar"/>
        </w:rPr>
        <w:t>5</w:t>
      </w:r>
      <w:r>
        <w:rPr>
          <w:rFonts w:hint="eastAsia" w:ascii="宋体" w:hAnsi="宋体" w:eastAsia="宋体" w:cs="宋体"/>
          <w:color w:val="auto"/>
          <w:kern w:val="2"/>
          <w:sz w:val="21"/>
          <w:szCs w:val="21"/>
          <w:highlight w:val="none"/>
          <w:lang w:val="en-US" w:eastAsia="zh-CN" w:bidi="ar"/>
        </w:rPr>
        <w:t>年；</w:t>
      </w:r>
    </w:p>
    <w:p w14:paraId="1A2E2ACD">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3、装修工程为</w:t>
      </w:r>
      <w:r>
        <w:rPr>
          <w:rFonts w:hint="eastAsia" w:ascii="宋体" w:hAnsi="宋体" w:eastAsia="宋体" w:cs="宋体"/>
          <w:color w:val="auto"/>
          <w:kern w:val="2"/>
          <w:sz w:val="21"/>
          <w:szCs w:val="21"/>
          <w:highlight w:val="none"/>
          <w:u w:val="single"/>
          <w:lang w:val="en-US" w:eastAsia="zh-CN" w:bidi="ar"/>
        </w:rPr>
        <w:t>2</w:t>
      </w:r>
      <w:r>
        <w:rPr>
          <w:rFonts w:hint="eastAsia" w:ascii="宋体" w:hAnsi="宋体" w:eastAsia="宋体" w:cs="宋体"/>
          <w:color w:val="auto"/>
          <w:kern w:val="2"/>
          <w:sz w:val="21"/>
          <w:szCs w:val="21"/>
          <w:highlight w:val="none"/>
          <w:lang w:val="en-US" w:eastAsia="zh-CN" w:bidi="ar"/>
        </w:rPr>
        <w:t>年；</w:t>
      </w:r>
    </w:p>
    <w:p w14:paraId="5A815AD0">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4、电气管线、给排水管道、设备安装工程为</w:t>
      </w:r>
      <w:r>
        <w:rPr>
          <w:rFonts w:hint="eastAsia" w:ascii="宋体" w:hAnsi="宋体" w:eastAsia="宋体" w:cs="宋体"/>
          <w:color w:val="auto"/>
          <w:kern w:val="2"/>
          <w:sz w:val="21"/>
          <w:szCs w:val="21"/>
          <w:highlight w:val="none"/>
          <w:u w:val="single"/>
          <w:lang w:val="en-US" w:eastAsia="zh-CN" w:bidi="ar"/>
        </w:rPr>
        <w:t>2</w:t>
      </w:r>
      <w:r>
        <w:rPr>
          <w:rFonts w:hint="eastAsia" w:ascii="宋体" w:hAnsi="宋体" w:eastAsia="宋体" w:cs="宋体"/>
          <w:color w:val="auto"/>
          <w:kern w:val="2"/>
          <w:sz w:val="21"/>
          <w:szCs w:val="21"/>
          <w:highlight w:val="none"/>
          <w:lang w:val="en-US" w:eastAsia="zh-CN" w:bidi="ar"/>
        </w:rPr>
        <w:t>年；</w:t>
      </w:r>
    </w:p>
    <w:p w14:paraId="0D91F11B">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5、供热与供冷系统为</w:t>
      </w:r>
      <w:r>
        <w:rPr>
          <w:rFonts w:hint="eastAsia" w:ascii="宋体" w:hAnsi="宋体" w:eastAsia="宋体" w:cs="宋体"/>
          <w:color w:val="auto"/>
          <w:kern w:val="2"/>
          <w:sz w:val="21"/>
          <w:szCs w:val="21"/>
          <w:highlight w:val="none"/>
          <w:u w:val="single"/>
          <w:lang w:val="en-US" w:eastAsia="zh-CN" w:bidi="ar"/>
        </w:rPr>
        <w:t>2</w:t>
      </w:r>
      <w:r>
        <w:rPr>
          <w:rFonts w:hint="eastAsia" w:ascii="宋体" w:hAnsi="宋体" w:eastAsia="宋体" w:cs="宋体"/>
          <w:color w:val="auto"/>
          <w:kern w:val="2"/>
          <w:sz w:val="21"/>
          <w:szCs w:val="21"/>
          <w:highlight w:val="none"/>
          <w:lang w:val="en-US" w:eastAsia="zh-CN" w:bidi="ar"/>
        </w:rPr>
        <w:t>个采暖期、供冷期；</w:t>
      </w:r>
    </w:p>
    <w:p w14:paraId="1905E689">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6、给排水设施、道路等配套工程为</w:t>
      </w:r>
      <w:r>
        <w:rPr>
          <w:rFonts w:hint="eastAsia" w:ascii="宋体" w:hAnsi="宋体" w:eastAsia="宋体" w:cs="宋体"/>
          <w:color w:val="auto"/>
          <w:kern w:val="2"/>
          <w:sz w:val="21"/>
          <w:szCs w:val="21"/>
          <w:highlight w:val="none"/>
          <w:u w:val="single"/>
          <w:lang w:val="en-US" w:eastAsia="zh-CN" w:bidi="ar"/>
        </w:rPr>
        <w:t>2</w:t>
      </w:r>
      <w:r>
        <w:rPr>
          <w:rFonts w:hint="eastAsia" w:ascii="宋体" w:hAnsi="宋体" w:eastAsia="宋体" w:cs="宋体"/>
          <w:color w:val="auto"/>
          <w:kern w:val="2"/>
          <w:sz w:val="21"/>
          <w:szCs w:val="21"/>
          <w:highlight w:val="none"/>
          <w:lang w:val="en-US" w:eastAsia="zh-CN" w:bidi="ar"/>
        </w:rPr>
        <w:t>年；</w:t>
      </w:r>
    </w:p>
    <w:p w14:paraId="4D222B22">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 绿化工程为24 个月；</w:t>
      </w:r>
    </w:p>
    <w:p w14:paraId="018FA34F">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 园林附属工程为24个月；</w:t>
      </w:r>
    </w:p>
    <w:p w14:paraId="6A9B1A50">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9、其他项目保修期限约定如下：</w:t>
      </w:r>
      <w:r>
        <w:rPr>
          <w:rFonts w:hint="eastAsia" w:ascii="宋体" w:hAnsi="宋体" w:eastAsia="宋体" w:cs="宋体"/>
          <w:color w:val="auto"/>
          <w:kern w:val="2"/>
          <w:sz w:val="21"/>
          <w:szCs w:val="21"/>
          <w:highlight w:val="none"/>
          <w:u w:val="single"/>
          <w:lang w:val="en-US" w:eastAsia="zh-CN" w:bidi="ar"/>
        </w:rPr>
        <w:t xml:space="preserve">    /  。</w:t>
      </w:r>
    </w:p>
    <w:p w14:paraId="311DDFCA">
      <w:pPr>
        <w:keepNext w:val="0"/>
        <w:keepLines w:val="0"/>
        <w:widowControl/>
        <w:suppressLineNumbers w:val="0"/>
        <w:spacing w:before="0" w:beforeAutospacing="0" w:after="0" w:afterAutospacing="0" w:line="400" w:lineRule="exact"/>
        <w:ind w:left="0" w:right="0" w:firstLine="403" w:firstLineChars="192"/>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质量保修期自工程竣工验收合格之日起计算。</w:t>
      </w:r>
    </w:p>
    <w:p w14:paraId="164FE032">
      <w:pPr>
        <w:keepNext w:val="0"/>
        <w:keepLines w:val="0"/>
        <w:widowControl/>
        <w:suppressLineNumbers w:val="0"/>
        <w:spacing w:before="0" w:beforeAutospacing="0" w:after="0" w:afterAutospacing="0" w:line="400" w:lineRule="exact"/>
        <w:ind w:left="0" w:right="0" w:firstLine="403" w:firstLineChars="192"/>
        <w:jc w:val="left"/>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三、缺陷责任期</w:t>
      </w:r>
    </w:p>
    <w:p w14:paraId="2EDC441F">
      <w:pPr>
        <w:keepNext w:val="0"/>
        <w:keepLines w:val="0"/>
        <w:widowControl/>
        <w:suppressLineNumbers w:val="0"/>
        <w:spacing w:before="0" w:beforeAutospacing="0" w:after="0" w:afterAutospacing="0" w:line="400" w:lineRule="exact"/>
        <w:ind w:left="0" w:right="0" w:firstLine="403" w:firstLineChars="192"/>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工程缺陷责任期为</w:t>
      </w:r>
      <w:r>
        <w:rPr>
          <w:rFonts w:hint="eastAsia" w:ascii="宋体" w:hAnsi="宋体" w:eastAsia="宋体" w:cs="宋体"/>
          <w:color w:val="auto"/>
          <w:kern w:val="2"/>
          <w:sz w:val="21"/>
          <w:szCs w:val="21"/>
          <w:highlight w:val="none"/>
          <w:u w:val="single"/>
          <w:lang w:val="en-US" w:eastAsia="zh-CN" w:bidi="ar"/>
        </w:rPr>
        <w:t>24个月</w:t>
      </w:r>
      <w:r>
        <w:rPr>
          <w:rFonts w:hint="eastAsia" w:ascii="宋体" w:hAnsi="宋体" w:eastAsia="宋体" w:cs="宋体"/>
          <w:color w:val="auto"/>
          <w:kern w:val="2"/>
          <w:sz w:val="21"/>
          <w:szCs w:val="21"/>
          <w:highlight w:val="none"/>
          <w:lang w:val="en-US" w:eastAsia="zh-CN" w:bidi="ar"/>
        </w:rPr>
        <w:t>，缺陷责任期自工程竣工验收合格之日起计算。单位工程先于全部工程进行验收，单位工程缺陷责任期自单位工程验收合格之日起算。</w:t>
      </w:r>
    </w:p>
    <w:p w14:paraId="0ECF5DDC">
      <w:pPr>
        <w:keepNext w:val="0"/>
        <w:keepLines w:val="0"/>
        <w:widowControl/>
        <w:suppressLineNumbers w:val="0"/>
        <w:spacing w:before="0" w:beforeAutospacing="0" w:after="0" w:afterAutospacing="0" w:line="400" w:lineRule="exact"/>
        <w:ind w:left="0" w:right="0" w:firstLine="403" w:firstLineChars="192"/>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缺陷责任期终止后，发包人应返还剩余的质量保证金。</w:t>
      </w:r>
    </w:p>
    <w:p w14:paraId="017103DA">
      <w:pPr>
        <w:keepNext w:val="0"/>
        <w:keepLines w:val="0"/>
        <w:widowControl/>
        <w:suppressLineNumbers w:val="0"/>
        <w:spacing w:before="0" w:beforeAutospacing="0" w:after="0" w:afterAutospacing="0" w:line="400" w:lineRule="exact"/>
        <w:ind w:left="0" w:right="0" w:firstLine="403" w:firstLineChars="192"/>
        <w:jc w:val="left"/>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四、质量保修责任</w:t>
      </w:r>
    </w:p>
    <w:p w14:paraId="0C465C19">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1、属于保修范围、内容的项目，承包人应当在接到保修通知之日起7天内派人保修。承包人不在约定期限内派人保修的，发包人可以委托他人修理。</w:t>
      </w:r>
    </w:p>
    <w:p w14:paraId="488700ED">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2、发生紧急抢修事故的，承包人在接到事故通知后，应当立即到达事故现场抢修。</w:t>
      </w:r>
    </w:p>
    <w:p w14:paraId="1E50833C">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517EF45C">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4、质量保修完成后，由发包人组织验收。</w:t>
      </w:r>
    </w:p>
    <w:p w14:paraId="13C224C7">
      <w:pPr>
        <w:keepNext w:val="0"/>
        <w:keepLines w:val="0"/>
        <w:widowControl/>
        <w:suppressLineNumbers w:val="0"/>
        <w:spacing w:before="0" w:beforeAutospacing="0" w:after="0" w:afterAutospacing="0" w:line="400" w:lineRule="exact"/>
        <w:ind w:left="0" w:right="0" w:firstLine="403" w:firstLineChars="192"/>
        <w:jc w:val="both"/>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五、保修费用</w:t>
      </w:r>
    </w:p>
    <w:p w14:paraId="205DDC05">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保修费用由造成质量缺陷的责任方承担。</w:t>
      </w:r>
    </w:p>
    <w:p w14:paraId="3C4E5100">
      <w:pPr>
        <w:keepNext w:val="0"/>
        <w:keepLines w:val="0"/>
        <w:widowControl/>
        <w:suppressLineNumbers w:val="0"/>
        <w:spacing w:before="0" w:beforeAutospacing="0" w:after="0" w:afterAutospacing="0" w:line="400" w:lineRule="exact"/>
        <w:ind w:left="0" w:right="0" w:firstLine="403" w:firstLineChars="192"/>
        <w:jc w:val="left"/>
        <w:outlineLvl w:val="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六、双方约定的其他工程质量保修事项：</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1BFFE4DE">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宋体" w:cs="宋体"/>
          <w:bCs/>
          <w:color w:val="auto"/>
          <w:kern w:val="0"/>
          <w:szCs w:val="21"/>
          <w:highlight w:val="none"/>
        </w:rPr>
      </w:pPr>
      <w:r>
        <w:rPr>
          <w:rFonts w:hint="eastAsia" w:ascii="宋体" w:hAnsi="宋体" w:eastAsia="宋体" w:cs="宋体"/>
          <w:color w:val="auto"/>
          <w:kern w:val="2"/>
          <w:sz w:val="21"/>
          <w:szCs w:val="21"/>
          <w:highlight w:val="none"/>
          <w:lang w:val="en-US" w:eastAsia="zh-CN" w:bidi="ar"/>
        </w:rPr>
        <w:t>工程质量保修书由发包人、承包人在工程竣工验收前共同签署，作为施工合同附件，其有效期限至保修期满</w:t>
      </w:r>
      <w:r>
        <w:rPr>
          <w:rFonts w:hint="eastAsia" w:ascii="宋体" w:hAnsi="宋体" w:cs="宋体"/>
          <w:bCs/>
          <w:color w:val="auto"/>
          <w:kern w:val="0"/>
          <w:position w:val="6"/>
          <w:szCs w:val="21"/>
          <w:highlight w:val="none"/>
        </w:rPr>
        <w:t>。</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6"/>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24" w:name="_Toc95223491"/>
      <w:r>
        <w:rPr>
          <w:rFonts w:hint="eastAsia" w:ascii="宋体" w:hAnsi="宋体" w:cs="宋体"/>
          <w:bCs/>
          <w:color w:val="auto"/>
          <w:sz w:val="24"/>
          <w:highlight w:val="none"/>
        </w:rPr>
        <w:t>附</w:t>
      </w:r>
      <w:bookmarkStart w:id="925" w:name="_Toc296346728"/>
      <w:bookmarkStart w:id="926" w:name="_Toc296503227"/>
      <w:bookmarkStart w:id="927" w:name="_Toc267261698"/>
      <w:bookmarkStart w:id="928" w:name="_Toc296891055"/>
      <w:bookmarkStart w:id="929" w:name="_Toc296347226"/>
      <w:bookmarkStart w:id="930" w:name="_Toc296944566"/>
      <w:bookmarkStart w:id="931" w:name="_Toc29689126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4"/>
    </w:p>
    <w:bookmarkEnd w:id="925"/>
    <w:bookmarkEnd w:id="926"/>
    <w:bookmarkEnd w:id="927"/>
    <w:bookmarkEnd w:id="928"/>
    <w:bookmarkEnd w:id="929"/>
    <w:bookmarkEnd w:id="930"/>
    <w:bookmarkEnd w:id="931"/>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2" w:name="_Toc95223492"/>
      <w:r>
        <w:rPr>
          <w:rFonts w:hint="eastAsia" w:ascii="宋体" w:hAnsi="宋体" w:cs="宋体"/>
          <w:bCs/>
          <w:color w:val="auto"/>
          <w:sz w:val="24"/>
          <w:highlight w:val="none"/>
        </w:rPr>
        <w:t>附</w:t>
      </w:r>
      <w:bookmarkStart w:id="933" w:name="_Toc296503228"/>
      <w:bookmarkStart w:id="934" w:name="_Toc296944567"/>
      <w:bookmarkStart w:id="935" w:name="_Toc267261699"/>
      <w:bookmarkStart w:id="936" w:name="_Toc296347227"/>
      <w:bookmarkStart w:id="937" w:name="_Toc296891268"/>
      <w:bookmarkStart w:id="938" w:name="_Toc296346729"/>
      <w:bookmarkStart w:id="939" w:name="_Toc296891056"/>
      <w:r>
        <w:rPr>
          <w:rFonts w:hint="eastAsia" w:ascii="宋体" w:hAnsi="宋体" w:cs="宋体"/>
          <w:bCs/>
          <w:color w:val="auto"/>
          <w:sz w:val="24"/>
          <w:highlight w:val="none"/>
        </w:rPr>
        <w:t>件</w:t>
      </w:r>
      <w:bookmarkEnd w:id="933"/>
      <w:bookmarkEnd w:id="934"/>
      <w:bookmarkEnd w:id="935"/>
      <w:bookmarkEnd w:id="936"/>
      <w:bookmarkEnd w:id="937"/>
      <w:bookmarkEnd w:id="938"/>
      <w:bookmarkEnd w:id="939"/>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2"/>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0" w:name="_Toc95223495"/>
      <w:bookmarkStart w:id="941" w:name="_Toc25726"/>
      <w:bookmarkStart w:id="942" w:name="_Toc7655"/>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3" w:name="_Toc3028"/>
      <w:bookmarkStart w:id="944" w:name="_Toc9955"/>
      <w:r>
        <w:rPr>
          <w:rFonts w:hint="eastAsia" w:ascii="宋体" w:hAnsi="宋体" w:cs="宋体"/>
          <w:bCs/>
          <w:color w:val="auto"/>
          <w:sz w:val="24"/>
          <w:highlight w:val="none"/>
        </w:rPr>
        <w:t>附</w:t>
      </w:r>
      <w:bookmarkStart w:id="945" w:name="_Toc296346732"/>
      <w:bookmarkStart w:id="946" w:name="_Toc296891271"/>
      <w:bookmarkStart w:id="947" w:name="_Toc296347230"/>
      <w:bookmarkStart w:id="948" w:name="_Toc296891059"/>
      <w:bookmarkStart w:id="949" w:name="_Toc296503231"/>
      <w:bookmarkStart w:id="950" w:name="_Toc29694457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0"/>
      <w:bookmarkEnd w:id="941"/>
      <w:bookmarkEnd w:id="942"/>
      <w:bookmarkEnd w:id="943"/>
      <w:bookmarkEnd w:id="944"/>
    </w:p>
    <w:bookmarkEnd w:id="945"/>
    <w:bookmarkEnd w:id="946"/>
    <w:bookmarkEnd w:id="947"/>
    <w:bookmarkEnd w:id="948"/>
    <w:bookmarkEnd w:id="949"/>
    <w:bookmarkEnd w:id="950"/>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1" w:name="_Toc7607"/>
      <w:bookmarkStart w:id="952" w:name="_Toc95223496"/>
      <w:bookmarkStart w:id="953" w:name="_Toc26094"/>
      <w:bookmarkStart w:id="954" w:name="_Toc26092"/>
      <w:bookmarkStart w:id="955" w:name="_Toc9808"/>
      <w:r>
        <w:rPr>
          <w:rFonts w:hint="eastAsia" w:ascii="宋体" w:hAnsi="宋体" w:cs="宋体"/>
          <w:b/>
          <w:bCs/>
          <w:color w:val="auto"/>
          <w:kern w:val="0"/>
          <w:sz w:val="32"/>
          <w:szCs w:val="32"/>
          <w:highlight w:val="none"/>
        </w:rPr>
        <w:t>廉 政 协 议</w:t>
      </w:r>
      <w:bookmarkEnd w:id="951"/>
      <w:bookmarkEnd w:id="952"/>
      <w:bookmarkEnd w:id="953"/>
      <w:bookmarkEnd w:id="954"/>
      <w:bookmarkEnd w:id="955"/>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9888"/>
      <w:bookmarkStart w:id="957" w:name="_Toc95223497"/>
      <w:bookmarkStart w:id="958" w:name="_Toc21306"/>
      <w:bookmarkStart w:id="959" w:name="_Toc23614"/>
      <w:bookmarkStart w:id="960" w:name="_Toc10794"/>
      <w:r>
        <w:rPr>
          <w:rFonts w:hint="eastAsia" w:ascii="宋体" w:hAnsi="宋体" w:cs="宋体"/>
          <w:color w:val="auto"/>
          <w:kern w:val="0"/>
          <w:szCs w:val="21"/>
          <w:highlight w:val="none"/>
        </w:rPr>
        <w:t>第一条 甲乙双方的权利和义务</w:t>
      </w:r>
      <w:bookmarkEnd w:id="956"/>
      <w:bookmarkEnd w:id="957"/>
      <w:bookmarkEnd w:id="958"/>
      <w:bookmarkEnd w:id="959"/>
      <w:bookmarkEnd w:id="960"/>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61" w:name="_Toc3866"/>
      <w:bookmarkStart w:id="962" w:name="_Toc27534"/>
      <w:bookmarkStart w:id="963" w:name="_Toc20007"/>
      <w:bookmarkStart w:id="964" w:name="_Toc95223498"/>
      <w:bookmarkStart w:id="965" w:name="_Toc1917"/>
      <w:r>
        <w:rPr>
          <w:rFonts w:hint="eastAsia" w:ascii="宋体" w:hAnsi="宋体" w:cs="宋体"/>
          <w:color w:val="auto"/>
          <w:kern w:val="0"/>
          <w:szCs w:val="21"/>
          <w:highlight w:val="none"/>
        </w:rPr>
        <w:t>第二条 甲方的义务</w:t>
      </w:r>
      <w:bookmarkEnd w:id="961"/>
      <w:bookmarkEnd w:id="962"/>
      <w:bookmarkEnd w:id="963"/>
      <w:bookmarkEnd w:id="964"/>
      <w:bookmarkEnd w:id="96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66" w:name="_Toc10556"/>
      <w:bookmarkStart w:id="967" w:name="_Toc27727"/>
      <w:bookmarkStart w:id="968" w:name="_Toc20831"/>
      <w:bookmarkStart w:id="969" w:name="_Toc95223499"/>
      <w:bookmarkStart w:id="970" w:name="_Toc11255"/>
      <w:r>
        <w:rPr>
          <w:rFonts w:hint="eastAsia" w:ascii="宋体" w:hAnsi="宋体" w:cs="宋体"/>
          <w:color w:val="auto"/>
          <w:kern w:val="0"/>
          <w:szCs w:val="21"/>
          <w:highlight w:val="none"/>
        </w:rPr>
        <w:t>第三条 乙方的义务</w:t>
      </w:r>
      <w:bookmarkEnd w:id="966"/>
      <w:bookmarkEnd w:id="967"/>
      <w:bookmarkEnd w:id="968"/>
      <w:bookmarkEnd w:id="969"/>
      <w:bookmarkEnd w:id="970"/>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71" w:name="_Toc4145"/>
      <w:bookmarkStart w:id="972" w:name="_Toc2198"/>
      <w:bookmarkStart w:id="973" w:name="_Toc14507"/>
      <w:bookmarkStart w:id="974" w:name="_Toc95223500"/>
      <w:bookmarkStart w:id="975" w:name="_Toc7904"/>
      <w:r>
        <w:rPr>
          <w:rFonts w:hint="eastAsia" w:ascii="宋体" w:hAnsi="宋体" w:cs="宋体"/>
          <w:color w:val="auto"/>
          <w:kern w:val="0"/>
          <w:szCs w:val="21"/>
          <w:highlight w:val="none"/>
        </w:rPr>
        <w:t>第四条 违约责任</w:t>
      </w:r>
      <w:bookmarkEnd w:id="971"/>
      <w:bookmarkEnd w:id="972"/>
      <w:bookmarkEnd w:id="973"/>
      <w:bookmarkEnd w:id="974"/>
      <w:bookmarkEnd w:id="975"/>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26114"/>
      <w:bookmarkStart w:id="977" w:name="_Toc95223501"/>
      <w:bookmarkStart w:id="978" w:name="_Toc6544"/>
      <w:bookmarkStart w:id="979" w:name="_Toc10228"/>
      <w:bookmarkStart w:id="980" w:name="_Toc2334"/>
      <w:r>
        <w:rPr>
          <w:rFonts w:hint="eastAsia" w:ascii="宋体" w:hAnsi="宋体" w:cs="宋体"/>
          <w:color w:val="auto"/>
          <w:kern w:val="0"/>
          <w:szCs w:val="21"/>
          <w:highlight w:val="none"/>
        </w:rPr>
        <w:t>第五条 双方约定</w:t>
      </w:r>
      <w:bookmarkEnd w:id="976"/>
      <w:bookmarkEnd w:id="977"/>
      <w:bookmarkEnd w:id="978"/>
      <w:bookmarkEnd w:id="979"/>
      <w:bookmarkEnd w:id="980"/>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81" w:name="_Toc8779"/>
      <w:bookmarkStart w:id="982" w:name="_Toc95223502"/>
      <w:bookmarkStart w:id="983" w:name="_Toc17717"/>
      <w:bookmarkStart w:id="984" w:name="_Toc10240"/>
      <w:bookmarkStart w:id="985" w:name="_Toc32140"/>
      <w:r>
        <w:rPr>
          <w:rFonts w:hint="eastAsia" w:ascii="宋体" w:hAnsi="宋体" w:cs="宋体"/>
          <w:color w:val="auto"/>
          <w:kern w:val="0"/>
          <w:szCs w:val="21"/>
          <w:highlight w:val="none"/>
        </w:rPr>
        <w:t>第六条  本协议有效期为甲乙双方签署之日起至合同终止。</w:t>
      </w:r>
      <w:bookmarkEnd w:id="981"/>
      <w:bookmarkEnd w:id="982"/>
      <w:bookmarkEnd w:id="983"/>
      <w:bookmarkEnd w:id="984"/>
      <w:bookmarkEnd w:id="985"/>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95223503"/>
      <w:bookmarkStart w:id="987" w:name="_Toc24032"/>
      <w:bookmarkStart w:id="988" w:name="_Toc28117"/>
      <w:bookmarkStart w:id="989" w:name="_Toc22264"/>
      <w:bookmarkStart w:id="990" w:name="_Toc1871"/>
      <w:r>
        <w:rPr>
          <w:rFonts w:hint="eastAsia" w:ascii="宋体" w:hAnsi="宋体" w:cs="宋体"/>
          <w:color w:val="auto"/>
          <w:kern w:val="0"/>
          <w:szCs w:val="21"/>
          <w:highlight w:val="none"/>
        </w:rPr>
        <w:t>第七条  本协议作为合同的附件，与本合同具有同等法律效力。</w:t>
      </w:r>
      <w:bookmarkEnd w:id="986"/>
      <w:bookmarkEnd w:id="987"/>
      <w:bookmarkEnd w:id="988"/>
      <w:bookmarkEnd w:id="989"/>
      <w:bookmarkEnd w:id="990"/>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1"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1"/>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992" w:name="_Toc28010"/>
      <w:bookmarkStart w:id="993" w:name="_Toc8655"/>
      <w:bookmarkStart w:id="994" w:name="_Toc95223505"/>
      <w:bookmarkStart w:id="995" w:name="_Toc25855"/>
      <w:bookmarkStart w:id="996" w:name="_Toc10681"/>
      <w:r>
        <w:rPr>
          <w:rFonts w:hint="eastAsia" w:ascii="宋体" w:hAnsi="宋体" w:cs="宋体"/>
          <w:b/>
          <w:bCs/>
          <w:color w:val="auto"/>
          <w:sz w:val="32"/>
          <w:szCs w:val="32"/>
          <w:highlight w:val="none"/>
        </w:rPr>
        <w:t>履约保函示范文本</w:t>
      </w:r>
      <w:bookmarkEnd w:id="992"/>
      <w:bookmarkEnd w:id="993"/>
      <w:bookmarkEnd w:id="994"/>
      <w:bookmarkEnd w:id="995"/>
      <w:bookmarkEnd w:id="996"/>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99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97"/>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98" w:name="_Hlk40303486"/>
      <w:r>
        <w:rPr>
          <w:rFonts w:hint="eastAsia" w:ascii="宋体" w:hAnsi="宋体" w:cs="宋体"/>
          <w:color w:val="auto"/>
          <w:szCs w:val="21"/>
          <w:highlight w:val="none"/>
        </w:rPr>
        <w:t>受益人发出的书面付款通知应由其法定代表人（负责人）或授权代理人签字并加盖公章。</w:t>
      </w:r>
      <w:bookmarkEnd w:id="998"/>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999" w:name="_Hlk40303383"/>
      <w:bookmarkStart w:id="1000"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99"/>
      <w:r>
        <w:rPr>
          <w:rFonts w:hint="eastAsia" w:ascii="宋体" w:hAnsi="宋体" w:cs="宋体"/>
          <w:color w:val="auto"/>
          <w:szCs w:val="21"/>
          <w:highlight w:val="none"/>
        </w:rPr>
        <w:t xml:space="preserve">由受益人所在地人民法院管辖。 </w:t>
      </w:r>
    </w:p>
    <w:bookmarkEnd w:id="1000"/>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01"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1"/>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322348A9">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02"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2"/>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03" w:name="_Toc32439"/>
      <w:bookmarkStart w:id="1004" w:name="_Toc95223512"/>
      <w:bookmarkStart w:id="1005" w:name="_Toc26993"/>
      <w:bookmarkStart w:id="1006" w:name="_Toc16956"/>
      <w:bookmarkStart w:id="1007" w:name="_Toc31602"/>
      <w:r>
        <w:rPr>
          <w:rFonts w:hint="eastAsia" w:ascii="宋体" w:hAnsi="宋体" w:cs="宋体"/>
          <w:b/>
          <w:color w:val="auto"/>
          <w:sz w:val="32"/>
          <w:szCs w:val="32"/>
          <w:highlight w:val="none"/>
        </w:rPr>
        <w:t>安全生产合同</w:t>
      </w:r>
      <w:bookmarkEnd w:id="1003"/>
      <w:bookmarkEnd w:id="1004"/>
      <w:bookmarkEnd w:id="1005"/>
      <w:bookmarkEnd w:id="1006"/>
      <w:bookmarkEnd w:id="1007"/>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0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08"/>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09" w:name="_Toc31476"/>
      <w:bookmarkStart w:id="1010" w:name="_Toc20282"/>
      <w:bookmarkStart w:id="1011" w:name="_Toc19059"/>
      <w:bookmarkStart w:id="1012" w:name="_Toc4934"/>
      <w:bookmarkStart w:id="1013" w:name="_Toc95223514"/>
      <w:r>
        <w:rPr>
          <w:rFonts w:hint="eastAsia" w:ascii="宋体" w:hAnsi="宋体" w:cs="宋体"/>
          <w:b/>
          <w:color w:val="auto"/>
          <w:sz w:val="32"/>
          <w:szCs w:val="32"/>
          <w:highlight w:val="none"/>
        </w:rPr>
        <w:t>项目经理质量终身责任制承诺</w:t>
      </w:r>
      <w:bookmarkEnd w:id="1009"/>
      <w:bookmarkEnd w:id="1010"/>
      <w:bookmarkEnd w:id="1011"/>
      <w:bookmarkEnd w:id="1012"/>
      <w:bookmarkEnd w:id="1013"/>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14"/>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7"/>
        </w:numPr>
        <w:spacing w:beforeLines="50" w:afterLines="50" w:line="440" w:lineRule="exact"/>
        <w:rPr>
          <w:rFonts w:hint="eastAsia" w:eastAsia="宋体" w:cs="Times New Roman"/>
          <w:bCs/>
          <w:color w:val="auto"/>
          <w:szCs w:val="32"/>
          <w:highlight w:val="none"/>
        </w:rPr>
      </w:pPr>
      <w:bookmarkStart w:id="1014" w:name="_Toc4767"/>
      <w:bookmarkStart w:id="1015" w:name="_Toc95223515"/>
      <w:r>
        <w:rPr>
          <w:rFonts w:hint="eastAsia" w:eastAsia="宋体" w:cs="Times New Roman"/>
          <w:bCs/>
          <w:color w:val="auto"/>
          <w:szCs w:val="32"/>
          <w:highlight w:val="none"/>
        </w:rPr>
        <w:t xml:space="preserve"> </w:t>
      </w:r>
      <w:bookmarkStart w:id="1016" w:name="_Toc3388"/>
      <w:bookmarkStart w:id="1017" w:name="_Toc10898"/>
      <w:r>
        <w:rPr>
          <w:rFonts w:hint="eastAsia" w:eastAsia="宋体" w:cs="Times New Roman"/>
          <w:bCs/>
          <w:color w:val="auto"/>
          <w:szCs w:val="32"/>
          <w:highlight w:val="none"/>
        </w:rPr>
        <w:t>工程量清单</w:t>
      </w:r>
      <w:bookmarkEnd w:id="1014"/>
      <w:bookmarkEnd w:id="1015"/>
      <w:bookmarkEnd w:id="1016"/>
      <w:bookmarkEnd w:id="1017"/>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18" w:name="_Toc1620"/>
      <w:bookmarkStart w:id="1019" w:name="_Toc95223516"/>
      <w:r>
        <w:rPr>
          <w:rFonts w:hint="eastAsia" w:ascii="宋体" w:hAnsi="宋体" w:cs="宋体"/>
          <w:b/>
          <w:bCs/>
          <w:color w:val="auto"/>
          <w:szCs w:val="21"/>
          <w:highlight w:val="none"/>
        </w:rPr>
        <w:t>1. 计价依据</w:t>
      </w:r>
      <w:bookmarkEnd w:id="1018"/>
      <w:bookmarkEnd w:id="1019"/>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20" w:name="_Toc95223518"/>
      <w:bookmarkStart w:id="1021" w:name="_Toc19788"/>
      <w:bookmarkStart w:id="1022" w:name="_Toc95223521"/>
      <w:bookmarkStart w:id="1023" w:name="_Toc4881"/>
      <w:r>
        <w:rPr>
          <w:rFonts w:hint="eastAsia" w:ascii="宋体" w:hAnsi="宋体" w:eastAsia="宋体" w:cs="宋体"/>
          <w:b/>
          <w:bCs/>
          <w:color w:val="auto"/>
          <w:szCs w:val="21"/>
          <w:highlight w:val="none"/>
          <w:lang w:val="en-US" w:eastAsia="zh-CN"/>
        </w:rPr>
        <w:t>招标工程量清单编制要求</w:t>
      </w:r>
      <w:bookmarkEnd w:id="1020"/>
      <w:bookmarkEnd w:id="1021"/>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4" w:name="_Toc23910"/>
      <w:bookmarkStart w:id="1025" w:name="_Toc95223519"/>
      <w:r>
        <w:rPr>
          <w:rFonts w:hint="eastAsia" w:ascii="宋体" w:hAnsi="宋体" w:eastAsia="宋体" w:cs="宋体"/>
          <w:b/>
          <w:bCs/>
          <w:color w:val="auto"/>
          <w:szCs w:val="21"/>
          <w:highlight w:val="none"/>
          <w:lang w:val="en-US" w:eastAsia="zh-CN"/>
        </w:rPr>
        <w:t>4. 最高投标限价编制要求</w:t>
      </w:r>
      <w:bookmarkEnd w:id="1024"/>
      <w:bookmarkEnd w:id="1025"/>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6" w:name="_Toc4166"/>
      <w:bookmarkStart w:id="1027" w:name="_Toc95223520"/>
      <w:r>
        <w:rPr>
          <w:rFonts w:hint="eastAsia" w:ascii="宋体" w:hAnsi="宋体" w:eastAsia="宋体" w:cs="宋体"/>
          <w:b/>
          <w:bCs/>
          <w:color w:val="auto"/>
          <w:szCs w:val="21"/>
          <w:highlight w:val="none"/>
          <w:lang w:val="en-US" w:eastAsia="zh-CN"/>
        </w:rPr>
        <w:t>5. 投标报价参考编制要求</w:t>
      </w:r>
      <w:bookmarkEnd w:id="1026"/>
      <w:bookmarkEnd w:id="1027"/>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方案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除合同另有约定外，中标人在工程量清单报价书中所报的综合单价在施工方案和合同约定范围一律不予调整；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22"/>
      <w:bookmarkEnd w:id="1023"/>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7"/>
        </w:numPr>
        <w:spacing w:beforeLines="50" w:afterLines="50" w:line="440" w:lineRule="exact"/>
        <w:jc w:val="center"/>
        <w:rPr>
          <w:rFonts w:hint="eastAsia" w:eastAsia="宋体" w:cs="Times New Roman"/>
          <w:bCs/>
          <w:color w:val="auto"/>
          <w:szCs w:val="32"/>
          <w:highlight w:val="none"/>
        </w:rPr>
      </w:pPr>
      <w:bookmarkStart w:id="1028" w:name="_Toc25013"/>
      <w:bookmarkStart w:id="1029" w:name="_Toc20597"/>
      <w:r>
        <w:rPr>
          <w:rFonts w:hint="eastAsia" w:eastAsia="宋体" w:cs="Times New Roman"/>
          <w:bCs/>
          <w:color w:val="auto"/>
          <w:szCs w:val="32"/>
          <w:highlight w:val="none"/>
          <w:lang w:val="en-US" w:eastAsia="zh-CN"/>
        </w:rPr>
        <w:t>图纸</w:t>
      </w:r>
      <w:bookmarkEnd w:id="1028"/>
      <w:bookmarkEnd w:id="1029"/>
    </w:p>
    <w:p w14:paraId="3C6231A3">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30" w:name="_Toc8272"/>
      <w:bookmarkStart w:id="1031" w:name="_Toc1006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1030"/>
      <w:bookmarkEnd w:id="1031"/>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rPr>
          <w:rFonts w:eastAsia="黑体"/>
          <w:color w:val="auto"/>
          <w:sz w:val="28"/>
          <w:szCs w:val="28"/>
          <w:highlight w:val="none"/>
        </w:rPr>
      </w:pP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32" w:name="_Toc12683"/>
      <w:bookmarkStart w:id="1033" w:name="_Toc35424971"/>
      <w:bookmarkStart w:id="1034"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35" w:name="_Toc78803399"/>
      <w:r>
        <w:rPr>
          <w:rStyle w:val="65"/>
          <w:rFonts w:hint="eastAsia" w:ascii="宋体" w:hAnsi="宋体" w:cs="宋体"/>
          <w:color w:val="auto"/>
          <w:sz w:val="32"/>
          <w:highlight w:val="none"/>
        </w:rPr>
        <w:br w:type="page"/>
      </w:r>
      <w:bookmarkStart w:id="1036" w:name="_Toc32179"/>
      <w:bookmarkStart w:id="1037" w:name="_Toc30830"/>
      <w:r>
        <w:rPr>
          <w:rStyle w:val="65"/>
          <w:rFonts w:hint="eastAsia" w:ascii="宋体" w:hAnsi="宋体" w:cs="宋体"/>
          <w:color w:val="auto"/>
          <w:sz w:val="32"/>
          <w:highlight w:val="none"/>
        </w:rPr>
        <w:t>投标文件一</w:t>
      </w:r>
      <w:bookmarkEnd w:id="1032"/>
      <w:bookmarkEnd w:id="1033"/>
      <w:bookmarkEnd w:id="1034"/>
      <w:bookmarkEnd w:id="1035"/>
      <w:bookmarkEnd w:id="1036"/>
      <w:bookmarkEnd w:id="1037"/>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38" w:name="_Toc26598"/>
      <w:bookmarkStart w:id="1039" w:name="_Toc506107356"/>
      <w:bookmarkStart w:id="1040"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46710CD8">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03404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38"/>
      <w:bookmarkEnd w:id="1039"/>
      <w:bookmarkEnd w:id="1040"/>
    </w:p>
    <w:p w14:paraId="0FB697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36A89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10F89D5B">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5BB6AF63">
      <w:pPr>
        <w:jc w:val="center"/>
        <w:rPr>
          <w:rFonts w:eastAsia="黑体"/>
          <w:color w:val="auto"/>
          <w:sz w:val="28"/>
          <w:szCs w:val="28"/>
          <w:highlight w:val="none"/>
        </w:rPr>
      </w:pPr>
    </w:p>
    <w:p w14:paraId="41FF03B4">
      <w:pPr>
        <w:jc w:val="center"/>
        <w:rPr>
          <w:rFonts w:eastAsia="黑体"/>
          <w:color w:val="auto"/>
          <w:sz w:val="20"/>
          <w:szCs w:val="20"/>
          <w:highlight w:val="none"/>
        </w:rPr>
      </w:pPr>
      <w:r>
        <w:rPr>
          <w:rFonts w:eastAsia="黑体"/>
          <w:color w:val="auto"/>
          <w:sz w:val="28"/>
          <w:szCs w:val="28"/>
          <w:highlight w:val="none"/>
        </w:rPr>
        <w:t>（项目名称）</w:t>
      </w:r>
    </w:p>
    <w:p w14:paraId="376E7C92">
      <w:pPr>
        <w:jc w:val="center"/>
        <w:rPr>
          <w:rFonts w:eastAsia="黑体"/>
          <w:color w:val="auto"/>
          <w:sz w:val="20"/>
          <w:szCs w:val="20"/>
          <w:highlight w:val="none"/>
        </w:rPr>
      </w:pPr>
    </w:p>
    <w:p w14:paraId="4EBF231B">
      <w:pPr>
        <w:rPr>
          <w:rFonts w:eastAsia="黑体"/>
          <w:color w:val="auto"/>
          <w:sz w:val="20"/>
          <w:szCs w:val="20"/>
          <w:highlight w:val="none"/>
        </w:rPr>
      </w:pPr>
    </w:p>
    <w:p w14:paraId="0341D443">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640D83C2">
      <w:pPr>
        <w:jc w:val="center"/>
        <w:rPr>
          <w:rFonts w:eastAsia="黑体"/>
          <w:color w:val="auto"/>
          <w:sz w:val="44"/>
          <w:szCs w:val="44"/>
          <w:highlight w:val="none"/>
        </w:rPr>
      </w:pPr>
      <w:r>
        <w:rPr>
          <w:rFonts w:hint="eastAsia" w:eastAsia="黑体"/>
          <w:color w:val="auto"/>
          <w:sz w:val="44"/>
          <w:szCs w:val="44"/>
          <w:highlight w:val="none"/>
        </w:rPr>
        <w:t>（技术标文件）</w:t>
      </w:r>
    </w:p>
    <w:p w14:paraId="4F52C312">
      <w:pPr>
        <w:rPr>
          <w:rFonts w:eastAsia="黑体"/>
          <w:color w:val="auto"/>
          <w:sz w:val="28"/>
          <w:szCs w:val="28"/>
          <w:highlight w:val="none"/>
        </w:rPr>
      </w:pPr>
    </w:p>
    <w:p w14:paraId="71FF97ED">
      <w:pPr>
        <w:rPr>
          <w:rFonts w:eastAsia="黑体"/>
          <w:color w:val="auto"/>
          <w:sz w:val="28"/>
          <w:szCs w:val="28"/>
          <w:highlight w:val="none"/>
        </w:rPr>
      </w:pPr>
    </w:p>
    <w:p w14:paraId="7FB028CC">
      <w:pPr>
        <w:rPr>
          <w:rFonts w:eastAsia="黑体"/>
          <w:color w:val="auto"/>
          <w:sz w:val="28"/>
          <w:szCs w:val="28"/>
          <w:highlight w:val="none"/>
        </w:rPr>
      </w:pPr>
    </w:p>
    <w:p w14:paraId="3DA0A309">
      <w:pPr>
        <w:pStyle w:val="14"/>
        <w:ind w:firstLine="560"/>
        <w:rPr>
          <w:rFonts w:eastAsia="黑体"/>
          <w:color w:val="auto"/>
          <w:sz w:val="28"/>
          <w:szCs w:val="28"/>
          <w:highlight w:val="none"/>
        </w:rPr>
      </w:pPr>
    </w:p>
    <w:p w14:paraId="230FBDE5">
      <w:pPr>
        <w:rPr>
          <w:rFonts w:eastAsia="黑体"/>
          <w:color w:val="auto"/>
          <w:sz w:val="28"/>
          <w:szCs w:val="28"/>
          <w:highlight w:val="none"/>
        </w:rPr>
      </w:pPr>
    </w:p>
    <w:p w14:paraId="48240BCD">
      <w:pPr>
        <w:pStyle w:val="14"/>
        <w:ind w:firstLine="560"/>
        <w:rPr>
          <w:rFonts w:eastAsia="黑体"/>
          <w:color w:val="auto"/>
          <w:sz w:val="28"/>
          <w:szCs w:val="28"/>
          <w:highlight w:val="none"/>
        </w:rPr>
      </w:pPr>
    </w:p>
    <w:p w14:paraId="5E8DE99A">
      <w:pPr>
        <w:rPr>
          <w:color w:val="auto"/>
          <w:highlight w:val="none"/>
        </w:rPr>
      </w:pPr>
    </w:p>
    <w:p w14:paraId="3DB0EE23">
      <w:pPr>
        <w:rPr>
          <w:rFonts w:eastAsia="黑体"/>
          <w:color w:val="auto"/>
          <w:sz w:val="28"/>
          <w:szCs w:val="28"/>
          <w:highlight w:val="none"/>
        </w:rPr>
      </w:pPr>
    </w:p>
    <w:p w14:paraId="5061F95C">
      <w:pPr>
        <w:rPr>
          <w:rFonts w:eastAsia="黑体"/>
          <w:color w:val="auto"/>
          <w:sz w:val="28"/>
          <w:szCs w:val="28"/>
          <w:highlight w:val="none"/>
        </w:rPr>
      </w:pPr>
    </w:p>
    <w:p w14:paraId="68F4745F">
      <w:pPr>
        <w:rPr>
          <w:rFonts w:eastAsia="黑体"/>
          <w:color w:val="auto"/>
          <w:sz w:val="28"/>
          <w:szCs w:val="28"/>
          <w:highlight w:val="none"/>
        </w:rPr>
      </w:pPr>
    </w:p>
    <w:p w14:paraId="15D16BA6">
      <w:pPr>
        <w:rPr>
          <w:rFonts w:eastAsia="黑体"/>
          <w:color w:val="auto"/>
          <w:sz w:val="28"/>
          <w:szCs w:val="28"/>
          <w:highlight w:val="none"/>
        </w:rPr>
      </w:pPr>
    </w:p>
    <w:p w14:paraId="2173E078">
      <w:pPr>
        <w:rPr>
          <w:rFonts w:eastAsia="黑体"/>
          <w:color w:val="auto"/>
          <w:sz w:val="28"/>
          <w:szCs w:val="28"/>
          <w:highlight w:val="none"/>
        </w:rPr>
      </w:pPr>
    </w:p>
    <w:p w14:paraId="0949FA65">
      <w:pPr>
        <w:jc w:val="center"/>
        <w:rPr>
          <w:rFonts w:eastAsia="黑体"/>
          <w:color w:val="auto"/>
          <w:sz w:val="28"/>
          <w:szCs w:val="28"/>
          <w:highlight w:val="none"/>
          <w:u w:val="single"/>
        </w:rPr>
      </w:pPr>
      <w:bookmarkStart w:id="1041" w:name="_Toc35424972"/>
      <w:bookmarkStart w:id="1042" w:name="_Toc35425138"/>
      <w:bookmarkStart w:id="1043"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7F355C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558E2C4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22466D7">
      <w:pPr>
        <w:spacing w:line="540" w:lineRule="exact"/>
        <w:rPr>
          <w:rStyle w:val="65"/>
          <w:rFonts w:ascii="宋体" w:hAnsi="宋体" w:cs="宋体"/>
          <w:color w:val="auto"/>
          <w:sz w:val="32"/>
          <w:highlight w:val="none"/>
        </w:rPr>
      </w:pPr>
    </w:p>
    <w:p w14:paraId="40DF09E9">
      <w:pPr>
        <w:spacing w:beforeLines="50" w:afterLines="50" w:line="440" w:lineRule="exact"/>
        <w:ind w:firstLine="643" w:firstLineChars="200"/>
        <w:jc w:val="left"/>
        <w:rPr>
          <w:rStyle w:val="65"/>
          <w:rFonts w:ascii="宋体" w:hAnsi="宋体" w:cs="宋体"/>
          <w:color w:val="auto"/>
          <w:sz w:val="32"/>
          <w:highlight w:val="none"/>
        </w:rPr>
      </w:pPr>
      <w:bookmarkStart w:id="1044" w:name="_Toc78803400"/>
      <w:r>
        <w:rPr>
          <w:rStyle w:val="65"/>
          <w:rFonts w:hint="eastAsia" w:ascii="宋体" w:hAnsi="宋体" w:cs="宋体"/>
          <w:color w:val="auto"/>
          <w:sz w:val="32"/>
          <w:highlight w:val="none"/>
        </w:rPr>
        <w:br w:type="page"/>
      </w:r>
      <w:bookmarkStart w:id="1045" w:name="_Toc23256"/>
      <w:bookmarkStart w:id="1046" w:name="_Toc13669"/>
      <w:r>
        <w:rPr>
          <w:rStyle w:val="65"/>
          <w:rFonts w:hint="eastAsia" w:ascii="宋体" w:hAnsi="宋体" w:cs="宋体"/>
          <w:color w:val="auto"/>
          <w:sz w:val="32"/>
          <w:highlight w:val="none"/>
        </w:rPr>
        <w:t>投标文件二</w:t>
      </w:r>
      <w:bookmarkEnd w:id="1041"/>
      <w:bookmarkEnd w:id="1042"/>
      <w:bookmarkEnd w:id="1043"/>
      <w:r>
        <w:rPr>
          <w:rStyle w:val="65"/>
          <w:rFonts w:hint="eastAsia" w:ascii="宋体" w:hAnsi="宋体" w:cs="宋体"/>
          <w:color w:val="auto"/>
          <w:sz w:val="32"/>
          <w:highlight w:val="none"/>
        </w:rPr>
        <w:t>：技术标目录</w:t>
      </w:r>
      <w:bookmarkEnd w:id="1044"/>
    </w:p>
    <w:bookmarkEnd w:id="1045"/>
    <w:bookmarkEnd w:id="1046"/>
    <w:p w14:paraId="7D86A77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cs="宋体"/>
          <w:bCs/>
          <w:color w:val="auto"/>
          <w:szCs w:val="21"/>
          <w:highlight w:val="none"/>
        </w:rPr>
        <w:t>（1）</w:t>
      </w:r>
      <w:r>
        <w:rPr>
          <w:rFonts w:hint="eastAsia" w:ascii="宋体" w:hAnsi="宋体" w:eastAsia="宋体" w:cs="宋体"/>
          <w:color w:val="auto"/>
          <w:kern w:val="2"/>
          <w:sz w:val="21"/>
          <w:szCs w:val="21"/>
          <w:highlight w:val="none"/>
          <w:lang w:val="en-US" w:eastAsia="zh-CN" w:bidi="ar"/>
        </w:rPr>
        <w:t>施工组织设计；</w:t>
      </w:r>
    </w:p>
    <w:p w14:paraId="2F11BE24">
      <w:pPr>
        <w:spacing w:line="440" w:lineRule="exact"/>
        <w:ind w:firstLine="420" w:firstLineChars="200"/>
        <w:jc w:val="left"/>
        <w:rPr>
          <w:rFonts w:hint="eastAsia" w:ascii="宋体" w:hAnsi="宋体" w:cs="宋体"/>
          <w:bCs/>
          <w:color w:val="auto"/>
          <w:szCs w:val="21"/>
          <w:highlight w:val="none"/>
        </w:rPr>
      </w:pPr>
      <w:r>
        <w:rPr>
          <w:rFonts w:hint="eastAsia" w:ascii="宋体" w:hAnsi="宋体" w:eastAsia="宋体" w:cs="宋体"/>
          <w:color w:val="auto"/>
          <w:kern w:val="2"/>
          <w:sz w:val="21"/>
          <w:szCs w:val="21"/>
          <w:highlight w:val="none"/>
          <w:lang w:val="en-US" w:eastAsia="zh-CN" w:bidi="ar"/>
        </w:rPr>
        <w:t>（2）其他技术标评审所需资料</w:t>
      </w:r>
      <w:r>
        <w:rPr>
          <w:rFonts w:hint="eastAsia" w:ascii="宋体" w:hAnsi="宋体" w:cs="宋体"/>
          <w:bCs/>
          <w:color w:val="auto"/>
          <w:szCs w:val="21"/>
          <w:highlight w:val="none"/>
        </w:rPr>
        <w:t>。</w:t>
      </w:r>
    </w:p>
    <w:p w14:paraId="61935E1B">
      <w:pPr>
        <w:spacing w:line="360" w:lineRule="auto"/>
        <w:ind w:firstLine="420" w:firstLineChars="200"/>
        <w:rPr>
          <w:rFonts w:ascii="宋体" w:hAnsi="宋体"/>
          <w:color w:val="auto"/>
          <w:szCs w:val="21"/>
          <w:highlight w:val="none"/>
        </w:rPr>
      </w:pPr>
    </w:p>
    <w:p w14:paraId="3A67362E">
      <w:pPr>
        <w:rPr>
          <w:color w:val="auto"/>
          <w:highlight w:val="none"/>
        </w:rPr>
      </w:pPr>
    </w:p>
    <w:p w14:paraId="64E6B910">
      <w:pPr>
        <w:rPr>
          <w:color w:val="auto"/>
          <w:highlight w:val="none"/>
        </w:rPr>
      </w:pPr>
    </w:p>
    <w:p w14:paraId="0875368E">
      <w:pPr>
        <w:pStyle w:val="16"/>
        <w:rPr>
          <w:color w:val="auto"/>
          <w:highlight w:val="none"/>
        </w:rPr>
      </w:pPr>
      <w:r>
        <w:rPr>
          <w:color w:val="auto"/>
          <w:highlight w:val="none"/>
        </w:rPr>
        <w:br w:type="page"/>
      </w:r>
    </w:p>
    <w:p w14:paraId="795F94DB">
      <w:pPr>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rPr>
          <w:rFonts w:eastAsia="黑体"/>
          <w:color w:val="auto"/>
          <w:sz w:val="28"/>
          <w:szCs w:val="28"/>
          <w:highlight w:val="none"/>
        </w:rPr>
      </w:pP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47" w:name="_Toc19174"/>
      <w:bookmarkStart w:id="1048" w:name="_Toc35424973"/>
      <w:bookmarkStart w:id="1049" w:name="_Toc35425139"/>
      <w:bookmarkStart w:id="1050" w:name="_Toc78803401"/>
      <w:r>
        <w:rPr>
          <w:rStyle w:val="65"/>
          <w:rFonts w:hint="eastAsia" w:ascii="宋体" w:hAnsi="宋体" w:cs="宋体"/>
          <w:color w:val="auto"/>
          <w:sz w:val="32"/>
          <w:highlight w:val="none"/>
        </w:rPr>
        <w:br w:type="page"/>
      </w:r>
      <w:bookmarkStart w:id="1051" w:name="_Toc19057"/>
      <w:bookmarkStart w:id="1052" w:name="_Toc27877"/>
      <w:r>
        <w:rPr>
          <w:rStyle w:val="65"/>
          <w:rFonts w:hint="eastAsia" w:ascii="宋体" w:hAnsi="宋体" w:cs="宋体"/>
          <w:color w:val="auto"/>
          <w:sz w:val="32"/>
          <w:highlight w:val="none"/>
        </w:rPr>
        <w:t>投标文件三</w:t>
      </w:r>
      <w:bookmarkEnd w:id="1047"/>
      <w:bookmarkEnd w:id="1048"/>
      <w:bookmarkEnd w:id="1049"/>
      <w:r>
        <w:rPr>
          <w:rStyle w:val="65"/>
          <w:rFonts w:hint="eastAsia" w:ascii="宋体" w:hAnsi="宋体" w:cs="宋体"/>
          <w:color w:val="auto"/>
          <w:sz w:val="32"/>
          <w:highlight w:val="none"/>
        </w:rPr>
        <w:t>：商务标目录</w:t>
      </w:r>
      <w:bookmarkEnd w:id="1050"/>
    </w:p>
    <w:bookmarkEnd w:id="1051"/>
    <w:bookmarkEnd w:id="1052"/>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53" w:name="_Toc35425140"/>
      <w:bookmarkStart w:id="1054" w:name="_Toc35424974"/>
      <w:bookmarkStart w:id="1055" w:name="_Toc506107366"/>
      <w:bookmarkStart w:id="1056"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招标文件，遵照《中华人民共和国招标投标法》等有关规定，经踏勘项目现场和研究上述招标文件的投标须知、合同条件、技术规范、施工方案、工程量清单和其他有关文件后，我方愿以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4"/>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color w:val="auto"/>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F7EB174">
      <w:pPr>
        <w:pStyle w:val="4"/>
        <w:widowControl/>
        <w:adjustRightInd w:val="0"/>
        <w:snapToGrid w:val="0"/>
        <w:spacing w:before="0" w:beforeAutospacing="0" w:after="0" w:afterAutospacing="0" w:line="560" w:lineRule="exact"/>
        <w:jc w:val="center"/>
        <w:rPr>
          <w:rFonts w:hint="eastAsia" w:ascii="宋体" w:hAnsi="宋体" w:eastAsia="宋体" w:cs="宋体"/>
          <w:b w:val="0"/>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72D547E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45CC46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lang w:eastAsia="zh-CN"/>
        </w:rPr>
      </w:pP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53"/>
      <w:bookmarkEnd w:id="1054"/>
      <w:bookmarkEnd w:id="1055"/>
      <w:bookmarkEnd w:id="1056"/>
      <w:bookmarkStart w:id="1057" w:name="_Toc78803402"/>
    </w:p>
    <w:p w14:paraId="489D056E">
      <w:pPr>
        <w:pStyle w:val="43"/>
        <w:spacing w:beforeLines="50" w:afterLines="50" w:line="440" w:lineRule="exact"/>
        <w:rPr>
          <w:bCs/>
          <w:color w:val="auto"/>
          <w:szCs w:val="32"/>
          <w:highlight w:val="none"/>
        </w:rPr>
      </w:pPr>
      <w:bookmarkStart w:id="1058" w:name="_Toc15593"/>
      <w:bookmarkStart w:id="1059" w:name="_Toc29114"/>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7"/>
      <w:bookmarkEnd w:id="1058"/>
      <w:bookmarkEnd w:id="105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玄武岩加工厂厂区区域硬化、截排水设施工程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安徽磐谷高科有限公司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陈治宇</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0550-2601592</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p>
          <w:p w14:paraId="6A97483B">
            <w:pPr>
              <w:pStyle w:val="14"/>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p>
          <w:p w14:paraId="0B913135">
            <w:pPr>
              <w:pStyle w:val="14"/>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4F8C">
    <w:pPr>
      <w:pStyle w:val="30"/>
      <w:rPr>
        <w:rStyle w:val="50"/>
      </w:rPr>
    </w:pPr>
  </w:p>
  <w:p w14:paraId="0A7A2AB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037"/>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4F500E"/>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1A07BC"/>
    <w:rsid w:val="031C2553"/>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3D6C25"/>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C16CFD"/>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C5082"/>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DC319A"/>
    <w:rsid w:val="0BE2331A"/>
    <w:rsid w:val="0BFB783E"/>
    <w:rsid w:val="0BFD5373"/>
    <w:rsid w:val="0BFD6481"/>
    <w:rsid w:val="0C0F0CD9"/>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4379A"/>
    <w:rsid w:val="0D794CB6"/>
    <w:rsid w:val="0D8324ED"/>
    <w:rsid w:val="0D8F059D"/>
    <w:rsid w:val="0D8F5855"/>
    <w:rsid w:val="0D936D15"/>
    <w:rsid w:val="0D9827E5"/>
    <w:rsid w:val="0DAF3D29"/>
    <w:rsid w:val="0DC466B9"/>
    <w:rsid w:val="0DC54945"/>
    <w:rsid w:val="0DE73962"/>
    <w:rsid w:val="0DF25BA4"/>
    <w:rsid w:val="0DFD573A"/>
    <w:rsid w:val="0DFE1012"/>
    <w:rsid w:val="0E0B029F"/>
    <w:rsid w:val="0E230373"/>
    <w:rsid w:val="0E236E8B"/>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03CB0"/>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8120DC"/>
    <w:rsid w:val="108950E7"/>
    <w:rsid w:val="109135C4"/>
    <w:rsid w:val="10966C48"/>
    <w:rsid w:val="10A4426E"/>
    <w:rsid w:val="10B656D8"/>
    <w:rsid w:val="10BB6F68"/>
    <w:rsid w:val="10C37A22"/>
    <w:rsid w:val="10C556C7"/>
    <w:rsid w:val="10C55FD8"/>
    <w:rsid w:val="10F772EF"/>
    <w:rsid w:val="11017A58"/>
    <w:rsid w:val="11023D17"/>
    <w:rsid w:val="110F34C8"/>
    <w:rsid w:val="111016B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80A2C"/>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5E2714"/>
    <w:rsid w:val="13610A7C"/>
    <w:rsid w:val="1370511E"/>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03053"/>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850115"/>
    <w:rsid w:val="169E0BEA"/>
    <w:rsid w:val="16A3744A"/>
    <w:rsid w:val="16AF7EFC"/>
    <w:rsid w:val="16D00899"/>
    <w:rsid w:val="16DD2BAC"/>
    <w:rsid w:val="16F70EB5"/>
    <w:rsid w:val="17197085"/>
    <w:rsid w:val="172460AC"/>
    <w:rsid w:val="172B1987"/>
    <w:rsid w:val="172F68A1"/>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83A30"/>
    <w:rsid w:val="188C7694"/>
    <w:rsid w:val="18A94431"/>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446818"/>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34AB0"/>
    <w:rsid w:val="1AEF625F"/>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7F3E27"/>
    <w:rsid w:val="1C87757C"/>
    <w:rsid w:val="1C911F05"/>
    <w:rsid w:val="1C9232F2"/>
    <w:rsid w:val="1C943E77"/>
    <w:rsid w:val="1C993860"/>
    <w:rsid w:val="1CA06DAD"/>
    <w:rsid w:val="1CB517E1"/>
    <w:rsid w:val="1CBF5FD1"/>
    <w:rsid w:val="1CC07FCD"/>
    <w:rsid w:val="1CCD060E"/>
    <w:rsid w:val="1CD4109A"/>
    <w:rsid w:val="1CDE3631"/>
    <w:rsid w:val="1CE814D1"/>
    <w:rsid w:val="1CF0718B"/>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F6F58"/>
    <w:rsid w:val="1DFC5003"/>
    <w:rsid w:val="1E2527AC"/>
    <w:rsid w:val="1E2A3F9F"/>
    <w:rsid w:val="1E5D1F46"/>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43B9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9C12E2"/>
    <w:rsid w:val="22AC6E9D"/>
    <w:rsid w:val="22AF6B28"/>
    <w:rsid w:val="22BF1959"/>
    <w:rsid w:val="22FE3A70"/>
    <w:rsid w:val="23007343"/>
    <w:rsid w:val="23056708"/>
    <w:rsid w:val="230A1D1E"/>
    <w:rsid w:val="230F3D0A"/>
    <w:rsid w:val="231D1CA3"/>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91825"/>
    <w:rsid w:val="248E0BEE"/>
    <w:rsid w:val="249222CA"/>
    <w:rsid w:val="249B49DE"/>
    <w:rsid w:val="24B056E4"/>
    <w:rsid w:val="24CC572F"/>
    <w:rsid w:val="24CF65FC"/>
    <w:rsid w:val="24D258A5"/>
    <w:rsid w:val="24DA6A74"/>
    <w:rsid w:val="24DB4BCD"/>
    <w:rsid w:val="24DD54EC"/>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3E55A9"/>
    <w:rsid w:val="284C64E6"/>
    <w:rsid w:val="2852403A"/>
    <w:rsid w:val="285F673E"/>
    <w:rsid w:val="28644CCA"/>
    <w:rsid w:val="28687E65"/>
    <w:rsid w:val="28732D83"/>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45D77"/>
    <w:rsid w:val="2A4926C2"/>
    <w:rsid w:val="2A4B107A"/>
    <w:rsid w:val="2A4D2BFD"/>
    <w:rsid w:val="2A530EDF"/>
    <w:rsid w:val="2A574428"/>
    <w:rsid w:val="2A5F6992"/>
    <w:rsid w:val="2A7949E3"/>
    <w:rsid w:val="2A80647C"/>
    <w:rsid w:val="2A8E62B6"/>
    <w:rsid w:val="2A9572CC"/>
    <w:rsid w:val="2AA9206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92A30"/>
    <w:rsid w:val="2F0C331C"/>
    <w:rsid w:val="2F0F1794"/>
    <w:rsid w:val="2F176141"/>
    <w:rsid w:val="2F1A0856"/>
    <w:rsid w:val="2F2443BA"/>
    <w:rsid w:val="2F2B5B05"/>
    <w:rsid w:val="2F475C7E"/>
    <w:rsid w:val="2F486024"/>
    <w:rsid w:val="2F523B34"/>
    <w:rsid w:val="2F5E78CC"/>
    <w:rsid w:val="2F681310"/>
    <w:rsid w:val="2F6C283B"/>
    <w:rsid w:val="2F743B89"/>
    <w:rsid w:val="2F7D70BA"/>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390D84"/>
    <w:rsid w:val="304863A9"/>
    <w:rsid w:val="306C4DF1"/>
    <w:rsid w:val="30726790"/>
    <w:rsid w:val="30801AC4"/>
    <w:rsid w:val="30823D65"/>
    <w:rsid w:val="30831C53"/>
    <w:rsid w:val="308E438B"/>
    <w:rsid w:val="30A43A04"/>
    <w:rsid w:val="30C87FB8"/>
    <w:rsid w:val="30CB1DAF"/>
    <w:rsid w:val="30D616E4"/>
    <w:rsid w:val="30E90E2B"/>
    <w:rsid w:val="30ED02EA"/>
    <w:rsid w:val="30FF267A"/>
    <w:rsid w:val="30FF594C"/>
    <w:rsid w:val="310A2A14"/>
    <w:rsid w:val="310F59F0"/>
    <w:rsid w:val="31395BA8"/>
    <w:rsid w:val="3141666D"/>
    <w:rsid w:val="31422C6A"/>
    <w:rsid w:val="31480833"/>
    <w:rsid w:val="314B14BF"/>
    <w:rsid w:val="3158219E"/>
    <w:rsid w:val="316D537E"/>
    <w:rsid w:val="31716348"/>
    <w:rsid w:val="317355F2"/>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2E1CAB"/>
    <w:rsid w:val="33316646"/>
    <w:rsid w:val="333A06E2"/>
    <w:rsid w:val="33462B8C"/>
    <w:rsid w:val="33491C13"/>
    <w:rsid w:val="335E45B2"/>
    <w:rsid w:val="33680D19"/>
    <w:rsid w:val="33691E57"/>
    <w:rsid w:val="336E025D"/>
    <w:rsid w:val="336F654B"/>
    <w:rsid w:val="33735D99"/>
    <w:rsid w:val="33736E76"/>
    <w:rsid w:val="337570A4"/>
    <w:rsid w:val="33833CFC"/>
    <w:rsid w:val="3384016F"/>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1D4A3F"/>
    <w:rsid w:val="3429350C"/>
    <w:rsid w:val="343C76C2"/>
    <w:rsid w:val="343D0166"/>
    <w:rsid w:val="343D6C24"/>
    <w:rsid w:val="345873A9"/>
    <w:rsid w:val="347C5D20"/>
    <w:rsid w:val="348C4EDB"/>
    <w:rsid w:val="34997F68"/>
    <w:rsid w:val="349D6F1D"/>
    <w:rsid w:val="34AF7CC9"/>
    <w:rsid w:val="34B14942"/>
    <w:rsid w:val="34C87463"/>
    <w:rsid w:val="34DB376C"/>
    <w:rsid w:val="34DF500B"/>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877D1"/>
    <w:rsid w:val="362F026F"/>
    <w:rsid w:val="36371201"/>
    <w:rsid w:val="363720E3"/>
    <w:rsid w:val="3639711B"/>
    <w:rsid w:val="363E765D"/>
    <w:rsid w:val="363F1E28"/>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4F0AA8"/>
    <w:rsid w:val="3A543DA5"/>
    <w:rsid w:val="3A5576B6"/>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6049CB"/>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64ECC"/>
    <w:rsid w:val="3D990E61"/>
    <w:rsid w:val="3DA327E5"/>
    <w:rsid w:val="3DA908AC"/>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45AB7"/>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07B43"/>
    <w:rsid w:val="45357C2D"/>
    <w:rsid w:val="453A003B"/>
    <w:rsid w:val="45467C1A"/>
    <w:rsid w:val="45523E0A"/>
    <w:rsid w:val="45603F46"/>
    <w:rsid w:val="45783434"/>
    <w:rsid w:val="45784EE5"/>
    <w:rsid w:val="457C33A8"/>
    <w:rsid w:val="458804FE"/>
    <w:rsid w:val="458D57CB"/>
    <w:rsid w:val="4595726A"/>
    <w:rsid w:val="45C67177"/>
    <w:rsid w:val="45D048BE"/>
    <w:rsid w:val="45DE626C"/>
    <w:rsid w:val="45EB660D"/>
    <w:rsid w:val="45F13477"/>
    <w:rsid w:val="45FD7B3D"/>
    <w:rsid w:val="460A10C2"/>
    <w:rsid w:val="461214CC"/>
    <w:rsid w:val="46220C85"/>
    <w:rsid w:val="46230254"/>
    <w:rsid w:val="46244F73"/>
    <w:rsid w:val="46287B26"/>
    <w:rsid w:val="462A00B0"/>
    <w:rsid w:val="462D24EF"/>
    <w:rsid w:val="463B406B"/>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1D3F"/>
    <w:rsid w:val="478A7058"/>
    <w:rsid w:val="47941208"/>
    <w:rsid w:val="47A101B2"/>
    <w:rsid w:val="47AB5220"/>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C54DE5"/>
    <w:rsid w:val="4BC56755"/>
    <w:rsid w:val="4BCB7306"/>
    <w:rsid w:val="4BD52968"/>
    <w:rsid w:val="4BD91D02"/>
    <w:rsid w:val="4BE2600E"/>
    <w:rsid w:val="4BE57820"/>
    <w:rsid w:val="4BF657A1"/>
    <w:rsid w:val="4BFB7B74"/>
    <w:rsid w:val="4C0457A1"/>
    <w:rsid w:val="4C2070A8"/>
    <w:rsid w:val="4C3F2C78"/>
    <w:rsid w:val="4C42244E"/>
    <w:rsid w:val="4C437DCE"/>
    <w:rsid w:val="4C6D3DA8"/>
    <w:rsid w:val="4C727CFA"/>
    <w:rsid w:val="4C88081B"/>
    <w:rsid w:val="4C8872A2"/>
    <w:rsid w:val="4C9C19F3"/>
    <w:rsid w:val="4CA47183"/>
    <w:rsid w:val="4CB7606E"/>
    <w:rsid w:val="4CDE1861"/>
    <w:rsid w:val="4CF17B79"/>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46BF3"/>
    <w:rsid w:val="4DE61D12"/>
    <w:rsid w:val="4DF1146E"/>
    <w:rsid w:val="4DF53699"/>
    <w:rsid w:val="4DF82017"/>
    <w:rsid w:val="4E0E661C"/>
    <w:rsid w:val="4E1028CD"/>
    <w:rsid w:val="4E1E3790"/>
    <w:rsid w:val="4E2E44B5"/>
    <w:rsid w:val="4E4C57ED"/>
    <w:rsid w:val="4E5505A6"/>
    <w:rsid w:val="4E820BD8"/>
    <w:rsid w:val="4E874C8C"/>
    <w:rsid w:val="4E8D729C"/>
    <w:rsid w:val="4E8E1C0C"/>
    <w:rsid w:val="4E9609D8"/>
    <w:rsid w:val="4E98004C"/>
    <w:rsid w:val="4EA5208F"/>
    <w:rsid w:val="4EAB722A"/>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61649"/>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AF798B"/>
    <w:rsid w:val="55C91693"/>
    <w:rsid w:val="55CA70E8"/>
    <w:rsid w:val="55ED4967"/>
    <w:rsid w:val="55F350C4"/>
    <w:rsid w:val="561B14C6"/>
    <w:rsid w:val="561B7A15"/>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212E09"/>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11B6E"/>
    <w:rsid w:val="58743A0C"/>
    <w:rsid w:val="58795D80"/>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7C0F56"/>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562501"/>
    <w:rsid w:val="6256299E"/>
    <w:rsid w:val="62574D95"/>
    <w:rsid w:val="62583769"/>
    <w:rsid w:val="62586747"/>
    <w:rsid w:val="626C60B7"/>
    <w:rsid w:val="62746498"/>
    <w:rsid w:val="62922E0D"/>
    <w:rsid w:val="62982A5C"/>
    <w:rsid w:val="6299063F"/>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8739F"/>
    <w:rsid w:val="6389099E"/>
    <w:rsid w:val="63954DAA"/>
    <w:rsid w:val="63C74AA3"/>
    <w:rsid w:val="63D87748"/>
    <w:rsid w:val="63DE2EEF"/>
    <w:rsid w:val="63E8362C"/>
    <w:rsid w:val="63F16145"/>
    <w:rsid w:val="64024CFF"/>
    <w:rsid w:val="641D22DD"/>
    <w:rsid w:val="64426DE8"/>
    <w:rsid w:val="64542A70"/>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1F70AE"/>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DE592A"/>
    <w:rsid w:val="66F0016C"/>
    <w:rsid w:val="66FA0812"/>
    <w:rsid w:val="66FB2BD0"/>
    <w:rsid w:val="66FC2971"/>
    <w:rsid w:val="670008EB"/>
    <w:rsid w:val="67103ED9"/>
    <w:rsid w:val="67262B05"/>
    <w:rsid w:val="672C7CD4"/>
    <w:rsid w:val="673646AF"/>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456B9A"/>
    <w:rsid w:val="69481344"/>
    <w:rsid w:val="695700E3"/>
    <w:rsid w:val="695B2625"/>
    <w:rsid w:val="6980516E"/>
    <w:rsid w:val="698B51FD"/>
    <w:rsid w:val="69960468"/>
    <w:rsid w:val="69977CA6"/>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84AE2"/>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DC7C7D"/>
    <w:rsid w:val="6CE8212C"/>
    <w:rsid w:val="6CED6224"/>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677016"/>
    <w:rsid w:val="72860473"/>
    <w:rsid w:val="7299364D"/>
    <w:rsid w:val="72C16C93"/>
    <w:rsid w:val="72D134DE"/>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251C4"/>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706F8"/>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D74EAB"/>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533A52"/>
    <w:rsid w:val="7D5B43D0"/>
    <w:rsid w:val="7D6243C6"/>
    <w:rsid w:val="7D76523E"/>
    <w:rsid w:val="7D78086B"/>
    <w:rsid w:val="7D781E69"/>
    <w:rsid w:val="7D7B5075"/>
    <w:rsid w:val="7D830F81"/>
    <w:rsid w:val="7D832173"/>
    <w:rsid w:val="7D8A3C14"/>
    <w:rsid w:val="7D8C5B06"/>
    <w:rsid w:val="7D934401"/>
    <w:rsid w:val="7D953960"/>
    <w:rsid w:val="7D961406"/>
    <w:rsid w:val="7DA56991"/>
    <w:rsid w:val="7DA623C2"/>
    <w:rsid w:val="7DA737B9"/>
    <w:rsid w:val="7DB639FC"/>
    <w:rsid w:val="7DC32984"/>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2"/>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4"/>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2"/>
    <w:autoRedefine/>
    <w:qFormat/>
    <w:uiPriority w:val="0"/>
    <w:pPr>
      <w:jc w:val="left"/>
    </w:pPr>
    <w:rPr>
      <w:rFonts w:ascii="黑体" w:hAnsi="黑体" w:eastAsia="黑体"/>
      <w:sz w:val="21"/>
    </w:rPr>
  </w:style>
  <w:style w:type="paragraph" w:customStyle="1" w:styleId="80">
    <w:name w:val="样式4"/>
    <w:basedOn w:val="4"/>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4"/>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4"/>
    <w:autoRedefine/>
    <w:qFormat/>
    <w:uiPriority w:val="0"/>
    <w:rPr>
      <w:rFonts w:eastAsia="Arial"/>
    </w:rPr>
  </w:style>
  <w:style w:type="paragraph" w:customStyle="1" w:styleId="98">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4"/>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3"/>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0"/>
    <w:basedOn w:val="48"/>
    <w:qFormat/>
    <w:uiPriority w:val="0"/>
    <w:rPr>
      <w:rFonts w:hint="default" w:ascii="Times New Roman" w:hAnsi="Times New Roman" w:cs="Times New Roman"/>
    </w:rPr>
  </w:style>
  <w:style w:type="character" w:customStyle="1" w:styleId="216">
    <w:name w:val="15"/>
    <w:basedOn w:val="4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86</Pages>
  <Words>252</Words>
  <Characters>263</Characters>
  <Lines>1</Lines>
  <Paragraphs>1</Paragraphs>
  <TotalTime>0</TotalTime>
  <ScaleCrop>false</ScaleCrop>
  <LinksUpToDate>false</LinksUpToDate>
  <CharactersWithSpaces>314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2024-11-21T09:55:59Z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95248C297B074D279B4E083AF9E40C6B_13</vt:lpwstr>
  </property>
</Properties>
</file>