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15" w:rightChars="-150"/>
        <w:jc w:val="center"/>
        <w:rPr>
          <w:rFonts w:ascii="仿宋" w:hAnsi="仿宋" w:eastAsia="仿宋" w:cs="仿宋"/>
          <w:b/>
          <w:bCs/>
          <w:color w:val="auto"/>
          <w:sz w:val="92"/>
          <w:szCs w:val="92"/>
          <w:highlight w:val="none"/>
          <w:u w:val="single"/>
          <w:vertAlign w:val="subscrip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 w:hAnsi="仿宋" w:eastAsia="仿宋" w:cs="仿宋"/>
          <w:b/>
          <w:bCs/>
          <w:color w:val="auto"/>
          <w:sz w:val="40"/>
          <w:szCs w:val="40"/>
          <w:highlight w:val="none"/>
          <w:lang w:val="en-US" w:eastAsia="zh-CN"/>
        </w:rPr>
      </w:pPr>
      <w:r>
        <w:rPr>
          <w:rFonts w:hint="eastAsia" w:ascii="宋体" w:hAnsi="宋体" w:eastAsia="仿宋" w:cs="宋体"/>
          <w:b/>
          <w:bCs/>
          <w:color w:val="auto"/>
          <w:spacing w:val="-10"/>
          <w:sz w:val="40"/>
          <w:szCs w:val="40"/>
          <w:highlight w:val="none"/>
          <w:lang w:eastAsia="zh-CN"/>
        </w:rPr>
        <w:t>安徽全椒马塘湖建筑石料用灰岩矿年产900万吨骨料加工(一期</w:t>
      </w:r>
      <w:bookmarkStart w:id="154" w:name="_GoBack"/>
      <w:bookmarkEnd w:id="154"/>
      <w:r>
        <w:rPr>
          <w:rFonts w:hint="eastAsia" w:ascii="宋体" w:hAnsi="宋体" w:eastAsia="仿宋" w:cs="宋体"/>
          <w:b/>
          <w:bCs/>
          <w:color w:val="auto"/>
          <w:spacing w:val="-10"/>
          <w:sz w:val="40"/>
          <w:szCs w:val="40"/>
          <w:highlight w:val="none"/>
          <w:lang w:eastAsia="zh-CN"/>
        </w:rPr>
        <w:t>）EPC项目结算复审</w:t>
      </w:r>
    </w:p>
    <w:p>
      <w:pPr>
        <w:spacing w:line="400" w:lineRule="atLeast"/>
        <w:jc w:val="center"/>
        <w:rPr>
          <w:rFonts w:hint="eastAsia" w:ascii="宋体" w:hAnsi="宋体" w:cs="宋体"/>
          <w:b/>
          <w:bCs/>
          <w:color w:val="auto"/>
          <w:sz w:val="72"/>
          <w:szCs w:val="72"/>
          <w:highlight w:val="none"/>
        </w:rPr>
      </w:pPr>
    </w:p>
    <w:p>
      <w:pPr>
        <w:spacing w:line="400" w:lineRule="atLeast"/>
        <w:jc w:val="center"/>
        <w:rPr>
          <w:rFonts w:hint="eastAsia" w:ascii="宋体" w:hAnsi="宋体" w:cs="宋体"/>
          <w:b/>
          <w:bCs/>
          <w:color w:val="auto"/>
          <w:sz w:val="72"/>
          <w:szCs w:val="72"/>
          <w:highlight w:val="none"/>
        </w:rPr>
      </w:pPr>
    </w:p>
    <w:p>
      <w:pPr>
        <w:spacing w:line="400" w:lineRule="atLeast"/>
        <w:jc w:val="center"/>
        <w:rPr>
          <w:rFonts w:ascii="仿宋" w:hAnsi="仿宋" w:eastAsia="仿宋" w:cs="仿宋"/>
          <w:b/>
          <w:bCs/>
          <w:color w:val="auto"/>
          <w:sz w:val="72"/>
          <w:szCs w:val="72"/>
          <w:highlight w:val="none"/>
        </w:rPr>
      </w:pPr>
      <w:r>
        <w:rPr>
          <w:rFonts w:hint="eastAsia" w:ascii="宋体" w:hAnsi="宋体" w:cs="宋体"/>
          <w:b/>
          <w:bCs/>
          <w:color w:val="auto"/>
          <w:sz w:val="72"/>
          <w:szCs w:val="72"/>
          <w:highlight w:val="none"/>
        </w:rPr>
        <w:t>招标文件</w:t>
      </w:r>
    </w:p>
    <w:p>
      <w:pPr>
        <w:spacing w:line="480" w:lineRule="exact"/>
        <w:rPr>
          <w:rFonts w:ascii="仿宋" w:hAnsi="仿宋" w:eastAsia="仿宋" w:cs="仿宋"/>
          <w:b/>
          <w:bCs/>
          <w:color w:val="auto"/>
          <w:sz w:val="44"/>
          <w:szCs w:val="44"/>
          <w:highlight w:val="none"/>
        </w:rPr>
      </w:pPr>
    </w:p>
    <w:p>
      <w:pPr>
        <w:spacing w:line="480" w:lineRule="exact"/>
        <w:ind w:firstLine="643" w:firstLineChars="200"/>
        <w:jc w:val="center"/>
        <w:rPr>
          <w:rFonts w:ascii="仿宋" w:hAnsi="仿宋" w:eastAsia="仿宋" w:cs="仿宋"/>
          <w:b/>
          <w:bCs/>
          <w:color w:val="auto"/>
          <w:sz w:val="32"/>
          <w:szCs w:val="32"/>
          <w:highlight w:val="none"/>
        </w:rPr>
      </w:pPr>
    </w:p>
    <w:p>
      <w:pPr>
        <w:spacing w:line="480" w:lineRule="exact"/>
        <w:ind w:firstLine="472" w:firstLineChars="147"/>
        <w:rPr>
          <w:rFonts w:ascii="仿宋" w:hAnsi="仿宋" w:eastAsia="仿宋" w:cs="仿宋"/>
          <w:b/>
          <w:bCs/>
          <w:color w:val="auto"/>
          <w:sz w:val="32"/>
          <w:szCs w:val="32"/>
          <w:highlight w:val="none"/>
        </w:rPr>
      </w:pPr>
    </w:p>
    <w:p>
      <w:pPr>
        <w:pStyle w:val="3"/>
        <w:rPr>
          <w:color w:val="auto"/>
          <w:highlight w:val="none"/>
        </w:rPr>
      </w:pPr>
    </w:p>
    <w:p>
      <w:pPr>
        <w:rPr>
          <w:color w:val="auto"/>
          <w:highlight w:val="none"/>
        </w:rPr>
      </w:pPr>
    </w:p>
    <w:p>
      <w:pPr>
        <w:wordWrap w:val="0"/>
        <w:spacing w:line="700" w:lineRule="exact"/>
        <w:ind w:right="480" w:firstLine="321" w:firstLineChars="100"/>
        <w:rPr>
          <w:rFonts w:ascii="宋体" w:cs="宋体"/>
          <w:b/>
          <w:bCs/>
          <w:color w:val="auto"/>
          <w:sz w:val="32"/>
          <w:highlight w:val="none"/>
        </w:rPr>
      </w:pPr>
      <w:r>
        <w:rPr>
          <w:rFonts w:hint="eastAsia" w:ascii="宋体" w:cs="宋体"/>
          <w:b/>
          <w:bCs/>
          <w:color w:val="auto"/>
          <w:sz w:val="32"/>
          <w:highlight w:val="none"/>
        </w:rPr>
        <w:t>招标单位</w:t>
      </w:r>
      <w:r>
        <w:rPr>
          <w:rFonts w:ascii="宋体" w:cs="宋体"/>
          <w:b/>
          <w:bCs/>
          <w:color w:val="auto"/>
          <w:sz w:val="32"/>
          <w:highlight w:val="none"/>
        </w:rPr>
        <w:t xml:space="preserve"> </w:t>
      </w:r>
      <w:r>
        <w:rPr>
          <w:rFonts w:hint="eastAsia" w:ascii="宋体" w:cs="宋体"/>
          <w:b/>
          <w:bCs/>
          <w:color w:val="auto"/>
          <w:sz w:val="32"/>
          <w:highlight w:val="none"/>
        </w:rPr>
        <w:t>：</w:t>
      </w:r>
      <w:r>
        <w:rPr>
          <w:rFonts w:ascii="宋体" w:cs="宋体"/>
          <w:b/>
          <w:bCs/>
          <w:color w:val="auto"/>
          <w:sz w:val="32"/>
          <w:highlight w:val="none"/>
          <w:u w:val="single"/>
        </w:rPr>
        <w:t xml:space="preserve"> </w:t>
      </w:r>
      <w:r>
        <w:rPr>
          <w:rFonts w:hint="eastAsia" w:ascii="宋体" w:cs="宋体"/>
          <w:b/>
          <w:bCs/>
          <w:color w:val="auto"/>
          <w:sz w:val="32"/>
          <w:highlight w:val="none"/>
          <w:u w:val="single"/>
        </w:rPr>
        <w:t xml:space="preserve">  滁州市兴滁矿业投资集团有限公司</w:t>
      </w:r>
      <w:r>
        <w:rPr>
          <w:rFonts w:hint="eastAsia" w:ascii="宋体" w:cs="宋体"/>
          <w:b/>
          <w:bCs/>
          <w:color w:val="auto"/>
          <w:sz w:val="30"/>
          <w:szCs w:val="30"/>
          <w:highlight w:val="none"/>
          <w:u w:val="single"/>
        </w:rPr>
        <w:t xml:space="preserve">   </w:t>
      </w:r>
      <w:r>
        <w:rPr>
          <w:rFonts w:ascii="宋体" w:cs="宋体"/>
          <w:b/>
          <w:bCs/>
          <w:color w:val="auto"/>
          <w:sz w:val="30"/>
          <w:szCs w:val="30"/>
          <w:highlight w:val="none"/>
          <w:u w:val="single"/>
        </w:rPr>
        <w:t xml:space="preserve"> </w:t>
      </w:r>
      <w:r>
        <w:rPr>
          <w:rFonts w:hint="eastAsia" w:ascii="宋体" w:cs="宋体"/>
          <w:b/>
          <w:bCs/>
          <w:color w:val="auto"/>
          <w:sz w:val="32"/>
          <w:highlight w:val="none"/>
          <w:u w:val="single"/>
        </w:rPr>
        <w:t>（盖章）</w:t>
      </w:r>
    </w:p>
    <w:p>
      <w:pPr>
        <w:spacing w:line="700" w:lineRule="exact"/>
        <w:ind w:firstLine="321" w:firstLineChars="100"/>
        <w:rPr>
          <w:rFonts w:ascii="宋体" w:cs="宋体"/>
          <w:b/>
          <w:bCs/>
          <w:color w:val="auto"/>
          <w:sz w:val="32"/>
          <w:highlight w:val="none"/>
        </w:rPr>
      </w:pPr>
    </w:p>
    <w:p>
      <w:pPr>
        <w:spacing w:line="700" w:lineRule="exact"/>
        <w:ind w:firstLine="321" w:firstLineChars="100"/>
        <w:outlineLvl w:val="0"/>
        <w:rPr>
          <w:rFonts w:ascii="宋体" w:cs="宋体"/>
          <w:b/>
          <w:bCs/>
          <w:color w:val="auto"/>
          <w:sz w:val="32"/>
          <w:highlight w:val="none"/>
          <w:u w:val="single"/>
        </w:rPr>
      </w:pPr>
      <w:bookmarkStart w:id="0" w:name="_Toc13101"/>
      <w:bookmarkStart w:id="1" w:name="_Toc7956"/>
      <w:bookmarkStart w:id="2" w:name="_Toc10545"/>
      <w:r>
        <w:rPr>
          <w:rFonts w:hint="eastAsia" w:ascii="宋体" w:cs="宋体"/>
          <w:b/>
          <w:bCs/>
          <w:color w:val="auto"/>
          <w:sz w:val="32"/>
          <w:highlight w:val="none"/>
        </w:rPr>
        <w:t>代理机构：</w:t>
      </w:r>
      <w:r>
        <w:rPr>
          <w:rFonts w:ascii="宋体" w:cs="宋体"/>
          <w:b/>
          <w:bCs/>
          <w:color w:val="auto"/>
          <w:sz w:val="32"/>
          <w:highlight w:val="none"/>
          <w:u w:val="single"/>
        </w:rPr>
        <w:t xml:space="preserve">    </w:t>
      </w:r>
      <w:r>
        <w:rPr>
          <w:rFonts w:hint="eastAsia" w:ascii="宋体" w:cs="宋体"/>
          <w:b/>
          <w:bCs/>
          <w:color w:val="auto"/>
          <w:sz w:val="32"/>
          <w:highlight w:val="none"/>
          <w:u w:val="single"/>
        </w:rPr>
        <w:t>滁州市城投工程咨询管理有限公司</w:t>
      </w:r>
      <w:r>
        <w:rPr>
          <w:rFonts w:ascii="宋体" w:cs="宋体"/>
          <w:b/>
          <w:bCs/>
          <w:color w:val="auto"/>
          <w:sz w:val="32"/>
          <w:highlight w:val="none"/>
          <w:u w:val="single"/>
        </w:rPr>
        <w:t xml:space="preserve"> </w:t>
      </w:r>
      <w:r>
        <w:rPr>
          <w:rFonts w:hint="eastAsia" w:ascii="宋体" w:cs="宋体"/>
          <w:b/>
          <w:bCs/>
          <w:color w:val="auto"/>
          <w:sz w:val="32"/>
          <w:highlight w:val="none"/>
          <w:u w:val="single"/>
        </w:rPr>
        <w:t>（盖章）</w:t>
      </w:r>
      <w:bookmarkEnd w:id="0"/>
      <w:bookmarkEnd w:id="1"/>
      <w:bookmarkEnd w:id="2"/>
    </w:p>
    <w:p>
      <w:pPr>
        <w:spacing w:line="700" w:lineRule="exact"/>
        <w:ind w:firstLine="4016" w:firstLineChars="1250"/>
        <w:rPr>
          <w:rFonts w:ascii="宋体" w:cs="宋体"/>
          <w:b/>
          <w:bCs/>
          <w:color w:val="auto"/>
          <w:sz w:val="32"/>
          <w:highlight w:val="none"/>
          <w:u w:val="single"/>
        </w:rPr>
      </w:pPr>
    </w:p>
    <w:p>
      <w:pPr>
        <w:spacing w:line="700" w:lineRule="exact"/>
        <w:ind w:firstLine="4016" w:firstLineChars="1250"/>
        <w:rPr>
          <w:rFonts w:hint="default" w:ascii="宋体" w:eastAsia="宋体" w:cs="宋体"/>
          <w:b/>
          <w:bCs/>
          <w:color w:val="auto"/>
          <w:spacing w:val="20"/>
          <w:sz w:val="32"/>
          <w:szCs w:val="32"/>
          <w:highlight w:val="none"/>
          <w:lang w:val="en-US" w:eastAsia="zh-CN"/>
        </w:rPr>
      </w:pPr>
      <w:r>
        <w:rPr>
          <w:rFonts w:ascii="宋体" w:cs="宋体"/>
          <w:b/>
          <w:bCs/>
          <w:color w:val="auto"/>
          <w:sz w:val="32"/>
          <w:highlight w:val="none"/>
          <w:u w:val="single"/>
        </w:rPr>
        <w:t>202</w:t>
      </w:r>
      <w:r>
        <w:rPr>
          <w:rFonts w:hint="eastAsia" w:ascii="宋体" w:cs="宋体"/>
          <w:b/>
          <w:bCs/>
          <w:color w:val="auto"/>
          <w:sz w:val="32"/>
          <w:highlight w:val="none"/>
          <w:u w:val="single"/>
          <w:lang w:val="en-US" w:eastAsia="zh-CN"/>
        </w:rPr>
        <w:t>4</w:t>
      </w:r>
      <w:r>
        <w:rPr>
          <w:rFonts w:ascii="宋体" w:cs="宋体"/>
          <w:b/>
          <w:bCs/>
          <w:color w:val="auto"/>
          <w:sz w:val="32"/>
          <w:highlight w:val="none"/>
          <w:u w:val="single"/>
        </w:rPr>
        <w:t xml:space="preserve"> </w:t>
      </w:r>
      <w:r>
        <w:rPr>
          <w:rFonts w:hint="eastAsia" w:ascii="宋体" w:cs="宋体"/>
          <w:b/>
          <w:bCs/>
          <w:color w:val="auto"/>
          <w:sz w:val="32"/>
          <w:highlight w:val="none"/>
        </w:rPr>
        <w:t>年</w:t>
      </w:r>
      <w:r>
        <w:rPr>
          <w:rFonts w:ascii="宋体" w:cs="宋体"/>
          <w:b/>
          <w:bCs/>
          <w:color w:val="auto"/>
          <w:sz w:val="32"/>
          <w:highlight w:val="none"/>
          <w:u w:val="single"/>
        </w:rPr>
        <w:t xml:space="preserve"> </w:t>
      </w:r>
      <w:r>
        <w:rPr>
          <w:rFonts w:hint="eastAsia" w:ascii="宋体" w:cs="宋体"/>
          <w:b/>
          <w:bCs/>
          <w:color w:val="auto"/>
          <w:sz w:val="32"/>
          <w:highlight w:val="none"/>
          <w:u w:val="single"/>
          <w:lang w:val="en-US" w:eastAsia="zh-CN"/>
        </w:rPr>
        <w:t>12</w:t>
      </w:r>
      <w:r>
        <w:rPr>
          <w:rFonts w:hint="eastAsia" w:ascii="宋体" w:cs="宋体"/>
          <w:b/>
          <w:bCs/>
          <w:color w:val="auto"/>
          <w:sz w:val="32"/>
          <w:highlight w:val="none"/>
        </w:rPr>
        <w:t>月</w:t>
      </w:r>
      <w:r>
        <w:rPr>
          <w:rFonts w:hint="eastAsia" w:ascii="宋体" w:cs="宋体"/>
          <w:b/>
          <w:bCs/>
          <w:color w:val="auto"/>
          <w:sz w:val="32"/>
          <w:highlight w:val="none"/>
          <w:u w:val="single"/>
          <w:lang w:val="en-US" w:eastAsia="zh-CN"/>
        </w:rPr>
        <w:t xml:space="preserve"> 20 </w:t>
      </w:r>
      <w:r>
        <w:rPr>
          <w:rFonts w:hint="eastAsia" w:ascii="宋体" w:cs="宋体"/>
          <w:b/>
          <w:bCs/>
          <w:color w:val="auto"/>
          <w:sz w:val="32"/>
          <w:highlight w:val="none"/>
          <w:lang w:val="en-US" w:eastAsia="zh-CN"/>
        </w:rPr>
        <w:t>日</w:t>
      </w:r>
    </w:p>
    <w:p>
      <w:pPr>
        <w:spacing w:line="700" w:lineRule="exact"/>
        <w:rPr>
          <w:rFonts w:ascii="宋体"/>
          <w:color w:val="auto"/>
          <w:highlight w:val="none"/>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pPr>
        <w:spacing w:line="700" w:lineRule="exact"/>
        <w:jc w:val="center"/>
        <w:rPr>
          <w:rFonts w:ascii="宋体" w:hAnsi="宋体" w:cs="宋体"/>
          <w:b/>
          <w:bCs/>
          <w:color w:val="auto"/>
          <w:highlight w:val="none"/>
        </w:rPr>
      </w:pPr>
    </w:p>
    <w:p>
      <w:pPr>
        <w:spacing w:line="7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sdt>
      <w:sdtPr>
        <w:rPr>
          <w:rFonts w:ascii="宋体" w:hAnsi="宋体"/>
          <w:b/>
          <w:bCs/>
          <w:color w:val="auto"/>
          <w:highlight w:val="none"/>
        </w:rPr>
        <w:id w:val="147454049"/>
        <w15:color w:val="DBDBDB"/>
        <w:docPartObj>
          <w:docPartGallery w:val="Table of Contents"/>
          <w:docPartUnique/>
        </w:docPartObj>
      </w:sdtPr>
      <w:sdtEndPr>
        <w:rPr>
          <w:rFonts w:hint="eastAsia" w:ascii="Times New Roman" w:hAnsi="Times New Roman"/>
          <w:b/>
          <w:bCs/>
          <w:color w:val="auto"/>
          <w:sz w:val="28"/>
          <w:szCs w:val="28"/>
          <w:highlight w:val="none"/>
        </w:rPr>
      </w:sdtEndPr>
      <w:sdtContent>
        <w:p>
          <w:pPr>
            <w:jc w:val="center"/>
            <w:rPr>
              <w:color w:val="auto"/>
              <w:highlight w:val="none"/>
            </w:rPr>
          </w:pPr>
        </w:p>
        <w:p>
          <w:pPr>
            <w:pStyle w:val="30"/>
            <w:tabs>
              <w:tab w:val="right" w:leader="dot" w:pos="9541"/>
              <w:tab w:val="clear" w:pos="829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w:t>
          </w: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32"/>
              <w:highlight w:val="none"/>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第三章 </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评标办法（</w:t>
          </w:r>
          <w:r>
            <w:rPr>
              <w:rFonts w:hint="eastAsia" w:ascii="宋体" w:hAnsi="宋体" w:eastAsia="宋体" w:cs="宋体"/>
              <w:color w:val="auto"/>
              <w:szCs w:val="32"/>
              <w:highlight w:val="none"/>
              <w:lang w:eastAsia="zh-CN"/>
            </w:rPr>
            <w:t>综合评估法</w:t>
          </w:r>
          <w:r>
            <w:rPr>
              <w:rFonts w:hint="eastAsia" w:ascii="宋体" w:hAnsi="宋体" w:eastAsia="宋体" w:cs="宋体"/>
              <w:color w:val="auto"/>
              <w:szCs w:val="32"/>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lang w:val="en-US" w:eastAsia="zh-CN"/>
            </w:rPr>
            <w:t>第四章</w:t>
          </w:r>
          <w:r>
            <w:rPr>
              <w:rFonts w:hint="eastAsia" w:ascii="宋体" w:hAnsi="宋体" w:eastAsia="宋体" w:cs="宋体"/>
              <w:color w:val="auto"/>
              <w:kern w:val="2"/>
              <w:szCs w:val="28"/>
              <w:highlight w:val="none"/>
            </w:rPr>
            <w:t xml:space="preserve">  采购需求及服务要求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_Toc14427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五</w:t>
          </w:r>
          <w:r>
            <w:rPr>
              <w:rFonts w:hint="eastAsia" w:ascii="宋体" w:hAnsi="宋体" w:eastAsia="宋体" w:cs="宋体"/>
              <w:color w:val="auto"/>
              <w:kern w:val="2"/>
              <w:szCs w:val="28"/>
              <w:highlight w:val="none"/>
            </w:rPr>
            <w:t>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_Toc20559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六</w:t>
          </w:r>
          <w:r>
            <w:rPr>
              <w:rFonts w:hint="eastAsia" w:ascii="宋体" w:hAnsi="宋体" w:eastAsia="宋体" w:cs="宋体"/>
              <w:color w:val="auto"/>
              <w:kern w:val="2"/>
              <w:szCs w:val="28"/>
              <w:highlight w:val="none"/>
            </w:rPr>
            <w:t>章投标文件格式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0</w:t>
          </w:r>
        </w:p>
        <w:p>
          <w:pPr>
            <w:pStyle w:val="30"/>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七</w:t>
          </w:r>
          <w:r>
            <w:rPr>
              <w:rFonts w:hint="eastAsia" w:ascii="宋体" w:hAnsi="宋体" w:eastAsia="宋体" w:cs="宋体"/>
              <w:color w:val="auto"/>
              <w:kern w:val="2"/>
              <w:szCs w:val="28"/>
              <w:highlight w:val="none"/>
            </w:rPr>
            <w:t>章招标单位、招标代理机构对本招标文件的确认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8</w:t>
          </w:r>
        </w:p>
        <w:p>
          <w:pPr>
            <w:rPr>
              <w:color w:val="auto"/>
              <w:highlight w:val="none"/>
            </w:rPr>
          </w:pPr>
          <w:r>
            <w:rPr>
              <w:color w:val="auto"/>
              <w:highlight w:val="none"/>
            </w:rPr>
            <w:fldChar w:fldCharType="end"/>
          </w:r>
        </w:p>
        <w:p>
          <w:pPr>
            <w:pStyle w:val="2"/>
            <w:spacing w:before="0" w:after="0" w:line="700" w:lineRule="exact"/>
            <w:rPr>
              <w:rFonts w:ascii="仿宋" w:cs="仿宋"/>
              <w:b w:val="0"/>
              <w:bCs w:val="0"/>
              <w:color w:val="auto"/>
              <w:sz w:val="24"/>
              <w:szCs w:val="24"/>
              <w:highlight w:val="none"/>
            </w:rPr>
          </w:pPr>
        </w:p>
      </w:sdtContent>
    </w:sdt>
    <w:p>
      <w:pPr>
        <w:rPr>
          <w:color w:val="auto"/>
          <w:highlight w:val="none"/>
        </w:r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0"/>
        <w:rPr>
          <w:rFonts w:ascii="宋体" w:hAnsi="宋体" w:cs="宋体"/>
          <w:b/>
          <w:color w:val="auto"/>
          <w:sz w:val="32"/>
          <w:szCs w:val="32"/>
          <w:highlight w:val="none"/>
        </w:rPr>
      </w:pPr>
      <w:bookmarkStart w:id="3" w:name="_Toc24106"/>
      <w:bookmarkStart w:id="4" w:name="_Toc11640"/>
      <w:bookmarkStart w:id="5" w:name="_Toc27970"/>
      <w:r>
        <w:rPr>
          <w:rFonts w:hint="eastAsia" w:ascii="宋体" w:hAnsi="宋体" w:eastAsia="宋体" w:cs="宋体"/>
          <w:b/>
          <w:color w:val="auto"/>
          <w:sz w:val="32"/>
          <w:szCs w:val="32"/>
          <w:highlight w:val="none"/>
        </w:rPr>
        <w:t>第一章</w:t>
      </w:r>
      <w:r>
        <w:rPr>
          <w:rFonts w:hint="eastAsia" w:ascii="宋体" w:hAnsi="宋体" w:cs="宋体"/>
          <w:color w:val="auto"/>
          <w:sz w:val="28"/>
          <w:szCs w:val="28"/>
          <w:highlight w:val="none"/>
        </w:rPr>
        <w:t xml:space="preserve"> </w:t>
      </w:r>
      <w:bookmarkEnd w:id="3"/>
      <w:r>
        <w:rPr>
          <w:rFonts w:hint="eastAsia" w:ascii="宋体" w:hAnsi="宋体" w:cs="宋体"/>
          <w:b/>
          <w:color w:val="auto"/>
          <w:sz w:val="32"/>
          <w:szCs w:val="32"/>
          <w:highlight w:val="none"/>
        </w:rPr>
        <w:t>招标公告</w:t>
      </w:r>
      <w:bookmarkEnd w:id="4"/>
      <w:bookmarkEnd w:id="5"/>
    </w:p>
    <w:p>
      <w:pPr>
        <w:pStyle w:val="3"/>
        <w:numPr>
          <w:ilvl w:val="1"/>
          <w:numId w:val="0"/>
        </w:numPr>
        <w:spacing w:line="400" w:lineRule="exact"/>
        <w:ind w:left="431"/>
        <w:rPr>
          <w:rFonts w:ascii="宋体" w:hAnsi="宋体" w:eastAsia="宋体" w:cs="宋体"/>
          <w:color w:val="auto"/>
          <w:sz w:val="24"/>
          <w:szCs w:val="24"/>
          <w:highlight w:val="none"/>
        </w:rPr>
      </w:pPr>
      <w:bookmarkStart w:id="6" w:name="_Toc35393621"/>
      <w:bookmarkStart w:id="7" w:name="_Toc35393790"/>
      <w:bookmarkStart w:id="8" w:name="_Toc58430305"/>
      <w:bookmarkStart w:id="9" w:name="_Toc28359002"/>
      <w:bookmarkStart w:id="10" w:name="_Toc28359079"/>
      <w:bookmarkStart w:id="11" w:name="_Hlk24379207"/>
      <w:r>
        <w:rPr>
          <w:rFonts w:hint="eastAsia" w:ascii="宋体" w:hAnsi="宋体" w:eastAsia="宋体" w:cs="宋体"/>
          <w:color w:val="auto"/>
          <w:sz w:val="24"/>
          <w:szCs w:val="24"/>
          <w:highlight w:val="none"/>
        </w:rPr>
        <w:t>一、项目基本情况</w:t>
      </w:r>
      <w:bookmarkEnd w:id="6"/>
      <w:bookmarkEnd w:id="7"/>
      <w:bookmarkEnd w:id="8"/>
      <w:bookmarkEnd w:id="9"/>
      <w:bookmarkEnd w:id="10"/>
    </w:p>
    <w:bookmarkEnd w:id="11"/>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2" w:name="_Toc58430306"/>
      <w:bookmarkStart w:id="13" w:name="_Toc28359003"/>
      <w:bookmarkStart w:id="14" w:name="_Toc35393622"/>
      <w:bookmarkStart w:id="15" w:name="_Toc28359080"/>
      <w:bookmarkStart w:id="16" w:name="_Toc35393791"/>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安徽全椒马塘湖建筑石料用灰岩矿年产900万吨骨料加工(一期）EPC项目</w:t>
      </w:r>
      <w:r>
        <w:rPr>
          <w:rFonts w:hint="eastAsia" w:ascii="宋体" w:hAnsi="宋体" w:eastAsia="宋体" w:cs="宋体"/>
          <w:color w:val="auto"/>
          <w:sz w:val="24"/>
          <w:szCs w:val="24"/>
          <w:highlight w:val="none"/>
        </w:rPr>
        <w:t>结算复审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2.项目概况</w:t>
      </w:r>
      <w:r>
        <w:rPr>
          <w:rFonts w:hint="eastAsia" w:ascii="宋体" w:hAnsi="宋体" w:eastAsia="宋体" w:cs="宋体"/>
          <w:color w:val="auto"/>
          <w:sz w:val="24"/>
          <w:szCs w:val="24"/>
          <w:highlight w:val="none"/>
        </w:rPr>
        <w:t>：安徽全椒马塘湖建筑石料用灰岩矿年产900万吨骨料加工(一期）EPC项目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投资</w:t>
      </w:r>
      <w:r>
        <w:rPr>
          <w:rFonts w:hint="eastAsia" w:ascii="宋体" w:hAnsi="宋体" w:eastAsia="宋体" w:cs="宋体"/>
          <w:color w:val="auto"/>
          <w:sz w:val="24"/>
          <w:szCs w:val="24"/>
          <w:highlight w:val="none"/>
        </w:rPr>
        <w:t>约</w:t>
      </w:r>
      <w:r>
        <w:rPr>
          <w:rFonts w:hint="eastAsia" w:ascii="宋体" w:hAnsi="宋体" w:cs="宋体"/>
          <w:color w:val="auto"/>
          <w:sz w:val="24"/>
          <w:szCs w:val="24"/>
          <w:highlight w:val="none"/>
          <w:lang w:val="en-US" w:eastAsia="zh-CN"/>
        </w:rPr>
        <w:t>1.88亿元，审定价157281795.39元；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基本费用</w:t>
      </w:r>
      <w:r>
        <w:rPr>
          <w:rFonts w:hint="eastAsia" w:ascii="宋体" w:hAnsi="宋体" w:cs="宋体"/>
          <w:color w:val="auto"/>
          <w:sz w:val="24"/>
          <w:szCs w:val="24"/>
          <w:highlight w:val="none"/>
          <w:lang w:val="en-US" w:eastAsia="zh-CN"/>
        </w:rPr>
        <w:t>10000元</w:t>
      </w:r>
      <w:r>
        <w:rPr>
          <w:rFonts w:hint="eastAsia" w:ascii="宋体" w:hAnsi="宋体" w:eastAsia="宋体" w:cs="宋体"/>
          <w:color w:val="auto"/>
          <w:sz w:val="24"/>
          <w:szCs w:val="24"/>
          <w:highlight w:val="none"/>
        </w:rPr>
        <w:t>（投标报价保留两位小数，第三位四舍五入）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审核成果费率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%（审核成果费率为不可竞争费率，固定不变），投标单位投标报价不得高于上述基本费率最高限价，否则按无效标处理</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详见招标文件内容</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合同履行期限：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自合同签订之日起至完成对跟审单位全部成果的复核并出具复审报告，复审报告经跟审单位和甲方确认，项目完成竣工结算审核为止。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复审单位在收到跟审单位出具的审核报告</w:t>
      </w:r>
      <w:r>
        <w:rPr>
          <w:rFonts w:hint="eastAsia" w:ascii="宋体" w:hAnsi="宋体" w:cs="宋体"/>
          <w:color w:val="auto"/>
          <w:sz w:val="24"/>
          <w:szCs w:val="24"/>
          <w:highlight w:val="none"/>
          <w:lang w:val="en-US" w:eastAsia="zh-CN"/>
        </w:rPr>
        <w:t>并在资料齐全的情况下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复审报告不超过15个日历天内完成</w:t>
      </w:r>
      <w:r>
        <w:rPr>
          <w:rFonts w:hint="eastAsia" w:ascii="宋体" w:hAnsi="宋体" w:eastAsia="宋体" w:cs="宋体"/>
          <w:color w:val="auto"/>
          <w:sz w:val="24"/>
          <w:szCs w:val="24"/>
          <w:highlight w:val="none"/>
        </w:rPr>
        <w:t>。</w:t>
      </w:r>
    </w:p>
    <w:p>
      <w:pPr>
        <w:pStyle w:val="3"/>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12"/>
      <w:bookmarkEnd w:id="13"/>
      <w:bookmarkEnd w:id="14"/>
      <w:bookmarkEnd w:id="15"/>
      <w:bookmarkEnd w:id="16"/>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7" w:name="_Toc58430307"/>
      <w:bookmarkStart w:id="18" w:name="_Toc28359004"/>
      <w:bookmarkStart w:id="19" w:name="_Toc35393623"/>
      <w:bookmarkStart w:id="20" w:name="_Toc35393792"/>
      <w:bookmarkStart w:id="21" w:name="_Toc28359081"/>
      <w:r>
        <w:rPr>
          <w:rFonts w:hint="eastAsia" w:ascii="宋体" w:hAnsi="宋体" w:eastAsia="宋体" w:cs="宋体"/>
          <w:color w:val="auto"/>
          <w:sz w:val="24"/>
          <w:szCs w:val="24"/>
          <w:highlight w:val="none"/>
        </w:rPr>
        <w:t>1.投标人要求：具有承担本项目相应服务能力的企业；</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rPr>
        <w:t>有效的营业执照、税务登记证、组织机构</w:t>
      </w:r>
      <w:r>
        <w:rPr>
          <w:rFonts w:hint="eastAsia" w:ascii="宋体" w:hAnsi="宋体" w:cs="宋体"/>
          <w:color w:val="auto"/>
          <w:sz w:val="24"/>
          <w:szCs w:val="24"/>
          <w:highlight w:val="none"/>
          <w:lang w:val="en-US" w:eastAsia="zh-CN"/>
        </w:rPr>
        <w:t>代</w:t>
      </w:r>
      <w:r>
        <w:rPr>
          <w:rFonts w:hint="eastAsia" w:ascii="宋体" w:hAnsi="宋体" w:eastAsia="宋体" w:cs="宋体"/>
          <w:color w:val="auto"/>
          <w:sz w:val="24"/>
          <w:szCs w:val="24"/>
          <w:highlight w:val="none"/>
        </w:rPr>
        <w:t>码证（或“三证合一证书”）；</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2.项目负责人要求：须具有建设部颁发的中华人民共和国注册造价工程师（或一级造价工程师）资格且专业为土木建筑工程；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项目组成员（不含项目负责人）要求：项目组成员不少于2人（土建专业不少于1名、安装专业不少于1名），须具有二级及以上注册造价师证书。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本项目的</w:t>
      </w:r>
      <w:r>
        <w:rPr>
          <w:rFonts w:hint="eastAsia" w:ascii="宋体" w:hAnsi="宋体" w:eastAsia="宋体" w:cs="宋体"/>
          <w:color w:val="auto"/>
          <w:sz w:val="24"/>
          <w:szCs w:val="24"/>
          <w:highlight w:val="none"/>
          <w:lang w:val="en-US" w:eastAsia="zh-CN"/>
        </w:rPr>
        <w:t>清单控制价编制单位、监理单位、跟审单位</w:t>
      </w:r>
      <w:r>
        <w:rPr>
          <w:rFonts w:hint="eastAsia" w:ascii="宋体" w:hAnsi="宋体" w:cs="宋体"/>
          <w:color w:val="auto"/>
          <w:sz w:val="24"/>
          <w:szCs w:val="24"/>
          <w:highlight w:val="none"/>
          <w:lang w:val="en-US" w:eastAsia="zh-CN"/>
        </w:rPr>
        <w:t>限制参与</w:t>
      </w:r>
      <w:r>
        <w:rPr>
          <w:rFonts w:hint="eastAsia" w:ascii="宋体" w:hAnsi="宋体" w:eastAsia="宋体" w:cs="宋体"/>
          <w:color w:val="auto"/>
          <w:sz w:val="24"/>
          <w:szCs w:val="24"/>
          <w:highlight w:val="none"/>
          <w:lang w:val="en-US" w:eastAsia="zh-CN"/>
        </w:rPr>
        <w:t>投标。</w:t>
      </w:r>
    </w:p>
    <w:p>
      <w:pPr>
        <w:pStyle w:val="3"/>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Cs/>
          <w:color w:val="auto"/>
          <w:sz w:val="24"/>
          <w:szCs w:val="24"/>
          <w:highlight w:val="none"/>
          <w:u w:val="single"/>
          <w:lang w:eastAsia="zh-CN"/>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2024年12月25日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pPr>
        <w:pStyle w:val="3"/>
        <w:numPr>
          <w:ilvl w:val="1"/>
          <w:numId w:val="0"/>
        </w:numPr>
        <w:spacing w:line="400" w:lineRule="exact"/>
        <w:ind w:left="851" w:hanging="420"/>
        <w:rPr>
          <w:rFonts w:ascii="宋体" w:hAnsi="宋体" w:eastAsia="宋体" w:cs="宋体"/>
          <w:color w:val="auto"/>
          <w:sz w:val="24"/>
          <w:szCs w:val="24"/>
          <w:highlight w:val="none"/>
        </w:rPr>
      </w:pPr>
      <w:bookmarkStart w:id="22" w:name="_Toc28359082"/>
      <w:bookmarkStart w:id="23" w:name="_Toc28359005"/>
      <w:bookmarkStart w:id="24" w:name="_Toc35393793"/>
      <w:bookmarkStart w:id="25" w:name="_Toc58430308"/>
      <w:bookmarkStart w:id="26" w:name="_Toc35393624"/>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w:t>
      </w:r>
      <w:r>
        <w:rPr>
          <w:rFonts w:hint="eastAsia" w:ascii="宋体" w:hAnsi="宋体" w:cs="宋体"/>
          <w:color w:val="auto"/>
          <w:sz w:val="24"/>
          <w:szCs w:val="24"/>
          <w:highlight w:val="none"/>
          <w:lang w:eastAsia="zh-CN"/>
        </w:rPr>
        <w:t>2024年12月25日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递交方式：网上递交，发送至电子邮箱：czsctgczx@163.com（滁州市城投工程咨询管理有限公司邮箱）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开标时间地点：开标时间同投标文件递交截止时间，滁州市龙蟠大道109号房产商务大厦6楼603会议室。</w:t>
      </w:r>
    </w:p>
    <w:p>
      <w:pPr>
        <w:pStyle w:val="3"/>
        <w:numPr>
          <w:ilvl w:val="1"/>
          <w:numId w:val="0"/>
        </w:numPr>
        <w:spacing w:line="400" w:lineRule="exact"/>
        <w:ind w:left="851" w:hanging="420"/>
        <w:rPr>
          <w:rFonts w:ascii="宋体" w:hAnsi="宋体" w:eastAsia="宋体" w:cs="宋体"/>
          <w:color w:val="auto"/>
          <w:sz w:val="24"/>
          <w:szCs w:val="24"/>
          <w:highlight w:val="none"/>
        </w:rPr>
      </w:pPr>
      <w:bookmarkStart w:id="27" w:name="_Toc35393794"/>
      <w:bookmarkStart w:id="28" w:name="_Toc28359084"/>
      <w:bookmarkStart w:id="29" w:name="_Toc58430309"/>
      <w:bookmarkStart w:id="30" w:name="_Toc28359007"/>
      <w:bookmarkStart w:id="31" w:name="_Toc35393625"/>
      <w:r>
        <w:rPr>
          <w:rFonts w:hint="eastAsia" w:ascii="宋体" w:hAnsi="宋体" w:eastAsia="宋体" w:cs="宋体"/>
          <w:color w:val="auto"/>
          <w:sz w:val="24"/>
          <w:szCs w:val="24"/>
          <w:highlight w:val="none"/>
        </w:rPr>
        <w:t>五、</w:t>
      </w:r>
      <w:bookmarkEnd w:id="27"/>
      <w:bookmarkEnd w:id="28"/>
      <w:bookmarkEnd w:id="29"/>
      <w:bookmarkEnd w:id="30"/>
      <w:bookmarkEnd w:id="31"/>
      <w:bookmarkStart w:id="32" w:name="_Toc58430310"/>
      <w:r>
        <w:rPr>
          <w:rFonts w:hint="eastAsia" w:ascii="宋体" w:hAnsi="宋体" w:eastAsia="宋体" w:cs="宋体"/>
          <w:color w:val="auto"/>
          <w:sz w:val="24"/>
          <w:szCs w:val="24"/>
          <w:highlight w:val="none"/>
        </w:rPr>
        <w:t>投标保证金金额及缴纳账户</w:t>
      </w:r>
      <w:bookmarkEnd w:id="3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是否要求投标人提交投标保证金：</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w:t>
      </w:r>
    </w:p>
    <w:p>
      <w:pPr>
        <w:pStyle w:val="3"/>
        <w:numPr>
          <w:ilvl w:val="1"/>
          <w:numId w:val="0"/>
        </w:numPr>
        <w:spacing w:line="400" w:lineRule="exact"/>
        <w:ind w:left="851" w:hanging="420"/>
        <w:rPr>
          <w:rFonts w:ascii="宋体" w:hAnsi="宋体" w:eastAsia="宋体" w:cs="宋体"/>
          <w:color w:val="auto"/>
          <w:sz w:val="24"/>
          <w:szCs w:val="24"/>
          <w:highlight w:val="none"/>
        </w:rPr>
      </w:pPr>
      <w:bookmarkStart w:id="33" w:name="_Toc58430312"/>
      <w:r>
        <w:rPr>
          <w:rFonts w:hint="eastAsia" w:ascii="宋体" w:hAnsi="宋体" w:eastAsia="宋体" w:cs="宋体"/>
          <w:color w:val="auto"/>
          <w:sz w:val="24"/>
          <w:szCs w:val="24"/>
          <w:highlight w:val="none"/>
        </w:rPr>
        <w:t>六、对本次招标提出询问，请按以下方式联系</w:t>
      </w:r>
      <w:bookmarkEnd w:id="3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称：滁州市兴滁矿业投资集团有限公司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址：滁州市城投大厦</w:t>
      </w:r>
      <w:r>
        <w:rPr>
          <w:rFonts w:hint="eastAsia" w:ascii="宋体" w:hAnsi="宋体" w:cs="宋体"/>
          <w:color w:val="auto"/>
          <w:sz w:val="24"/>
          <w:szCs w:val="24"/>
          <w:highlight w:val="none"/>
          <w:lang w:val="en-US" w:eastAsia="zh-CN"/>
        </w:rPr>
        <w:t>7楼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4" w:name="_Toc28359009"/>
      <w:bookmarkStart w:id="35" w:name="_Toc28359086"/>
      <w:r>
        <w:rPr>
          <w:rFonts w:hint="eastAsia" w:ascii="宋体" w:hAnsi="宋体" w:eastAsia="宋体" w:cs="宋体"/>
          <w:color w:val="auto"/>
          <w:sz w:val="24"/>
          <w:szCs w:val="24"/>
          <w:highlight w:val="none"/>
        </w:rPr>
        <w:t>2.代理机构信息</w:t>
      </w:r>
      <w:bookmarkEnd w:id="34"/>
      <w:bookmarkEnd w:id="3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称：滁州市城投工程咨询管理有限公司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址：滁州市龙蟠大道109号房产大厦六楼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6" w:name="_Toc28359010"/>
      <w:bookmarkStart w:id="37" w:name="_Toc28359087"/>
      <w:r>
        <w:rPr>
          <w:rFonts w:hint="eastAsia" w:ascii="宋体" w:hAnsi="宋体" w:eastAsia="宋体" w:cs="宋体"/>
          <w:color w:val="auto"/>
          <w:sz w:val="24"/>
          <w:szCs w:val="24"/>
          <w:highlight w:val="none"/>
        </w:rPr>
        <w:t>3.项目联系方式</w:t>
      </w:r>
      <w:bookmarkEnd w:id="36"/>
      <w:bookmarkEnd w:id="3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项目联系人：陈倩倩、</w:t>
      </w:r>
      <w:r>
        <w:rPr>
          <w:rFonts w:hint="eastAsia" w:ascii="宋体" w:hAnsi="宋体" w:cs="宋体"/>
          <w:color w:val="auto"/>
          <w:sz w:val="24"/>
          <w:szCs w:val="24"/>
          <w:highlight w:val="none"/>
          <w:lang w:val="en-US" w:eastAsia="zh-CN"/>
        </w:rPr>
        <w:t>曹思敏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话：18726618862、</w:t>
      </w:r>
      <w:r>
        <w:rPr>
          <w:rFonts w:hint="eastAsia" w:ascii="宋体" w:hAnsi="宋体" w:cs="宋体"/>
          <w:color w:val="auto"/>
          <w:sz w:val="24"/>
          <w:szCs w:val="24"/>
          <w:highlight w:val="none"/>
          <w:lang w:val="en-US" w:eastAsia="zh-CN"/>
        </w:rPr>
        <w:t>18712012204</w:t>
      </w:r>
    </w:p>
    <w:p>
      <w:pPr>
        <w:spacing w:before="159" w:beforeLines="50" w:after="159" w:afterLines="50" w:line="440" w:lineRule="exact"/>
        <w:rPr>
          <w:rFonts w:ascii="宋体" w:hAnsi="宋体" w:cs="宋体"/>
          <w:b/>
          <w:bCs/>
          <w:color w:val="auto"/>
          <w:sz w:val="28"/>
          <w:szCs w:val="28"/>
          <w:highlight w:val="none"/>
        </w:rPr>
      </w:pPr>
    </w:p>
    <w:p>
      <w:pPr>
        <w:rPr>
          <w:rFonts w:hint="eastAsia" w:ascii="宋体" w:hAnsi="宋体" w:cs="宋体"/>
          <w:b/>
          <w:bCs/>
          <w:color w:val="auto"/>
          <w:sz w:val="28"/>
          <w:szCs w:val="28"/>
          <w:highlight w:val="none"/>
        </w:rPr>
      </w:pPr>
      <w:bookmarkStart w:id="38" w:name="_Toc21817"/>
      <w:bookmarkStart w:id="39" w:name="_Toc5455"/>
      <w:r>
        <w:rPr>
          <w:rFonts w:hint="eastAsia" w:ascii="宋体" w:hAnsi="宋体" w:cs="宋体"/>
          <w:b/>
          <w:bCs/>
          <w:color w:val="auto"/>
          <w:sz w:val="28"/>
          <w:szCs w:val="28"/>
          <w:highlight w:val="none"/>
        </w:rPr>
        <w:br w:type="page"/>
      </w:r>
    </w:p>
    <w:p>
      <w:pPr>
        <w:pStyle w:val="26"/>
        <w:ind w:left="0" w:leftChars="0" w:firstLine="0" w:firstLineChars="0"/>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第二章投标须知</w:t>
      </w:r>
      <w:bookmarkEnd w:id="38"/>
    </w:p>
    <w:p>
      <w:pPr>
        <w:spacing w:before="159" w:beforeLines="50" w:after="159" w:afterLines="50" w:line="440" w:lineRule="exact"/>
        <w:jc w:val="center"/>
        <w:outlineLvl w:val="0"/>
        <w:rPr>
          <w:rFonts w:ascii="宋体" w:hAnsi="宋体" w:cs="宋体"/>
          <w:color w:val="auto"/>
          <w:highlight w:val="none"/>
        </w:rPr>
      </w:pPr>
      <w:bookmarkStart w:id="40" w:name="_Toc23102"/>
      <w:bookmarkStart w:id="41" w:name="_Toc13347"/>
      <w:r>
        <w:rPr>
          <w:rFonts w:hint="eastAsia" w:ascii="宋体" w:hAnsi="宋体" w:cs="宋体"/>
          <w:b/>
          <w:bCs/>
          <w:color w:val="auto"/>
          <w:sz w:val="28"/>
          <w:szCs w:val="28"/>
          <w:highlight w:val="none"/>
        </w:rPr>
        <w:t>A、投标须知前附表</w:t>
      </w:r>
      <w:bookmarkEnd w:id="39"/>
      <w:bookmarkEnd w:id="40"/>
      <w:bookmarkEnd w:id="41"/>
    </w:p>
    <w:tbl>
      <w:tblPr>
        <w:tblStyle w:val="45"/>
        <w:tblW w:w="9967" w:type="dxa"/>
        <w:jc w:val="center"/>
        <w:tblLayout w:type="fixed"/>
        <w:tblCellMar>
          <w:top w:w="0" w:type="dxa"/>
          <w:left w:w="0" w:type="dxa"/>
          <w:bottom w:w="0" w:type="dxa"/>
          <w:right w:w="0" w:type="dxa"/>
        </w:tblCellMar>
      </w:tblPr>
      <w:tblGrid>
        <w:gridCol w:w="831"/>
        <w:gridCol w:w="1881"/>
        <w:gridCol w:w="7255"/>
      </w:tblGrid>
      <w:tr>
        <w:tblPrEx>
          <w:tblCellMar>
            <w:top w:w="0" w:type="dxa"/>
            <w:left w:w="0" w:type="dxa"/>
            <w:bottom w:w="0" w:type="dxa"/>
            <w:right w:w="0" w:type="dxa"/>
          </w:tblCellMar>
        </w:tblPrEx>
        <w:trPr>
          <w:trHeight w:val="58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编号</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内容</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说明与要求</w:t>
            </w:r>
          </w:p>
        </w:tc>
      </w:tr>
      <w:tr>
        <w:tblPrEx>
          <w:tblCellMar>
            <w:top w:w="0" w:type="dxa"/>
            <w:left w:w="0" w:type="dxa"/>
            <w:bottom w:w="0" w:type="dxa"/>
            <w:right w:w="0" w:type="dxa"/>
          </w:tblCellMar>
        </w:tblPrEx>
        <w:trPr>
          <w:trHeight w:val="9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工程名称：</w:t>
            </w:r>
            <w:r>
              <w:rPr>
                <w:rFonts w:hint="eastAsia" w:ascii="宋体" w:hAnsi="宋体" w:cs="宋体"/>
                <w:color w:val="auto"/>
                <w:kern w:val="0"/>
                <w:sz w:val="24"/>
                <w:szCs w:val="24"/>
                <w:highlight w:val="none"/>
                <w:lang w:eastAsia="zh-CN"/>
              </w:rPr>
              <w:t>安徽全椒马塘湖建筑石料用灰岩矿年产900万吨骨料加工(一期）EPC项目</w:t>
            </w:r>
            <w:r>
              <w:rPr>
                <w:rFonts w:hint="eastAsia" w:ascii="宋体" w:hAnsi="宋体" w:eastAsia="宋体" w:cs="宋体"/>
                <w:color w:val="auto"/>
                <w:kern w:val="0"/>
                <w:sz w:val="24"/>
                <w:szCs w:val="24"/>
                <w:highlight w:val="none"/>
              </w:rPr>
              <w:t>结算复审服务招标</w:t>
            </w:r>
            <w:r>
              <w:rPr>
                <w:rFonts w:hint="eastAsia" w:ascii="宋体" w:hAnsi="宋体" w:cs="宋体"/>
                <w:color w:val="auto"/>
                <w:kern w:val="0"/>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建设地点：</w:t>
            </w:r>
            <w:r>
              <w:rPr>
                <w:rFonts w:hint="eastAsia" w:ascii="宋体" w:hAnsi="宋体" w:eastAsia="宋体" w:cs="宋体"/>
                <w:color w:val="auto"/>
                <w:kern w:val="0"/>
                <w:sz w:val="24"/>
                <w:szCs w:val="24"/>
                <w:highlight w:val="none"/>
                <w:lang w:val="en-US" w:eastAsia="zh-CN"/>
              </w:rPr>
              <w:t>滁州市</w:t>
            </w:r>
            <w:r>
              <w:rPr>
                <w:rFonts w:hint="eastAsia" w:ascii="宋体" w:hAnsi="宋体" w:cs="宋体"/>
                <w:color w:val="auto"/>
                <w:kern w:val="0"/>
                <w:sz w:val="24"/>
                <w:szCs w:val="24"/>
                <w:highlight w:val="none"/>
                <w:lang w:val="en-US" w:eastAsia="zh-CN"/>
              </w:rPr>
              <w:t>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建设规模：安徽全椒马塘湖建筑石料用灰岩矿年产900万吨骨料加工(一期）EPC项目，项目投资约1.88亿元，审定价157281795.39元；。</w:t>
            </w:r>
          </w:p>
        </w:tc>
      </w:tr>
      <w:tr>
        <w:tblPrEx>
          <w:tblCellMar>
            <w:top w:w="0" w:type="dxa"/>
            <w:left w:w="0" w:type="dxa"/>
            <w:bottom w:w="0" w:type="dxa"/>
            <w:right w:w="0" w:type="dxa"/>
          </w:tblCellMar>
        </w:tblPrEx>
        <w:trPr>
          <w:trHeight w:val="25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kern w:val="0"/>
                <w:sz w:val="24"/>
                <w:highlight w:val="none"/>
              </w:rPr>
            </w:pPr>
            <w:r>
              <w:rPr>
                <w:rFonts w:hint="default" w:ascii="宋体" w:hAnsi="宋体" w:cs="宋体"/>
                <w:color w:val="auto"/>
                <w:kern w:val="0"/>
                <w:sz w:val="24"/>
                <w:highlight w:val="none"/>
              </w:rPr>
              <w:t>对跟踪审计单位</w:t>
            </w:r>
            <w:r>
              <w:rPr>
                <w:rFonts w:hint="eastAsia" w:ascii="宋体" w:hAnsi="宋体" w:cs="宋体"/>
                <w:color w:val="auto"/>
                <w:kern w:val="0"/>
                <w:sz w:val="24"/>
                <w:highlight w:val="none"/>
              </w:rPr>
              <w:t>的审计</w:t>
            </w:r>
            <w:r>
              <w:rPr>
                <w:rFonts w:hint="default" w:ascii="宋体" w:hAnsi="宋体" w:cs="宋体"/>
                <w:color w:val="auto"/>
                <w:kern w:val="0"/>
                <w:sz w:val="24"/>
                <w:highlight w:val="none"/>
              </w:rPr>
              <w:t>成果进行复审，主要包括但不限于以下内容：</w:t>
            </w:r>
          </w:p>
          <w:p>
            <w:pPr>
              <w:keepNext w:val="0"/>
              <w:keepLines w:val="0"/>
              <w:suppressLineNumbers w:val="0"/>
              <w:spacing w:before="0" w:beforeAutospacing="0" w:after="0" w:afterAutospacing="0" w:line="440" w:lineRule="exact"/>
              <w:ind w:left="0" w:right="0"/>
              <w:rPr>
                <w:rFonts w:hint="default" w:ascii="宋体" w:hAnsi="宋体" w:cs="宋体"/>
                <w:color w:val="auto"/>
                <w:kern w:val="0"/>
                <w:sz w:val="24"/>
                <w:highlight w:val="none"/>
              </w:rPr>
            </w:pPr>
            <w:r>
              <w:rPr>
                <w:rFonts w:hint="default" w:ascii="宋体" w:hAnsi="宋体" w:cs="宋体"/>
                <w:color w:val="auto"/>
                <w:kern w:val="0"/>
                <w:sz w:val="24"/>
                <w:highlight w:val="none"/>
              </w:rPr>
              <w:t>1.资料完整性审查，按照工程结算审计要求审查资料的完整性；</w:t>
            </w:r>
          </w:p>
          <w:p>
            <w:pPr>
              <w:keepNext w:val="0"/>
              <w:keepLines w:val="0"/>
              <w:suppressLineNumbers w:val="0"/>
              <w:spacing w:before="0" w:beforeAutospacing="0" w:after="0" w:afterAutospacing="0" w:line="440" w:lineRule="exact"/>
              <w:ind w:left="0" w:right="0"/>
              <w:rPr>
                <w:rFonts w:hint="default" w:ascii="宋体" w:hAnsi="宋体" w:cs="宋体"/>
                <w:color w:val="auto"/>
                <w:kern w:val="0"/>
                <w:sz w:val="24"/>
                <w:highlight w:val="none"/>
              </w:rPr>
            </w:pPr>
            <w:r>
              <w:rPr>
                <w:rFonts w:hint="default" w:ascii="宋体" w:hAnsi="宋体" w:cs="宋体"/>
                <w:color w:val="auto"/>
                <w:kern w:val="0"/>
                <w:sz w:val="24"/>
                <w:highlight w:val="none"/>
              </w:rPr>
              <w:t>2.项目工程量计算、计价方式、对定额套用、工程类别、取费标准等合理性进行核查；</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0"/>
                <w:sz w:val="24"/>
                <w:szCs w:val="24"/>
                <w:highlight w:val="none"/>
                <w:lang w:eastAsia="zh-CN"/>
              </w:rPr>
            </w:pPr>
            <w:r>
              <w:rPr>
                <w:rFonts w:hint="default" w:ascii="宋体" w:hAnsi="宋体" w:cs="宋体"/>
                <w:color w:val="auto"/>
                <w:kern w:val="0"/>
                <w:sz w:val="24"/>
                <w:highlight w:val="none"/>
              </w:rPr>
              <w:t>3.工程变更、签证、索赔等手续合法、合规、合理性审查；</w:t>
            </w:r>
          </w:p>
        </w:tc>
      </w:tr>
      <w:tr>
        <w:tblPrEx>
          <w:tblCellMar>
            <w:top w:w="0" w:type="dxa"/>
            <w:left w:w="0" w:type="dxa"/>
            <w:bottom w:w="0" w:type="dxa"/>
            <w:right w:w="0" w:type="dxa"/>
          </w:tblCellMar>
        </w:tblPrEx>
        <w:trPr>
          <w:trHeight w:val="31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w:t>
            </w:r>
            <w:r>
              <w:rPr>
                <w:rFonts w:hint="eastAsia" w:ascii="宋体" w:hAnsi="宋体" w:eastAsia="宋体" w:cs="宋体"/>
                <w:color w:val="auto"/>
                <w:kern w:val="0"/>
                <w:sz w:val="24"/>
                <w:szCs w:val="24"/>
                <w:highlight w:val="none"/>
              </w:rPr>
              <w:t>要求</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（1）自合同签订之日起至完成对跟审单位全部成果的复核并出具复审报告，复审报告经跟审单位和甲方确认，项目完成竣工结算审核为止。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（2）复审单位在收到跟审单位出具的审核报告</w:t>
            </w:r>
            <w:r>
              <w:rPr>
                <w:rFonts w:hint="eastAsia" w:ascii="宋体" w:hAnsi="宋体" w:cs="宋体"/>
                <w:color w:val="auto"/>
                <w:sz w:val="24"/>
                <w:szCs w:val="24"/>
                <w:highlight w:val="none"/>
                <w:lang w:val="en-US" w:eastAsia="zh-CN"/>
              </w:rPr>
              <w:t>并在资料齐全的情况下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复审报告不超过15个日历天内完成</w:t>
            </w:r>
            <w:r>
              <w:rPr>
                <w:rFonts w:hint="eastAsia" w:ascii="宋体" w:hAnsi="宋体" w:eastAsia="宋体" w:cs="宋体"/>
                <w:color w:val="auto"/>
                <w:sz w:val="24"/>
                <w:szCs w:val="24"/>
                <w:highlight w:val="none"/>
              </w:rPr>
              <w:t>。</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投标人自报的承诺工期为考核标准，投标人若不能如期完成，工期每延误一天，处以</w:t>
            </w:r>
            <w:r>
              <w:rPr>
                <w:rFonts w:hint="eastAsia" w:ascii="宋体" w:hAnsi="宋体" w:eastAsia="宋体" w:cs="宋体"/>
                <w:color w:val="auto"/>
                <w:sz w:val="24"/>
                <w:szCs w:val="24"/>
                <w:highlight w:val="none"/>
                <w:lang w:val="en-US" w:eastAsia="zh-CN"/>
              </w:rPr>
              <w:t xml:space="preserve"> 500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42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出具的工程造价咨询成果文件质量应符合现行国家或行业工程计价有关规定、标准、规范的要求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991"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投标人资质</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详见招标公告</w:t>
            </w:r>
          </w:p>
        </w:tc>
      </w:tr>
      <w:tr>
        <w:tblPrEx>
          <w:tblCellMar>
            <w:top w:w="0" w:type="dxa"/>
            <w:left w:w="0" w:type="dxa"/>
            <w:bottom w:w="0" w:type="dxa"/>
            <w:right w:w="0" w:type="dxa"/>
          </w:tblCellMar>
        </w:tblPrEx>
        <w:trPr>
          <w:trHeight w:val="65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不再集中召开招标答疑会；投标人自行组织勘察现场。</w:t>
            </w:r>
          </w:p>
        </w:tc>
      </w:tr>
      <w:tr>
        <w:tblPrEx>
          <w:tblCellMar>
            <w:top w:w="0" w:type="dxa"/>
            <w:left w:w="0" w:type="dxa"/>
            <w:bottom w:w="0" w:type="dxa"/>
            <w:right w:w="0" w:type="dxa"/>
          </w:tblCellMar>
        </w:tblPrEx>
        <w:trPr>
          <w:trHeight w:val="43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81" w:type="dxa"/>
            <w:tcBorders>
              <w:top w:val="single" w:color="auto" w:sz="8" w:space="0"/>
              <w:left w:val="single" w:color="auto" w:sz="4" w:space="0"/>
              <w:bottom w:val="single" w:color="auto" w:sz="8" w:space="0"/>
              <w:right w:val="single" w:color="auto" w:sz="4" w:space="0"/>
            </w:tcBorders>
            <w:vAlign w:val="center"/>
          </w:tcPr>
          <w:p>
            <w:pPr>
              <w:pStyle w:val="25"/>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260" w:right="0" w:hanging="1440" w:hangingChars="6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pPr>
              <w:pStyle w:val="25"/>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网上递交的电子投标文件：一份。以投标人在投标截止时间前网上递交的电子投标文件为准，逾期提交的，投标文件将被拒绝。</w:t>
            </w:r>
          </w:p>
        </w:tc>
      </w:tr>
      <w:tr>
        <w:tblPrEx>
          <w:tblCellMar>
            <w:top w:w="0" w:type="dxa"/>
            <w:left w:w="0" w:type="dxa"/>
            <w:bottom w:w="0" w:type="dxa"/>
            <w:right w:w="0" w:type="dxa"/>
          </w:tblCellMar>
        </w:tblPrEx>
        <w:trPr>
          <w:trHeight w:val="6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不要求</w:t>
            </w:r>
          </w:p>
        </w:tc>
      </w:tr>
      <w:tr>
        <w:tblPrEx>
          <w:tblCellMar>
            <w:top w:w="0" w:type="dxa"/>
            <w:left w:w="0" w:type="dxa"/>
            <w:bottom w:w="0" w:type="dxa"/>
            <w:right w:w="0" w:type="dxa"/>
          </w:tblCellMar>
        </w:tblPrEx>
        <w:trPr>
          <w:trHeight w:val="637"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本项目不设置履约保证金。</w:t>
            </w:r>
          </w:p>
        </w:tc>
      </w:tr>
      <w:tr>
        <w:tblPrEx>
          <w:tblCellMar>
            <w:top w:w="0" w:type="dxa"/>
            <w:left w:w="0" w:type="dxa"/>
            <w:bottom w:w="0" w:type="dxa"/>
            <w:right w:w="0" w:type="dxa"/>
          </w:tblCellMar>
        </w:tblPrEx>
        <w:trPr>
          <w:trHeight w:val="4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基本费用10000元（投标报价保留两位小数，第三位四舍五入）；审核成果费率2%（审核成果费率为不可竞争费率，固定不变），投标单位投标报价不得高于上述基本费率最高限价，否则按无效标处理。</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注：</w:t>
            </w:r>
          </w:p>
          <w:p>
            <w:pPr>
              <w:keepNext w:val="0"/>
              <w:keepLines w:val="0"/>
              <w:pageBreakBefore w:val="0"/>
              <w:numPr>
                <w:ilvl w:val="0"/>
                <w:numId w:val="0"/>
              </w:numPr>
              <w:suppressLineNumbers w:val="0"/>
              <w:kinsoku/>
              <w:wordWrap/>
              <w:overflowPunct/>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rPr>
              <w:t>审核成果费根据复审单位提供的复审报告在跟审单位审核的结算造价基础上的核减率计算，</w:t>
            </w:r>
            <w:r>
              <w:rPr>
                <w:rFonts w:hint="default" w:ascii="宋体" w:hAnsi="宋体" w:eastAsia="宋体" w:cs="宋体"/>
                <w:color w:val="auto"/>
                <w:sz w:val="24"/>
                <w:szCs w:val="24"/>
                <w:highlight w:val="none"/>
                <w:lang w:val="en-US"/>
              </w:rPr>
              <w:t>独立核减金额（计算基数）*2%</w:t>
            </w:r>
            <w:r>
              <w:rPr>
                <w:rFonts w:hint="eastAsia" w:ascii="宋体" w:hAnsi="宋体" w:eastAsia="宋体" w:cs="宋体"/>
                <w:color w:val="auto"/>
                <w:sz w:val="24"/>
                <w:szCs w:val="24"/>
                <w:highlight w:val="none"/>
                <w:lang w:val="en-US" w:eastAsia="zh-CN"/>
              </w:rPr>
              <w:t>。</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rPr>
              <w:t>、无论任何原因（包含但不限于设计图纸变更等）导致的项目期限延长，委托人均不再增加</w:t>
            </w:r>
            <w:r>
              <w:rPr>
                <w:rFonts w:hint="eastAsia" w:ascii="宋体" w:hAnsi="宋体" w:cs="宋体"/>
                <w:color w:val="auto"/>
                <w:sz w:val="24"/>
                <w:szCs w:val="24"/>
                <w:highlight w:val="none"/>
                <w:lang w:val="en-US" w:eastAsia="zh-CN"/>
              </w:rPr>
              <w:t>复审</w:t>
            </w:r>
            <w:r>
              <w:rPr>
                <w:rFonts w:hint="default" w:ascii="宋体" w:hAnsi="宋体" w:eastAsia="宋体" w:cs="宋体"/>
                <w:color w:val="auto"/>
                <w:sz w:val="24"/>
                <w:szCs w:val="24"/>
                <w:highlight w:val="none"/>
                <w:lang w:val="en-US"/>
              </w:rPr>
              <w:t>费用</w:t>
            </w:r>
            <w:r>
              <w:rPr>
                <w:rFonts w:hint="eastAsia" w:ascii="宋体" w:hAnsi="宋体" w:cs="宋体"/>
                <w:color w:val="auto"/>
                <w:sz w:val="24"/>
                <w:szCs w:val="24"/>
                <w:highlight w:val="none"/>
                <w:lang w:val="en-US" w:eastAsia="zh-CN"/>
              </w:rPr>
              <w:t>。</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rPr>
              <w:t>、投标人须认真研究项目的招标文件，并仔细踏勘现场，若对本项目有异议，应在投标答疑时向招标人提出。</w:t>
            </w:r>
          </w:p>
        </w:tc>
      </w:tr>
      <w:tr>
        <w:tblPrEx>
          <w:tblCellMar>
            <w:top w:w="0" w:type="dxa"/>
            <w:left w:w="0" w:type="dxa"/>
            <w:bottom w:w="0" w:type="dxa"/>
            <w:right w:w="0" w:type="dxa"/>
          </w:tblCellMar>
        </w:tblPrEx>
        <w:trPr>
          <w:trHeight w:val="559"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投标文件提交截止时间</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1、投标人须在投标文件截止时间前（</w:t>
            </w:r>
            <w:r>
              <w:rPr>
                <w:rFonts w:hint="eastAsia" w:ascii="宋体" w:hAnsi="宋体" w:cs="宋体"/>
                <w:color w:val="auto"/>
                <w:sz w:val="24"/>
                <w:szCs w:val="24"/>
                <w:highlight w:val="none"/>
                <w:lang w:val="en-US" w:eastAsia="zh-CN"/>
              </w:rPr>
              <w:t>2024年12月25日</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val="en-US"/>
              </w:rPr>
              <w:t>时00分前）将投标文件以电子邮件的方式一次性发送至czsctgczx@163.com（滁州市城投工程咨询管理有限公司邮箱），投标文件格式限定为加密PDF格式，将文件命名为“投标单位名称+项目名称</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none"/>
                <w:lang w:val="en-US"/>
              </w:rPr>
              <w:t>”，未在规定时间内发送加密PDF格式投标文件，投标将被拒绝，投标文件送达时间以滁州市城投工程咨询管理有限公司邮箱显示的邮件送达时间为准，若投标人重复发送电子投标文件的，将以</w:t>
            </w:r>
            <w:r>
              <w:rPr>
                <w:rFonts w:hint="eastAsia" w:ascii="宋体" w:hAnsi="宋体" w:cs="宋体"/>
                <w:color w:val="auto"/>
                <w:sz w:val="24"/>
                <w:szCs w:val="24"/>
                <w:highlight w:val="none"/>
                <w:u w:val="none"/>
                <w:lang w:val="en-US" w:eastAsia="zh-CN"/>
              </w:rPr>
              <w:t>2024年12月  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时00分前最后收到的投标文件为准,投标文件无法打开的，由投标人自行承担后果。</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"mailto:3、投标人在2021年11月23日8时30分至2021年11月23日9时内将投标文件的密码（投标单位名称+密码）发送至czsctgczx@163.com（滁州市城投工程咨询管理有限公司邮箱）。不在规定时间内发送密码的，投标将被拒绝。"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2、投标人在</w:t>
            </w:r>
            <w:r>
              <w:rPr>
                <w:rFonts w:hint="eastAsia" w:ascii="宋体" w:hAnsi="宋体" w:cs="宋体"/>
                <w:color w:val="auto"/>
                <w:sz w:val="24"/>
                <w:szCs w:val="24"/>
                <w:highlight w:val="none"/>
                <w:lang w:val="en-US" w:eastAsia="zh-CN"/>
              </w:rPr>
              <w:t>2024年12月25日15</w:t>
            </w:r>
            <w:r>
              <w:rPr>
                <w:rFonts w:hint="eastAsia" w:ascii="宋体" w:hAnsi="宋体" w:eastAsia="宋体" w:cs="宋体"/>
                <w:color w:val="auto"/>
                <w:sz w:val="24"/>
                <w:szCs w:val="24"/>
                <w:highlight w:val="none"/>
                <w:lang w:val="en-US"/>
              </w:rPr>
              <w:t>时00分至</w:t>
            </w:r>
            <w:r>
              <w:rPr>
                <w:rFonts w:hint="eastAsia" w:ascii="宋体" w:hAnsi="宋体" w:cs="宋体"/>
                <w:color w:val="auto"/>
                <w:sz w:val="24"/>
                <w:szCs w:val="24"/>
                <w:highlight w:val="none"/>
                <w:lang w:val="en-US" w:eastAsia="zh-CN"/>
              </w:rPr>
              <w:t>2024年12月25日15</w:t>
            </w:r>
            <w:r>
              <w:rPr>
                <w:rFonts w:hint="eastAsia" w:ascii="宋体" w:hAnsi="宋体" w:eastAsia="宋体" w:cs="宋体"/>
                <w:color w:val="auto"/>
                <w:sz w:val="24"/>
                <w:szCs w:val="24"/>
                <w:highlight w:val="none"/>
                <w:lang w:val="en-US"/>
              </w:rPr>
              <w:t>时30分将投标文件的密码（投标单位名称+密码）发送至czsctgczx@163.com（滁州市城投工程咨询管理有限公司邮箱）。未在规定时间内发送密码的，投标将被拒绝。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 w:val="24"/>
                <w:szCs w:val="24"/>
                <w:highlight w:val="none"/>
                <w:lang w:val="en-US"/>
              </w:rPr>
              <w:fldChar w:fldCharType="end"/>
            </w:r>
          </w:p>
        </w:tc>
      </w:tr>
      <w:tr>
        <w:tblPrEx>
          <w:tblCellMar>
            <w:top w:w="0" w:type="dxa"/>
            <w:left w:w="0" w:type="dxa"/>
            <w:bottom w:w="0" w:type="dxa"/>
            <w:right w:w="0" w:type="dxa"/>
          </w:tblCellMar>
        </w:tblPrEx>
        <w:trPr>
          <w:trHeight w:val="91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开标时间：</w:t>
            </w:r>
            <w:r>
              <w:rPr>
                <w:rFonts w:hint="eastAsia" w:ascii="宋体" w:hAnsi="宋体" w:cs="宋体"/>
                <w:color w:val="auto"/>
                <w:sz w:val="24"/>
                <w:szCs w:val="24"/>
                <w:highlight w:val="none"/>
                <w:u w:val="single"/>
                <w:lang w:eastAsia="zh-CN"/>
              </w:rPr>
              <w:t>2024年12月25日</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点00分（北京时间）</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开标地点：滁州市龙蟠大道109号房产商务大厦6楼</w:t>
            </w:r>
            <w:r>
              <w:rPr>
                <w:rFonts w:hint="eastAsia" w:ascii="宋体" w:hAnsi="宋体" w:cs="宋体"/>
                <w:color w:val="auto"/>
                <w:sz w:val="24"/>
                <w:szCs w:val="24"/>
                <w:highlight w:val="none"/>
                <w:u w:val="single"/>
                <w:lang w:val="en-US" w:eastAsia="zh-CN"/>
              </w:rPr>
              <w:t>622</w:t>
            </w:r>
            <w:r>
              <w:rPr>
                <w:rFonts w:hint="eastAsia" w:ascii="宋体" w:hAnsi="宋体" w:eastAsia="宋体" w:cs="宋体"/>
                <w:color w:val="auto"/>
                <w:sz w:val="24"/>
                <w:szCs w:val="24"/>
                <w:highlight w:val="none"/>
                <w:u w:val="single"/>
                <w:lang w:eastAsia="zh-CN"/>
              </w:rPr>
              <w:t>会议室</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本项目的招标代理服务费</w:t>
            </w:r>
            <w:r>
              <w:rPr>
                <w:rFonts w:hint="eastAsia" w:ascii="宋体" w:hAnsi="宋体" w:cs="宋体"/>
                <w:color w:val="auto"/>
                <w:kern w:val="0"/>
                <w:sz w:val="24"/>
                <w:szCs w:val="24"/>
                <w:highlight w:val="none"/>
                <w:u w:val="single"/>
                <w:lang w:val="en-US" w:eastAsia="zh-CN"/>
              </w:rPr>
              <w:t xml:space="preserve"> 1000 </w:t>
            </w:r>
            <w:r>
              <w:rPr>
                <w:rFonts w:hint="eastAsia" w:ascii="宋体" w:hAnsi="宋体" w:eastAsia="宋体" w:cs="宋体"/>
                <w:color w:val="auto"/>
                <w:kern w:val="0"/>
                <w:sz w:val="24"/>
                <w:szCs w:val="24"/>
                <w:highlight w:val="none"/>
              </w:rPr>
              <w:t>元和专家评委费（专家评委费以实际发生为准），由中标人在领取中标通知书时，一次性支付给代理公司。</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付款方式、时间、条件</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复审单位完成对跟审单位全部成果的复核并出具复核报告，经跟审单位认可和甲方确认后，待项目完成竣工结算审核后，一次性支付基本费和审核成果费（其中审核成果费根据复审单位提供的复审报告在跟审单位审核的结算造价基础上的核减率计算，以上付款均无息）</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招标文件获取方式和时间</w:t>
            </w:r>
          </w:p>
        </w:tc>
        <w:tc>
          <w:tcPr>
            <w:tcW w:w="7255" w:type="dxa"/>
            <w:tcBorders>
              <w:top w:val="single" w:color="auto" w:sz="8" w:space="0"/>
              <w:left w:val="single" w:color="auto" w:sz="4" w:space="0"/>
              <w:bottom w:val="single" w:color="auto" w:sz="8" w:space="0"/>
              <w:right w:val="single" w:color="auto" w:sz="8" w:space="0"/>
            </w:tcBorders>
          </w:tcPr>
          <w:p>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招标文件获取方式：网上下载；</w:t>
            </w:r>
          </w:p>
          <w:p>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获取时间：招标文件发布至投标截止时间。</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6</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特别提示</w:t>
            </w:r>
          </w:p>
        </w:tc>
        <w:tc>
          <w:tcPr>
            <w:tcW w:w="7255" w:type="dxa"/>
            <w:tcBorders>
              <w:top w:val="single" w:color="auto" w:sz="8" w:space="0"/>
              <w:left w:val="single" w:color="auto" w:sz="4" w:space="0"/>
              <w:bottom w:val="single" w:color="auto" w:sz="8" w:space="0"/>
              <w:right w:val="single" w:color="auto" w:sz="8" w:space="0"/>
            </w:tcBorders>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投标人单方面出现其他投标人材料的，由评标委员会否决其投标。</w:t>
            </w:r>
          </w:p>
        </w:tc>
      </w:tr>
    </w:tbl>
    <w:p>
      <w:pPr>
        <w:spacing w:line="420" w:lineRule="exact"/>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spacing w:before="95" w:beforeLines="30" w:after="95" w:afterLines="30" w:line="440" w:lineRule="exact"/>
        <w:jc w:val="center"/>
        <w:outlineLvl w:val="1"/>
        <w:rPr>
          <w:rFonts w:ascii="宋体" w:hAnsi="宋体" w:cs="宋体"/>
          <w:b/>
          <w:bCs/>
          <w:color w:val="auto"/>
          <w:sz w:val="24"/>
          <w:szCs w:val="24"/>
          <w:highlight w:val="none"/>
        </w:rPr>
      </w:pPr>
      <w:bookmarkStart w:id="42" w:name="_Toc515"/>
      <w:r>
        <w:rPr>
          <w:rFonts w:hint="eastAsia" w:ascii="宋体" w:hAnsi="宋体" w:cs="宋体"/>
          <w:b/>
          <w:bCs/>
          <w:color w:val="auto"/>
          <w:sz w:val="24"/>
          <w:szCs w:val="24"/>
          <w:highlight w:val="none"/>
        </w:rPr>
        <w:t>一、总  则</w:t>
      </w:r>
      <w:bookmarkEnd w:id="4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1.工程概况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1.1本次招标工程名称：</w:t>
      </w:r>
      <w:r>
        <w:rPr>
          <w:rFonts w:hint="eastAsia" w:ascii="宋体" w:hAnsi="宋体" w:cs="宋体"/>
          <w:color w:val="auto"/>
          <w:sz w:val="24"/>
          <w:szCs w:val="24"/>
          <w:highlight w:val="none"/>
          <w:lang w:eastAsia="zh-CN"/>
        </w:rPr>
        <w:t>安徽全椒马塘湖建筑石料用灰岩矿年产900万吨骨料加工(一期）EPC项目</w:t>
      </w:r>
      <w:r>
        <w:rPr>
          <w:rFonts w:hint="eastAsia" w:ascii="宋体" w:hAnsi="宋体" w:cs="宋体"/>
          <w:color w:val="auto"/>
          <w:sz w:val="24"/>
          <w:szCs w:val="24"/>
          <w:highlight w:val="none"/>
        </w:rPr>
        <w:t>结算复审服务招标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工程地址：</w:t>
      </w:r>
      <w:r>
        <w:rPr>
          <w:rFonts w:hint="eastAsia" w:ascii="宋体" w:hAnsi="宋体" w:cs="宋体"/>
          <w:color w:val="auto"/>
          <w:sz w:val="24"/>
          <w:szCs w:val="24"/>
          <w:highlight w:val="none"/>
          <w:lang w:val="en-US" w:eastAsia="zh-CN"/>
        </w:rPr>
        <w:t>全椒县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建设单位：滁州市兴滁矿业投资集团有限公司  </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1.2本工程建设规模：见投标人须知前附表。</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2. 招标范围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3.承包方式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3.1承包方式：</w:t>
      </w:r>
      <w:r>
        <w:rPr>
          <w:rFonts w:hint="eastAsia" w:ascii="宋体" w:hAnsi="宋体" w:cs="宋体"/>
          <w:color w:val="auto"/>
          <w:sz w:val="24"/>
          <w:szCs w:val="24"/>
          <w:highlight w:val="none"/>
          <w:u w:val="single"/>
        </w:rPr>
        <w:t xml:space="preserve">总承包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4.工期要求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5.质量要求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6.投标人资质等级要求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7.资金来源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7.1资金来源：</w:t>
      </w:r>
      <w:r>
        <w:rPr>
          <w:rFonts w:hint="eastAsia" w:ascii="宋体" w:hAnsi="宋体" w:cs="宋体"/>
          <w:color w:val="auto"/>
          <w:sz w:val="24"/>
          <w:szCs w:val="24"/>
          <w:highlight w:val="none"/>
          <w:u w:val="single"/>
        </w:rPr>
        <w:t xml:space="preserve"> 自筹资金 </w:t>
      </w:r>
      <w:r>
        <w:rPr>
          <w:rFonts w:hint="eastAsia" w:ascii="宋体" w:hAnsi="宋体" w:cs="宋体"/>
          <w:color w:val="auto"/>
          <w:sz w:val="24"/>
          <w:szCs w:val="24"/>
          <w:highlight w:val="none"/>
        </w:rPr>
        <w:t>；资金已落实。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8.标段划分</w:t>
      </w:r>
    </w:p>
    <w:p>
      <w:pPr>
        <w:keepNext w:val="0"/>
        <w:keepLines w:val="0"/>
        <w:pageBreakBefore w:val="0"/>
        <w:widowControl w:val="0"/>
        <w:kinsoku/>
        <w:wordWrap/>
        <w:overflowPunct/>
        <w:topLinePunct w:val="0"/>
        <w:autoSpaceDE/>
        <w:autoSpaceDN/>
        <w:bidi w:val="0"/>
        <w:adjustRightInd/>
        <w:snapToGrid/>
        <w:spacing w:line="440" w:lineRule="exact"/>
        <w:ind w:right="-155" w:rightChars="-74"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8.1该工程划分：</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 xml:space="preserve">个标段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9.招标方式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9.1本工程招标方式：</w:t>
      </w:r>
      <w:r>
        <w:rPr>
          <w:rFonts w:hint="eastAsia" w:ascii="宋体" w:hAnsi="宋体" w:cs="宋体"/>
          <w:color w:val="auto"/>
          <w:sz w:val="24"/>
          <w:szCs w:val="24"/>
          <w:highlight w:val="none"/>
          <w:u w:val="single"/>
        </w:rPr>
        <w:t xml:space="preserve"> 自行招标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10.计价方式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10.1本工程合同计价方式：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单价合同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11.评标办法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11.1本工程评标办法：</w:t>
      </w:r>
      <w:r>
        <w:rPr>
          <w:rFonts w:hint="eastAsia" w:ascii="宋体" w:hAnsi="宋体" w:cs="宋体"/>
          <w:color w:val="auto"/>
          <w:sz w:val="24"/>
          <w:szCs w:val="24"/>
          <w:highlight w:val="none"/>
          <w:u w:val="single"/>
          <w:lang w:val="en-US" w:eastAsia="zh-CN"/>
        </w:rPr>
        <w:t>综合评估</w:t>
      </w:r>
      <w:r>
        <w:rPr>
          <w:rFonts w:hint="eastAsia" w:ascii="宋体" w:hAnsi="宋体" w:cs="宋体"/>
          <w:color w:val="auto"/>
          <w:sz w:val="24"/>
          <w:szCs w:val="24"/>
          <w:highlight w:val="none"/>
          <w:u w:val="single"/>
        </w:rPr>
        <w:t>法</w:t>
      </w:r>
      <w:r>
        <w:rPr>
          <w:rFonts w:hint="eastAsia" w:ascii="宋体" w:hAnsi="宋体" w:cs="宋体"/>
          <w:color w:val="auto"/>
          <w:sz w:val="24"/>
          <w:szCs w:val="24"/>
          <w:highlight w:val="none"/>
        </w:rPr>
        <w:t>。</w:t>
      </w:r>
    </w:p>
    <w:p>
      <w:pPr>
        <w:spacing w:before="95" w:beforeLines="30" w:after="95" w:afterLines="30" w:line="440" w:lineRule="exact"/>
        <w:jc w:val="center"/>
        <w:outlineLvl w:val="1"/>
        <w:rPr>
          <w:rFonts w:ascii="宋体" w:hAnsi="宋体" w:cs="宋体"/>
          <w:color w:val="auto"/>
          <w:highlight w:val="none"/>
        </w:rPr>
      </w:pPr>
      <w:bookmarkStart w:id="43" w:name="_Toc29988"/>
      <w:r>
        <w:rPr>
          <w:rFonts w:hint="eastAsia" w:ascii="宋体" w:hAnsi="宋体" w:cs="宋体"/>
          <w:b/>
          <w:bCs/>
          <w:color w:val="auto"/>
          <w:sz w:val="24"/>
          <w:szCs w:val="24"/>
          <w:highlight w:val="none"/>
        </w:rPr>
        <w:t>二、招标文件</w:t>
      </w:r>
      <w:bookmarkEnd w:id="4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招标文件的编制依据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根据《中华人民共和国招标投标法》、《工程建设项目施工招标投标办法》（七部委联合部令第30号）、《评标委员会和评标方法暂行规定》（七部委联合部令第12号）、《建设工程工程量清单计价规范》（GB50500-2013）、《安徽省建设工程工程量清单计价规范》（DBJ34/T-206-2005）和《滁州市工程量清单计价方式招标评标实施细则（试行）》等相关法律法规和规章及部、省、市级规范性文件的规定，编制本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bCs/>
          <w:color w:val="auto"/>
          <w:sz w:val="24"/>
          <w:szCs w:val="24"/>
          <w:highlight w:val="none"/>
        </w:rPr>
        <w:t>招标文件的组成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招标文件包括内容：</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投标须知</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技术标准和要求</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pPr>
        <w:adjustRightInd w:val="0"/>
        <w:snapToGrid w:val="0"/>
        <w:spacing w:line="440" w:lineRule="exact"/>
        <w:ind w:firstLine="1200" w:firstLineChars="50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第六章  招标单位、招标代理机构对本招标文件的确认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13.2除13.1内容外，招标答疑亦为招标文件的组成部分，对招标人和投标人起约束作用。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13.3投标人应仔细检查招标文件的所有内容，</w:t>
      </w:r>
      <w:r>
        <w:rPr>
          <w:rFonts w:hint="eastAsia" w:ascii="宋体" w:hAnsi="宋体" w:eastAsia="宋体" w:cs="宋体"/>
          <w:bCs/>
          <w:color w:val="auto"/>
          <w:sz w:val="24"/>
          <w:szCs w:val="24"/>
          <w:highlight w:val="none"/>
        </w:rPr>
        <w:t>如有残缺等问题应在</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23</w:t>
      </w:r>
      <w:r>
        <w:rPr>
          <w:rFonts w:hint="eastAsia" w:ascii="宋体" w:hAnsi="宋体" w:eastAsia="宋体" w:cs="宋体"/>
          <w:b/>
          <w:color w:val="auto"/>
          <w:sz w:val="24"/>
          <w:szCs w:val="24"/>
          <w:highlight w:val="none"/>
        </w:rPr>
        <w:t>日1</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时前</w:t>
      </w:r>
      <w:r>
        <w:rPr>
          <w:rFonts w:hint="eastAsia" w:ascii="宋体" w:hAnsi="宋体" w:eastAsia="宋体" w:cs="宋体"/>
          <w:bCs/>
          <w:color w:val="auto"/>
          <w:sz w:val="24"/>
          <w:szCs w:val="24"/>
          <w:highlight w:val="none"/>
        </w:rPr>
        <w:t>投标人将所遇到的问题以电子邮件形式传czsctgczx@163.com滁州市城投工程咨询管理有限公司电子邮箱</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否则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bCs/>
          <w:color w:val="auto"/>
          <w:sz w:val="24"/>
          <w:szCs w:val="24"/>
          <w:highlight w:val="none"/>
        </w:rPr>
        <w:t>招标文件的澄清、修改、补充、解释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14.1</w:t>
      </w:r>
      <w:r>
        <w:rPr>
          <w:rFonts w:hint="eastAsia" w:ascii="宋体" w:hAnsi="宋体" w:eastAsia="宋体" w:cs="宋体"/>
          <w:color w:val="auto"/>
          <w:kern w:val="0"/>
          <w:sz w:val="24"/>
          <w:szCs w:val="24"/>
          <w:highlight w:val="none"/>
          <w:lang w:val="zh-CN"/>
        </w:rPr>
        <w:t>招标文件发出后</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招标人可对招标文件进行必要的澄清、修改和补充</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澄清内容</w:t>
      </w:r>
      <w:r>
        <w:rPr>
          <w:rFonts w:hint="eastAsia" w:ascii="宋体" w:hAnsi="宋体" w:eastAsia="宋体" w:cs="宋体"/>
          <w:color w:val="auto"/>
          <w:kern w:val="0"/>
          <w:sz w:val="24"/>
          <w:szCs w:val="24"/>
          <w:highlight w:val="none"/>
        </w:rPr>
        <w:t>将于</w:t>
      </w:r>
      <w:r>
        <w:rPr>
          <w:rFonts w:hint="eastAsia" w:ascii="宋体" w:hAnsi="宋体" w:eastAsia="宋体" w:cs="宋体"/>
          <w:b/>
          <w:color w:val="auto"/>
          <w:kern w:val="0"/>
          <w:sz w:val="24"/>
          <w:szCs w:val="24"/>
          <w:highlight w:val="none"/>
        </w:rPr>
        <w:t>202</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年</w:t>
      </w:r>
      <w:r>
        <w:rPr>
          <w:rFonts w:hint="eastAsia" w:ascii="宋体" w:hAnsi="宋体" w:cs="宋体"/>
          <w:b/>
          <w:color w:val="auto"/>
          <w:kern w:val="0"/>
          <w:sz w:val="24"/>
          <w:szCs w:val="24"/>
          <w:highlight w:val="none"/>
          <w:lang w:val="en-US" w:eastAsia="zh-CN"/>
        </w:rPr>
        <w:t>12</w:t>
      </w:r>
      <w:r>
        <w:rPr>
          <w:rFonts w:hint="eastAsia" w:ascii="宋体" w:hAnsi="宋体" w:eastAsia="宋体" w:cs="宋体"/>
          <w:b/>
          <w:color w:val="auto"/>
          <w:kern w:val="0"/>
          <w:sz w:val="24"/>
          <w:szCs w:val="24"/>
          <w:highlight w:val="none"/>
        </w:rPr>
        <w:t>月</w:t>
      </w:r>
      <w:r>
        <w:rPr>
          <w:rFonts w:hint="eastAsia" w:ascii="宋体" w:hAnsi="宋体" w:cs="宋体"/>
          <w:b/>
          <w:color w:val="auto"/>
          <w:kern w:val="0"/>
          <w:sz w:val="24"/>
          <w:szCs w:val="24"/>
          <w:highlight w:val="none"/>
          <w:lang w:val="en-US" w:eastAsia="zh-CN"/>
        </w:rPr>
        <w:t>23</w:t>
      </w:r>
      <w:r>
        <w:rPr>
          <w:rFonts w:hint="eastAsia" w:ascii="宋体" w:hAnsi="宋体" w:eastAsia="宋体" w:cs="宋体"/>
          <w:b/>
          <w:color w:val="auto"/>
          <w:kern w:val="0"/>
          <w:sz w:val="24"/>
          <w:szCs w:val="24"/>
          <w:highlight w:val="none"/>
        </w:rPr>
        <w:t>日17时</w:t>
      </w:r>
      <w:r>
        <w:rPr>
          <w:rFonts w:hint="eastAsia" w:ascii="宋体" w:hAnsi="宋体" w:eastAsia="宋体" w:cs="宋体"/>
          <w:color w:val="auto"/>
          <w:kern w:val="0"/>
          <w:sz w:val="24"/>
          <w:szCs w:val="24"/>
          <w:highlight w:val="none"/>
        </w:rPr>
        <w:t>后</w:t>
      </w:r>
      <w:r>
        <w:rPr>
          <w:rFonts w:hint="eastAsia" w:ascii="宋体" w:hAnsi="宋体" w:cs="宋体"/>
          <w:color w:val="auto"/>
          <w:kern w:val="0"/>
          <w:sz w:val="24"/>
          <w:szCs w:val="24"/>
          <w:highlight w:val="none"/>
          <w:lang w:val="en-US" w:eastAsia="zh-CN"/>
        </w:rPr>
        <w:t>在网站予以公布</w:t>
      </w:r>
      <w:r>
        <w:rPr>
          <w:rFonts w:hint="eastAsia" w:ascii="宋体" w:hAnsi="宋体" w:eastAsia="宋体" w:cs="宋体"/>
          <w:color w:val="auto"/>
          <w:kern w:val="0"/>
          <w:sz w:val="24"/>
          <w:szCs w:val="24"/>
          <w:highlight w:val="none"/>
          <w:lang w:val="zh-CN"/>
        </w:rPr>
        <w:t>。招标文件的修改内容作为招标文件的组成部分，具有约束作用。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本招标文件由招标人委托的招标代理机构负责解释。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15.踏勘现场及投标预备会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踏勘现场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15.1.1</w:t>
      </w:r>
      <w:r>
        <w:rPr>
          <w:rFonts w:hint="eastAsia" w:ascii="宋体" w:hAnsi="宋体" w:eastAsia="宋体" w:cs="宋体"/>
          <w:color w:val="auto"/>
          <w:kern w:val="0"/>
          <w:sz w:val="24"/>
          <w:szCs w:val="24"/>
          <w:highlight w:val="none"/>
        </w:rPr>
        <w:t>不再集中召开招标答疑会；投标人自行组织勘察现场。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15.2  投标预备会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本项目不采用</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招标文件的发出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16.1招标文件、招标文件的澄清、修改、补充及招标答疑等均应报招标人备案后，方可发出。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最高投标限价的作用和说明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bookmarkStart w:id="44" w:name="_Toc2485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见投标须知前附表。</w:t>
      </w:r>
    </w:p>
    <w:p>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三、投标文件的编制</w:t>
      </w:r>
      <w:bookmarkEnd w:id="44"/>
    </w:p>
    <w:p>
      <w:pPr>
        <w:pStyle w:val="3"/>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 投标文件的组成</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22．投标报价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 投标人的投标报价包括按合同规定的范围所提供的全部服务所需的费用，即招标范围内人员工资、办公费用、成本、利润及税金等全部费用。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 投标报价不按规定报价的，其投标文件按无效标处理。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23.投标有效期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23.1投标有效期为</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日历天（从投标截止之日算起）。在此期限内，凡符合本招标文件要求的投标文件均保持有效。</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 投标保证金</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24.1 详见须知前附表。</w:t>
      </w:r>
    </w:p>
    <w:p>
      <w:pPr>
        <w:spacing w:before="95" w:beforeLines="30" w:after="95" w:afterLines="30" w:line="440" w:lineRule="exact"/>
        <w:jc w:val="center"/>
        <w:outlineLvl w:val="1"/>
        <w:rPr>
          <w:rFonts w:ascii="宋体" w:hAnsi="宋体" w:cs="宋体"/>
          <w:b/>
          <w:bCs/>
          <w:color w:val="auto"/>
          <w:sz w:val="24"/>
          <w:szCs w:val="24"/>
          <w:highlight w:val="none"/>
        </w:rPr>
      </w:pPr>
      <w:bookmarkStart w:id="45" w:name="_Toc27519"/>
      <w:r>
        <w:rPr>
          <w:rFonts w:hint="eastAsia" w:ascii="宋体" w:hAnsi="宋体" w:cs="宋体"/>
          <w:b/>
          <w:bCs/>
          <w:color w:val="auto"/>
          <w:sz w:val="24"/>
          <w:szCs w:val="24"/>
          <w:highlight w:val="none"/>
        </w:rPr>
        <w:t>四、投标文件的密封和递交</w:t>
      </w:r>
      <w:bookmarkEnd w:id="4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投标文件的份数和签署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25.1  投标文件：</w:t>
      </w:r>
      <w:r>
        <w:rPr>
          <w:rFonts w:hint="eastAsia" w:ascii="宋体" w:hAnsi="宋体" w:cs="宋体"/>
          <w:color w:val="auto"/>
          <w:sz w:val="24"/>
          <w:szCs w:val="24"/>
          <w:highlight w:val="none"/>
          <w:lang w:val="en-US" w:eastAsia="zh-CN"/>
        </w:rPr>
        <w:t xml:space="preserve"> 网上递交的电子投标文件：一份。以投标人在投标截止时间前网上递交的电子投标文件为准，逾期提交的，投标文件将被拒绝。</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pacing w:val="-4"/>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投标文件中的授权书、投标函应当在格式文本要求的相应位置签字和盖章，否则，应当否决其投标。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投标文件的提交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  投标文件提交的收件人、截止时间及地点：详见须知前附表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  迟交的投标文件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.2.1招标人在本须知第2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.1款规定的投标截止时间以后收到的投标文件，将被拒绝。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投标文件的补充、修改与撤回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  投标人在提交投标文件以后，在规定的投标截止时间之前，可以书面形式补充、修改或撤回已提交的投标文件，并以书面形式通知招标人。补充、修改的内容为投标文件的组成部分。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  投标人对投标文件的补充、修改，应按本须知第25条、第26条和第27条有关规定密封、标记和提交，并在投标文件上清楚标明“补充”、“修改”字样。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  在投标截止时间之后，投标人不得补充、修改投标文件。</w:t>
      </w:r>
    </w:p>
    <w:p>
      <w:pPr>
        <w:spacing w:before="95" w:beforeLines="30" w:after="95" w:afterLines="30" w:line="440" w:lineRule="exact"/>
        <w:jc w:val="center"/>
        <w:outlineLvl w:val="1"/>
        <w:rPr>
          <w:rFonts w:ascii="宋体" w:hAnsi="宋体" w:cs="宋体"/>
          <w:b/>
          <w:bCs/>
          <w:color w:val="auto"/>
          <w:sz w:val="24"/>
          <w:szCs w:val="24"/>
          <w:highlight w:val="none"/>
        </w:rPr>
      </w:pPr>
      <w:bookmarkStart w:id="46" w:name="_Toc18173"/>
      <w:r>
        <w:rPr>
          <w:rFonts w:hint="eastAsia" w:ascii="宋体" w:hAnsi="宋体" w:cs="宋体"/>
          <w:b/>
          <w:bCs/>
          <w:color w:val="auto"/>
          <w:sz w:val="24"/>
          <w:szCs w:val="24"/>
          <w:highlight w:val="none"/>
        </w:rPr>
        <w:t>五、开标、评标和定标</w:t>
      </w:r>
      <w:bookmarkEnd w:id="46"/>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开标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开标的时间和地点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.1.1招标人按本须知第2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1条提交投标文件的截止时间和地点公开开标。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  参与开标的相关部门：招标人等。</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  对参加开标的投标人的要求</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val="en-US" w:eastAsia="zh-CN"/>
        </w:rPr>
        <w:t>无需达到开标现场</w:t>
      </w:r>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  开标程序</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①开标会议由招标代理机构：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滁州市城投工程咨询管理有限公司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（招标代理公司）主持；</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评标委员会对投标文件进行评审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经投标文件评审后，由评标委员会按修正后的投标报价由低到高顺序排序，确定中标候选人；</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rPr>
        <w:t>代理公司对开标过程进行记录，并存档备查。</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评标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  评标办法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否决投标情况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  投标文件出现下列情形之一的，应当否决其投标：</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逾期送达的；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无单位盖章、无法定代表人或法定代表人授权的代理人签字或盖章的；；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未按规定的格式填写，内容不全或关键字迹模糊、无法辨认的；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④服务</w:t>
      </w:r>
      <w:r>
        <w:rPr>
          <w:rFonts w:hint="eastAsia" w:ascii="宋体" w:hAnsi="宋体" w:eastAsia="宋体" w:cs="宋体"/>
          <w:color w:val="auto"/>
          <w:sz w:val="24"/>
          <w:szCs w:val="24"/>
          <w:highlight w:val="none"/>
        </w:rPr>
        <w:t>期或质量不符合招标文件要求的</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⑤</w:t>
      </w:r>
      <w:r>
        <w:rPr>
          <w:rFonts w:hint="eastAsia" w:ascii="宋体" w:hAnsi="宋体" w:cs="宋体"/>
          <w:color w:val="auto"/>
          <w:sz w:val="24"/>
          <w:szCs w:val="24"/>
          <w:highlight w:val="none"/>
          <w:lang w:val="en-US" w:eastAsia="zh-CN"/>
        </w:rPr>
        <w:t>投标报价高于最高限价的；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rPr>
        <w:t>法律、法规、规章和招标文件规定的其他否决投标情形；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定标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bookmarkStart w:id="47" w:name="_Toc21491"/>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中标人的确定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.1.1除投标人须知前附表规定评标委员会直接确定中标人外，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.1.2中标人确定后，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应将中标信息在网站上公告。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中标通知书</w:t>
      </w:r>
    </w:p>
    <w:p>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或采购代理机构应在中标人确定之日起2个工作日内，向中标人发出中标通知书。</w:t>
      </w:r>
    </w:p>
    <w:p>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六、合同的授予</w:t>
      </w:r>
      <w:bookmarkEnd w:id="4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合同授予标准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  本招标工程的合同授予按本须知第32条规定所确定的中标人。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合同协议书的签订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  中标通知书发放后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日内，按照招标文件和中标人的投标文件订立书面合同。招标人和中标人不得再行订立背离合同实质性内容的其他协议。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  招标人如不按本投标须知第33条的规定与中标人订立合同，或者招标人、中标人订立背离合同实质性内容的协议，招标人应当按给投标人造成的损失予以赔偿，同时依法承担相应法律责任。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  中标人如不按本投标须知第33条的规定与招标人订立合同，则招标人将取消其中标资格，给招标人造成的损失予以赔偿，同时依法承担相应法律责任。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  中标人应当按照合同约定履行义务，完成中标项目的实施，不得将中标项目转让（转包）给他人。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详见须知前附表</w:t>
      </w:r>
    </w:p>
    <w:p>
      <w:pPr>
        <w:adjustRightInd w:val="0"/>
        <w:snapToGrid w:val="0"/>
        <w:spacing w:line="440" w:lineRule="exact"/>
        <w:jc w:val="center"/>
        <w:rPr>
          <w:rFonts w:hint="eastAsia" w:ascii="黑体" w:eastAsia="黑体"/>
          <w:color w:val="auto"/>
          <w:sz w:val="28"/>
          <w:szCs w:val="28"/>
          <w:highlight w:val="none"/>
        </w:rPr>
      </w:pPr>
      <w:bookmarkStart w:id="48" w:name="_Toc449028874"/>
    </w:p>
    <w:p>
      <w:pPr>
        <w:adjustRightInd w:val="0"/>
        <w:snapToGrid w:val="0"/>
        <w:spacing w:line="440" w:lineRule="exact"/>
        <w:jc w:val="center"/>
        <w:rPr>
          <w:rFonts w:hint="eastAsia" w:ascii="黑体" w:eastAsia="黑体"/>
          <w:color w:val="auto"/>
          <w:sz w:val="28"/>
          <w:szCs w:val="28"/>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纪律和监督</w:t>
      </w:r>
      <w:bookmarkEnd w:id="48"/>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5</w:t>
      </w:r>
      <w:r>
        <w:rPr>
          <w:rFonts w:hint="eastAsia" w:ascii="宋体"/>
          <w:b/>
          <w:color w:val="auto"/>
          <w:sz w:val="24"/>
          <w:szCs w:val="24"/>
          <w:highlight w:val="none"/>
        </w:rPr>
        <w:t>. 对</w:t>
      </w:r>
      <w:r>
        <w:rPr>
          <w:rFonts w:hint="eastAsia" w:ascii="宋体"/>
          <w:b/>
          <w:color w:val="auto"/>
          <w:sz w:val="24"/>
          <w:szCs w:val="24"/>
          <w:highlight w:val="none"/>
          <w:lang w:eastAsia="zh-CN"/>
        </w:rPr>
        <w:t>招标人</w:t>
      </w:r>
      <w:r>
        <w:rPr>
          <w:rFonts w:hint="eastAsia" w:ascii="宋体"/>
          <w:b/>
          <w:color w:val="auto"/>
          <w:sz w:val="24"/>
          <w:szCs w:val="24"/>
          <w:highlight w:val="none"/>
        </w:rPr>
        <w:t xml:space="preserve">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5</w:t>
      </w:r>
      <w:r>
        <w:rPr>
          <w:rFonts w:hint="eastAsia" w:ascii="宋体"/>
          <w:color w:val="auto"/>
          <w:kern w:val="10"/>
          <w:sz w:val="24"/>
          <w:szCs w:val="24"/>
          <w:highlight w:val="none"/>
        </w:rPr>
        <w:t>.1</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 xml:space="preserve">不得泄漏招标投标活动中应当保密的情况和资料，不得与投标人串通损害国家利益，社会公共利益或者他人合法权益。 </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6</w:t>
      </w:r>
      <w:r>
        <w:rPr>
          <w:rFonts w:hint="eastAsia" w:ascii="宋体"/>
          <w:b/>
          <w:color w:val="auto"/>
          <w:sz w:val="24"/>
          <w:szCs w:val="24"/>
          <w:highlight w:val="none"/>
        </w:rPr>
        <w:t xml:space="preserve">. 对投标人的纪律要求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6</w:t>
      </w:r>
      <w:r>
        <w:rPr>
          <w:rFonts w:hint="eastAsia" w:ascii="宋体"/>
          <w:color w:val="auto"/>
          <w:kern w:val="10"/>
          <w:sz w:val="24"/>
          <w:szCs w:val="24"/>
          <w:highlight w:val="none"/>
        </w:rPr>
        <w:t>.1投标人不得相互串通投标或者与</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串通投标，不得向</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7</w:t>
      </w:r>
      <w:r>
        <w:rPr>
          <w:rFonts w:hint="eastAsia" w:ascii="宋体"/>
          <w:b/>
          <w:color w:val="auto"/>
          <w:sz w:val="24"/>
          <w:szCs w:val="24"/>
          <w:highlight w:val="none"/>
        </w:rPr>
        <w:t xml:space="preserve">. 对评标委员会成员的纪律要求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.1评标委员会成员不得收受他人的财物或者其他好处，不得向他人透漏对投标文件的评审和比较、中标候选人的推荐情况以及评标有关的其他情况。</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lang w:val="en-US" w:eastAsia="zh-CN"/>
        </w:rPr>
        <w:t>39</w:t>
      </w:r>
      <w:r>
        <w:rPr>
          <w:rFonts w:hint="eastAsia" w:ascii="宋体"/>
          <w:b/>
          <w:color w:val="auto"/>
          <w:sz w:val="24"/>
          <w:szCs w:val="24"/>
          <w:highlight w:val="none"/>
        </w:rPr>
        <w:t xml:space="preserve">. 对与评标活动有关的工作人员的纪律要求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lang w:val="en-US" w:eastAsia="zh-CN"/>
        </w:rPr>
        <w:t>39</w:t>
      </w:r>
      <w:r>
        <w:rPr>
          <w:rFonts w:hint="eastAsia" w:ascii="宋体"/>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bookmarkStart w:id="49" w:name="_Toc449028875"/>
    </w:p>
    <w:p>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八、质疑与投诉</w:t>
      </w:r>
      <w:bookmarkEnd w:id="49"/>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.1  若投标人或者其他利害关系人对</w:t>
      </w:r>
      <w:r>
        <w:rPr>
          <w:rFonts w:hint="eastAsia" w:ascii="宋体" w:hAnsi="Times New Roman" w:eastAsia="宋体" w:cs="Times New Roman"/>
          <w:color w:val="auto"/>
          <w:kern w:val="10"/>
          <w:sz w:val="24"/>
          <w:szCs w:val="24"/>
          <w:highlight w:val="none"/>
          <w:lang w:val="en-US" w:eastAsia="zh-CN"/>
        </w:rPr>
        <w:t>中标</w:t>
      </w:r>
      <w:r>
        <w:rPr>
          <w:rFonts w:hint="eastAsia" w:ascii="宋体" w:hAnsi="Times New Roman" w:eastAsia="宋体" w:cs="Times New Roman"/>
          <w:color w:val="auto"/>
          <w:kern w:val="10"/>
          <w:sz w:val="24"/>
          <w:szCs w:val="24"/>
          <w:highlight w:val="none"/>
          <w:lang w:eastAsia="zh-CN"/>
        </w:rPr>
        <w:t>结果有异议，可在公示期内以书面形式，并在工作时间内（上午8:00-12:00,下午2:30-5:30）向招标人或招标代理机构提出异议。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异议应以书面形式实名提出，书面异议材料应当包括以下内容：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（1）异议人的名称、地址、有效联系方式；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（2）项目名称、项目编号、标段号（如有）；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（3）被异议人名称；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（4）具体的异议事项、基本事实及必要的证明材料；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（5）明确的请求及主张；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（6）提起异议的日期。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（7）异议人为法人的，应当由法定代表人或授权代表签字并加盖公章；为其他组织或个人的，异议材料须由其主要负责人或者异议人本人签字，并附有效身份证明复印件。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（8）异议人需要修改、补充异议材料的，应当在招标人或招标代理机构规定的期限内提交修改或补充材料。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xml:space="preserve">  </w:t>
      </w:r>
      <w:r>
        <w:rPr>
          <w:rFonts w:hint="eastAsia" w:ascii="宋体" w:hAnsi="Times New Roman" w:eastAsia="宋体" w:cs="Times New Roman"/>
          <w:color w:val="auto"/>
          <w:kern w:val="10"/>
          <w:sz w:val="24"/>
          <w:szCs w:val="24"/>
          <w:highlight w:val="none"/>
          <w:lang w:val="en-US" w:eastAsia="zh-CN"/>
        </w:rPr>
        <w:t xml:space="preserve"> 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val="en-US" w:eastAsia="zh-CN"/>
        </w:rPr>
        <w:t>.2</w:t>
      </w:r>
      <w:r>
        <w:rPr>
          <w:rFonts w:hint="eastAsia" w:ascii="宋体" w:hAnsi="Times New Roman" w:eastAsia="宋体" w:cs="Times New Roman"/>
          <w:color w:val="auto"/>
          <w:kern w:val="10"/>
          <w:sz w:val="24"/>
          <w:szCs w:val="24"/>
          <w:highlight w:val="none"/>
          <w:lang w:eastAsia="zh-CN"/>
        </w:rPr>
        <w:t> </w:t>
      </w:r>
      <w:r>
        <w:rPr>
          <w:rFonts w:hint="eastAsia" w:ascii="宋体" w:hAnsi="Times New Roman" w:eastAsia="宋体" w:cs="Times New Roman"/>
          <w:color w:val="auto"/>
          <w:kern w:val="10"/>
          <w:sz w:val="24"/>
          <w:szCs w:val="24"/>
          <w:highlight w:val="none"/>
          <w:lang w:val="en-US" w:eastAsia="zh-CN"/>
        </w:rPr>
        <w:t xml:space="preserve">  </w:t>
      </w:r>
      <w:r>
        <w:rPr>
          <w:rFonts w:hint="eastAsia" w:ascii="宋体" w:hAnsi="Times New Roman" w:eastAsia="宋体" w:cs="Times New Roman"/>
          <w:color w:val="auto"/>
          <w:kern w:val="10"/>
          <w:sz w:val="24"/>
          <w:szCs w:val="24"/>
          <w:highlight w:val="none"/>
          <w:lang w:eastAsia="zh-CN"/>
        </w:rPr>
        <w:t>有下列情形之一的，不予受理：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（1）提出异议的主体不是所异议项目投标人或者其他利害关系人的；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cs="Times New Roman"/>
          <w:color w:val="auto"/>
          <w:kern w:val="10"/>
          <w:sz w:val="24"/>
          <w:szCs w:val="24"/>
          <w:highlight w:val="none"/>
          <w:lang w:eastAsia="zh-CN"/>
        </w:rPr>
        <w:t>（</w:t>
      </w:r>
      <w:r>
        <w:rPr>
          <w:rFonts w:hint="eastAsia" w:ascii="宋体" w:cs="Times New Roman"/>
          <w:color w:val="auto"/>
          <w:kern w:val="10"/>
          <w:sz w:val="24"/>
          <w:szCs w:val="24"/>
          <w:highlight w:val="none"/>
          <w:lang w:val="en-US" w:eastAsia="zh-CN"/>
        </w:rPr>
        <w:t>2）</w:t>
      </w:r>
      <w:r>
        <w:rPr>
          <w:rFonts w:hint="eastAsia" w:ascii="宋体" w:hAnsi="Times New Roman" w:eastAsia="宋体" w:cs="Times New Roman"/>
          <w:color w:val="auto"/>
          <w:kern w:val="10"/>
          <w:sz w:val="24"/>
          <w:szCs w:val="24"/>
          <w:highlight w:val="none"/>
          <w:lang w:eastAsia="zh-CN"/>
        </w:rPr>
        <w:t>对于依法必须招标的项目，未在公示期间提出异议的；</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（3）异议材料不完整的；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（4）异议事项含有主观猜测等内容且未提供有效线索、难以查证的；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（5）对其他投标人的投标文件详细内容异议，无法提供合法来源渠道的；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（6）异议事项已进入投诉处理、行政复议或行政诉讼程序的。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.3 投标人或其他利害关系人对招标文件有异议的，应在投标截止时间10日前以网上留言或书面形式（包括信函、电报、传真等可以有形的表现所载内容的形式，下同）提出。招标人将在收到异议之日起3日内作出答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.4投标人对开标有异议的，应当在开标现场提出，招标人当场作出答复，并制作记录。异议与答复应通过电子交易系统进行。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 投诉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w:t>
      </w:r>
      <w:r>
        <w:rPr>
          <w:rFonts w:hint="eastAsia" w:ascii="宋体" w:hAnsi="宋体" w:cs="宋体"/>
          <w:color w:val="auto"/>
          <w:sz w:val="24"/>
          <w:szCs w:val="24"/>
          <w:highlight w:val="none"/>
        </w:rPr>
        <w:t>投标人和其他利害关系人认为本次招标活动违反法律、法规和规章规定的，有权向有关行政监督部门投诉。投诉应当有明确的请求和必要的证明材料。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41.2</w:t>
      </w:r>
      <w:r>
        <w:rPr>
          <w:rFonts w:hint="eastAsia" w:ascii="宋体" w:hAnsi="宋体" w:cs="宋体"/>
          <w:color w:val="auto"/>
          <w:sz w:val="24"/>
          <w:szCs w:val="24"/>
          <w:highlight w:val="none"/>
        </w:rPr>
        <w:t>投标人和其他利害关系人对评标结果等事项投诉的，应当在开标期间或中标</w:t>
      </w:r>
      <w:r>
        <w:rPr>
          <w:rFonts w:hint="eastAsia" w:ascii="宋体" w:hAnsi="宋体" w:cs="宋体"/>
          <w:color w:val="auto"/>
          <w:sz w:val="24"/>
          <w:szCs w:val="24"/>
          <w:highlight w:val="none"/>
          <w:lang w:val="en-US" w:eastAsia="zh-CN"/>
        </w:rPr>
        <w:t>结果</w:t>
      </w:r>
      <w:r>
        <w:rPr>
          <w:rFonts w:hint="eastAsia" w:ascii="宋体" w:hAnsi="宋体" w:cs="宋体"/>
          <w:color w:val="auto"/>
          <w:sz w:val="24"/>
          <w:szCs w:val="24"/>
          <w:highlight w:val="none"/>
        </w:rPr>
        <w:t>公示期间，先向招标人提出异议。</w:t>
      </w:r>
      <w:r>
        <w:rPr>
          <w:rFonts w:hint="eastAsia" w:ascii="宋体" w:hAnsi="宋体" w:cs="宋体"/>
          <w:b/>
          <w:bCs/>
          <w:color w:val="auto"/>
          <w:sz w:val="24"/>
          <w:szCs w:val="24"/>
          <w:highlight w:val="none"/>
        </w:rPr>
        <w:t>注：一份质疑（异议）函只能针对一个项目提出质疑（异议），且针对同一招标采购程序环节的质疑（异议）应当一次性提出。</w:t>
      </w:r>
    </w:p>
    <w:p>
      <w:pPr>
        <w:rPr>
          <w:rFonts w:ascii="仿宋" w:hAnsi="仿宋" w:eastAsia="仿宋" w:cs="仿宋"/>
          <w:b/>
          <w:color w:val="auto"/>
          <w:sz w:val="24"/>
          <w:szCs w:val="24"/>
          <w:highlight w:val="none"/>
        </w:rPr>
      </w:pPr>
      <w:r>
        <w:rPr>
          <w:rFonts w:ascii="宋体"/>
          <w:b/>
          <w:color w:val="auto"/>
          <w:sz w:val="24"/>
          <w:szCs w:val="24"/>
          <w:highlight w:val="none"/>
        </w:rPr>
        <w:br w:type="page"/>
      </w:r>
    </w:p>
    <w:p>
      <w:pPr>
        <w:spacing w:before="156" w:beforeLines="50" w:after="156" w:afterLines="50"/>
        <w:jc w:val="center"/>
        <w:outlineLvl w:val="0"/>
        <w:rPr>
          <w:rFonts w:hint="eastAsia" w:ascii="宋体"/>
          <w:b/>
          <w:color w:val="auto"/>
          <w:sz w:val="32"/>
          <w:szCs w:val="32"/>
          <w:highlight w:val="none"/>
        </w:rPr>
      </w:pPr>
      <w:bookmarkStart w:id="50" w:name="_Toc58430316"/>
      <w:bookmarkStart w:id="51" w:name="_Toc14115"/>
      <w:bookmarkStart w:id="52" w:name="_Toc32192"/>
      <w:bookmarkStart w:id="53" w:name="_Toc31589_WPSOffice_Level1"/>
      <w:bookmarkStart w:id="54" w:name="_Toc12737"/>
      <w:bookmarkStart w:id="55" w:name="_Toc3222"/>
      <w:r>
        <w:rPr>
          <w:rFonts w:hint="eastAsia" w:ascii="宋体"/>
          <w:b/>
          <w:color w:val="auto"/>
          <w:sz w:val="32"/>
          <w:szCs w:val="32"/>
          <w:highlight w:val="none"/>
        </w:rPr>
        <w:t>第三章 评标办法（</w:t>
      </w:r>
      <w:r>
        <w:rPr>
          <w:rFonts w:hint="eastAsia" w:ascii="宋体"/>
          <w:b/>
          <w:color w:val="auto"/>
          <w:sz w:val="32"/>
          <w:szCs w:val="32"/>
          <w:highlight w:val="none"/>
          <w:lang w:eastAsia="zh-CN"/>
        </w:rPr>
        <w:t>综合评估法</w:t>
      </w:r>
      <w:r>
        <w:rPr>
          <w:rFonts w:hint="eastAsia" w:ascii="宋体"/>
          <w:b/>
          <w:color w:val="auto"/>
          <w:sz w:val="32"/>
          <w:szCs w:val="32"/>
          <w:highlight w:val="none"/>
        </w:rPr>
        <w:t>）</w:t>
      </w:r>
      <w:bookmarkEnd w:id="50"/>
      <w:bookmarkEnd w:id="51"/>
      <w:bookmarkEnd w:id="52"/>
    </w:p>
    <w:p>
      <w:pPr>
        <w:spacing w:before="156" w:beforeLines="50" w:after="156" w:afterLines="50" w:line="440" w:lineRule="exact"/>
        <w:jc w:val="center"/>
        <w:outlineLvl w:val="1"/>
        <w:rPr>
          <w:rFonts w:hint="eastAsia" w:ascii="宋体"/>
          <w:b/>
          <w:color w:val="auto"/>
          <w:sz w:val="28"/>
          <w:szCs w:val="28"/>
          <w:highlight w:val="none"/>
        </w:rPr>
      </w:pPr>
      <w:bookmarkStart w:id="56" w:name="_Toc362983801"/>
      <w:bookmarkStart w:id="57" w:name="_Toc449028877"/>
      <w:bookmarkStart w:id="58" w:name="_Toc58430317"/>
      <w:bookmarkStart w:id="59" w:name="_Toc267320058"/>
      <w:bookmarkStart w:id="60" w:name="_Toc363135205"/>
      <w:r>
        <w:rPr>
          <w:rFonts w:hint="eastAsia" w:ascii="宋体"/>
          <w:b/>
          <w:color w:val="auto"/>
          <w:sz w:val="28"/>
          <w:szCs w:val="28"/>
          <w:highlight w:val="none"/>
        </w:rPr>
        <w:t>一、总</w:t>
      </w:r>
      <w:r>
        <w:rPr>
          <w:rFonts w:hint="eastAsia" w:ascii="宋体"/>
          <w:b/>
          <w:color w:val="auto"/>
          <w:sz w:val="28"/>
          <w:szCs w:val="28"/>
          <w:highlight w:val="none"/>
          <w:lang w:val="en-US" w:eastAsia="zh-CN"/>
        </w:rPr>
        <w:t xml:space="preserve"> </w:t>
      </w:r>
      <w:r>
        <w:rPr>
          <w:rFonts w:hint="eastAsia" w:ascii="宋体"/>
          <w:b/>
          <w:color w:val="auto"/>
          <w:sz w:val="28"/>
          <w:szCs w:val="28"/>
          <w:highlight w:val="none"/>
        </w:rPr>
        <w:t>则</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eastAsia="宋体"/>
          <w:b/>
          <w:color w:val="auto"/>
          <w:sz w:val="24"/>
          <w:szCs w:val="24"/>
          <w:highlight w:val="none"/>
          <w:lang w:eastAsia="zh-CN"/>
        </w:rPr>
      </w:pPr>
      <w:r>
        <w:rPr>
          <w:rFonts w:hint="eastAsia" w:ascii="宋体"/>
          <w:b/>
          <w:color w:val="auto"/>
          <w:sz w:val="24"/>
          <w:szCs w:val="24"/>
          <w:highlight w:val="none"/>
        </w:rPr>
        <w:t xml:space="preserve"> 1. 本次评标采用</w:t>
      </w:r>
      <w:r>
        <w:rPr>
          <w:rFonts w:hint="eastAsia" w:ascii="宋体"/>
          <w:b/>
          <w:color w:val="auto"/>
          <w:sz w:val="24"/>
          <w:szCs w:val="24"/>
          <w:highlight w:val="none"/>
          <w:lang w:eastAsia="zh-CN"/>
        </w:rPr>
        <w:t>综合评估法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color w:val="auto"/>
          <w:sz w:val="24"/>
          <w:szCs w:val="24"/>
          <w:highlight w:val="none"/>
        </w:rPr>
        <w:t>1.1</w:t>
      </w:r>
      <w:r>
        <w:rPr>
          <w:rFonts w:hint="eastAsia" w:ascii="宋体"/>
          <w:color w:val="auto"/>
          <w:sz w:val="24"/>
          <w:szCs w:val="24"/>
          <w:highlight w:val="none"/>
          <w:lang w:eastAsia="zh-CN"/>
        </w:rPr>
        <w:t>综合评估法</w:t>
      </w:r>
      <w:r>
        <w:rPr>
          <w:rFonts w:hint="eastAsia" w:ascii="宋体"/>
          <w:color w:val="auto"/>
          <w:sz w:val="24"/>
          <w:szCs w:val="24"/>
          <w:highlight w:val="none"/>
        </w:rPr>
        <w:t>是指投标文件满足招标文件全部实质性要求且按照评审因素的量化指标评审总得分从高到低的</w:t>
      </w:r>
      <w:r>
        <w:rPr>
          <w:rFonts w:hint="eastAsia" w:ascii="宋体"/>
          <w:color w:val="auto"/>
          <w:sz w:val="24"/>
          <w:szCs w:val="24"/>
          <w:highlight w:val="none"/>
          <w:lang w:eastAsia="zh-CN"/>
        </w:rPr>
        <w:t>投标人</w:t>
      </w:r>
      <w:r>
        <w:rPr>
          <w:rFonts w:hint="eastAsia" w:ascii="宋体"/>
          <w:color w:val="auto"/>
          <w:sz w:val="24"/>
          <w:szCs w:val="24"/>
          <w:highlight w:val="none"/>
        </w:rPr>
        <w:t>为中标候选人的评标方法。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1.2</w:t>
      </w:r>
      <w:r>
        <w:rPr>
          <w:rFonts w:hint="eastAsia" w:ascii="宋体"/>
          <w:color w:val="auto"/>
          <w:sz w:val="24"/>
          <w:szCs w:val="24"/>
          <w:highlight w:val="none"/>
          <w:lang w:eastAsia="zh-CN"/>
        </w:rPr>
        <w:t>综合评估法</w:t>
      </w:r>
      <w:r>
        <w:rPr>
          <w:rFonts w:hint="eastAsia" w:ascii="宋体"/>
          <w:color w:val="auto"/>
          <w:sz w:val="24"/>
          <w:szCs w:val="24"/>
          <w:highlight w:val="none"/>
        </w:rPr>
        <w:t>一般适用于较为复杂、评价指标难以量化且价格为非主要因素的非标准定制商品和非通用服务项目的项目评审。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b/>
          <w:color w:val="auto"/>
          <w:sz w:val="24"/>
          <w:szCs w:val="24"/>
          <w:highlight w:val="none"/>
        </w:rPr>
      </w:pPr>
      <w:r>
        <w:rPr>
          <w:rFonts w:hint="eastAsia" w:ascii="宋体"/>
          <w:b/>
          <w:color w:val="auto"/>
          <w:sz w:val="24"/>
          <w:szCs w:val="24"/>
          <w:highlight w:val="none"/>
        </w:rPr>
        <w:t>2．评标程序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2.1投标文件的初审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2.1.1资格性检查。依据法律法规和招标文件的规定，对投标文件进行审查，以确定投标人是否具备投标资格。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2.1.2符合性检查。依据招标文件的规定，从投标文件的有效性、完整性和对招标文件的响应程度进行审查，以确定投标人是否对招标文件的实质性要求作出响应。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2.2投标文件的澄清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2.2.3  </w:t>
      </w:r>
      <w:r>
        <w:rPr>
          <w:rFonts w:hint="eastAsia" w:ascii="宋体"/>
          <w:color w:val="auto"/>
          <w:sz w:val="24"/>
          <w:szCs w:val="24"/>
          <w:highlight w:val="none"/>
          <w:lang w:eastAsia="zh-CN"/>
        </w:rPr>
        <w:t>招标人</w:t>
      </w:r>
      <w:r>
        <w:rPr>
          <w:rFonts w:hint="eastAsia" w:ascii="宋体"/>
          <w:color w:val="auto"/>
          <w:sz w:val="24"/>
          <w:szCs w:val="24"/>
          <w:highlight w:val="none"/>
        </w:rPr>
        <w:t>不接受投标人主动提出的澄清。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2.3比较与评价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2．3.1按招标文件中规定的评标方法和标准，对资格性检查和符合性检查合格的投标文件进行资信、商务评估，综合比较与评价。 </w:t>
      </w:r>
      <w:r>
        <w:rPr>
          <w:rFonts w:hint="eastAsia" w:ascii="宋体"/>
          <w:color w:val="auto"/>
          <w:sz w:val="24"/>
          <w:szCs w:val="24"/>
          <w:highlight w:val="none"/>
        </w:rPr>
        <w:br w:type="textWrapping"/>
      </w:r>
      <w:r>
        <w:rPr>
          <w:rFonts w:hint="eastAsia" w:ascii="宋体"/>
          <w:color w:val="auto"/>
          <w:sz w:val="24"/>
          <w:szCs w:val="24"/>
          <w:highlight w:val="none"/>
        </w:rPr>
        <w:t xml:space="preserve">    2.4推荐中标候选人名单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2.4.1中标候选人数量应当根据采购需要确定，但必须按顺序排列中标候选人。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2.5在投标文件的审查、澄清、评价和比较以及授予合同过程中，投标人对</w:t>
      </w:r>
      <w:r>
        <w:rPr>
          <w:rFonts w:hint="eastAsia" w:ascii="宋体"/>
          <w:color w:val="auto"/>
          <w:sz w:val="24"/>
          <w:szCs w:val="24"/>
          <w:highlight w:val="none"/>
          <w:lang w:eastAsia="zh-CN"/>
        </w:rPr>
        <w:t>招标人</w:t>
      </w:r>
      <w:r>
        <w:rPr>
          <w:rFonts w:hint="eastAsia" w:ascii="宋体"/>
          <w:color w:val="auto"/>
          <w:sz w:val="24"/>
          <w:szCs w:val="24"/>
          <w:highlight w:val="none"/>
        </w:rPr>
        <w:t>和评标委员会成员施加影响的任何行为，都将导致取消其中标资格。</w:t>
      </w:r>
    </w:p>
    <w:p>
      <w:pPr>
        <w:spacing w:before="156" w:beforeLines="50" w:after="156" w:afterLines="50" w:line="360" w:lineRule="auto"/>
        <w:outlineLvl w:val="1"/>
        <w:rPr>
          <w:rFonts w:ascii="宋体"/>
          <w:b/>
          <w:color w:val="auto"/>
          <w:sz w:val="24"/>
          <w:szCs w:val="24"/>
          <w:highlight w:val="none"/>
        </w:rPr>
        <w:sectPr>
          <w:footerReference r:id="rId9" w:type="default"/>
          <w:pgSz w:w="11906" w:h="16838"/>
          <w:pgMar w:top="1440" w:right="1040" w:bottom="1440" w:left="1406" w:header="851" w:footer="992" w:gutter="0"/>
          <w:pgNumType w:fmt="decimal" w:start="1"/>
          <w:cols w:space="720" w:num="1"/>
          <w:docGrid w:type="lines" w:linePitch="312" w:charSpace="0"/>
        </w:sectPr>
      </w:pPr>
      <w:bookmarkStart w:id="61" w:name="_Toc362983802"/>
    </w:p>
    <w:p>
      <w:pPr>
        <w:jc w:val="center"/>
        <w:outlineLvl w:val="1"/>
        <w:rPr>
          <w:rFonts w:hint="eastAsia" w:ascii="宋体" w:eastAsia="宋体"/>
          <w:b/>
          <w:color w:val="auto"/>
          <w:sz w:val="28"/>
          <w:szCs w:val="28"/>
          <w:highlight w:val="none"/>
          <w:lang w:eastAsia="zh-CN"/>
        </w:rPr>
      </w:pPr>
      <w:bookmarkStart w:id="62" w:name="_Toc58430318"/>
      <w:bookmarkStart w:id="63" w:name="_Toc449028878"/>
      <w:r>
        <w:rPr>
          <w:rFonts w:hint="eastAsia" w:ascii="宋体"/>
          <w:b/>
          <w:color w:val="auto"/>
          <w:sz w:val="28"/>
          <w:szCs w:val="28"/>
          <w:highlight w:val="none"/>
        </w:rPr>
        <w:t>二、投标文件</w:t>
      </w:r>
      <w:bookmarkEnd w:id="61"/>
      <w:bookmarkEnd w:id="62"/>
      <w:bookmarkEnd w:id="63"/>
      <w:r>
        <w:rPr>
          <w:rFonts w:hint="eastAsia" w:ascii="宋体"/>
          <w:b/>
          <w:color w:val="auto"/>
          <w:sz w:val="28"/>
          <w:szCs w:val="28"/>
          <w:highlight w:val="none"/>
          <w:lang w:val="en-US" w:eastAsia="zh-CN"/>
        </w:rPr>
        <w:t>评审</w:t>
      </w:r>
    </w:p>
    <w:p>
      <w:pPr>
        <w:pageBreakBefore w:val="0"/>
        <w:widowControl w:val="0"/>
        <w:kinsoku/>
        <w:wordWrap/>
        <w:overflowPunct/>
        <w:topLinePunct w:val="0"/>
        <w:autoSpaceDN/>
        <w:bidi w:val="0"/>
        <w:adjustRightInd/>
        <w:snapToGrid/>
        <w:spacing w:line="440" w:lineRule="exact"/>
        <w:ind w:firstLine="422" w:firstLineChars="200"/>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1</w:t>
      </w:r>
      <w:r>
        <w:rPr>
          <w:rFonts w:hint="eastAsia" w:ascii="宋体"/>
          <w:b/>
          <w:color w:val="auto"/>
          <w:sz w:val="21"/>
          <w:szCs w:val="21"/>
          <w:highlight w:val="none"/>
        </w:rPr>
        <w:t>.资格性审查:</w:t>
      </w:r>
    </w:p>
    <w:p>
      <w:pPr>
        <w:pageBreakBefore w:val="0"/>
        <w:widowControl w:val="0"/>
        <w:kinsoku/>
        <w:wordWrap/>
        <w:overflowPunct/>
        <w:topLinePunct w:val="0"/>
        <w:autoSpaceDN/>
        <w:bidi w:val="0"/>
        <w:adjustRightInd/>
        <w:snapToGrid/>
        <w:spacing w:line="440" w:lineRule="exact"/>
        <w:ind w:firstLine="420" w:firstLineChars="200"/>
        <w:textAlignment w:val="auto"/>
        <w:rPr>
          <w:rFonts w:hint="eastAsia"/>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rPr>
        <w:t>.1</w:t>
      </w:r>
      <w:r>
        <w:rPr>
          <w:rFonts w:hint="eastAsia"/>
          <w:color w:val="auto"/>
          <w:sz w:val="21"/>
          <w:szCs w:val="21"/>
          <w:highlight w:val="none"/>
        </w:rPr>
        <w:t>评审细则</w:t>
      </w:r>
    </w:p>
    <w:tbl>
      <w:tblPr>
        <w:tblStyle w:val="45"/>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61"/>
        <w:gridCol w:w="641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30" w:type="dxa"/>
            <w:gridSpan w:val="2"/>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条款号</w:t>
            </w:r>
          </w:p>
        </w:tc>
        <w:tc>
          <w:tcPr>
            <w:tcW w:w="6412" w:type="dxa"/>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审查内容</w:t>
            </w:r>
          </w:p>
        </w:tc>
        <w:tc>
          <w:tcPr>
            <w:tcW w:w="1932" w:type="dxa"/>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9" w:type="dxa"/>
            <w:vMerge w:val="restart"/>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61" w:type="dxa"/>
            <w:vMerge w:val="restart"/>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审查资料</w:t>
            </w:r>
          </w:p>
        </w:tc>
        <w:tc>
          <w:tcPr>
            <w:tcW w:w="6412" w:type="dxa"/>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法定代表人身份证明文件和本人有效身份证(或法定代表人授权委托书和委托代理人有效身份证) （格式见附件）</w:t>
            </w:r>
          </w:p>
        </w:tc>
        <w:tc>
          <w:tcPr>
            <w:tcW w:w="1932" w:type="dxa"/>
            <w:vMerge w:val="restart"/>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检验电子投标文件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color w:val="auto"/>
                <w:sz w:val="21"/>
                <w:szCs w:val="21"/>
                <w:highlight w:val="none"/>
              </w:rPr>
            </w:pPr>
            <w:r>
              <w:rPr>
                <w:rFonts w:hint="eastAsia" w:ascii="宋体" w:hAnsi="宋体" w:cs="宋体"/>
                <w:color w:val="auto"/>
                <w:sz w:val="21"/>
                <w:szCs w:val="21"/>
                <w:highlight w:val="none"/>
              </w:rPr>
              <w:t>诚信投标承诺书（格式见附件）</w:t>
            </w:r>
          </w:p>
        </w:tc>
        <w:tc>
          <w:tcPr>
            <w:tcW w:w="1932" w:type="dxa"/>
            <w:vMerge w:val="continue"/>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投标人营业执照</w:t>
            </w:r>
            <w:r>
              <w:rPr>
                <w:rFonts w:hint="eastAsia" w:ascii="宋体" w:hAnsi="宋体"/>
                <w:color w:val="auto"/>
                <w:sz w:val="21"/>
                <w:szCs w:val="21"/>
                <w:highlight w:val="none"/>
              </w:rPr>
              <w:t>（或三证合一的有效证件）</w:t>
            </w:r>
          </w:p>
        </w:tc>
        <w:tc>
          <w:tcPr>
            <w:tcW w:w="1932" w:type="dxa"/>
            <w:vMerge w:val="continue"/>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拟派项目负责人的有效身份证及资质要求的相关证书</w:t>
            </w:r>
          </w:p>
        </w:tc>
        <w:tc>
          <w:tcPr>
            <w:tcW w:w="1932" w:type="dxa"/>
            <w:vMerge w:val="continue"/>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投标人的法定代表人(或委托代理人)和拟任项目负责人须持有社保部门出具的本单位为其缴纳的投标前近</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932" w:type="dxa"/>
            <w:vMerge w:val="continue"/>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bookmarkStart w:id="64" w:name="_Toc1191"/>
            <w:bookmarkStart w:id="65" w:name="_Toc58430320"/>
            <w:bookmarkStart w:id="66" w:name="_Toc449028880"/>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项目组成员注册证书和证明专业的证明材料。</w:t>
            </w:r>
          </w:p>
        </w:tc>
        <w:tc>
          <w:tcPr>
            <w:tcW w:w="1932" w:type="dxa"/>
            <w:vMerge w:val="continue"/>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p>
        </w:tc>
      </w:tr>
      <w:bookmarkEnd w:id="64"/>
    </w:tbl>
    <w:p>
      <w:pPr>
        <w:pStyle w:val="3"/>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67" w:name="_Toc15058909"/>
      <w:bookmarkStart w:id="68" w:name="_Toc506107320"/>
      <w:bookmarkStart w:id="69" w:name="_Toc324404867"/>
      <w:bookmarkStart w:id="70" w:name="_Toc17672"/>
      <w:bookmarkStart w:id="71" w:name="_Toc37230750"/>
      <w:r>
        <w:rPr>
          <w:rFonts w:hint="eastAsia" w:ascii="宋体" w:hAnsi="宋体" w:eastAsia="宋体" w:cs="宋体"/>
          <w:color w:val="auto"/>
          <w:sz w:val="21"/>
          <w:szCs w:val="21"/>
          <w:highlight w:val="none"/>
        </w:rPr>
        <w:t>2.审查办法</w:t>
      </w:r>
      <w:bookmarkEnd w:id="67"/>
      <w:bookmarkEnd w:id="68"/>
      <w:bookmarkEnd w:id="69"/>
      <w:bookmarkEnd w:id="70"/>
      <w:bookmarkEnd w:id="71"/>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1、由资格审查委员会（评审委员会）按资格审查办法前附表中资格审查必要合格条件评审表要求对投标人审查资料进行核验。投标人有下列情形之一的，其资格审查为不合格：</w:t>
      </w:r>
      <w:bookmarkStart w:id="72" w:name="_Toc7413"/>
      <w:bookmarkStart w:id="73" w:name="_Toc324404868"/>
      <w:bookmarkStart w:id="74" w:name="_Toc37230751"/>
      <w:bookmarkStart w:id="75" w:name="_Toc506107321"/>
      <w:bookmarkStart w:id="76" w:name="_Toc15058910"/>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①逾期送达的；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②无单位盖章、无法定代表人或法定代表人授权的代理人签字或盖章的；；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③未按规定的格式填写，内容不全或关键字迹模糊、无法辨认的；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④服务期或质量不符合招标文件要求的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⑤法律、法规、规章和招标文件规定的其他否决投标情形。</w:t>
      </w:r>
    </w:p>
    <w:p>
      <w:pPr>
        <w:pStyle w:val="3"/>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3.资格审查委员会和审查标准</w:t>
      </w:r>
      <w:bookmarkEnd w:id="72"/>
      <w:bookmarkEnd w:id="73"/>
      <w:bookmarkEnd w:id="74"/>
      <w:bookmarkEnd w:id="75"/>
      <w:bookmarkEnd w:id="76"/>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资格审查由招标单位依法组建的资格审查委员会（或评审委员会）负责。审查标准见资格审查办法前附表。</w:t>
      </w:r>
    </w:p>
    <w:p>
      <w:pPr>
        <w:pStyle w:val="3"/>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77" w:name="_Toc324404869"/>
      <w:bookmarkStart w:id="78" w:name="_Toc7217"/>
      <w:bookmarkStart w:id="79" w:name="_Toc506107322"/>
      <w:bookmarkStart w:id="80" w:name="_Toc15058911"/>
      <w:bookmarkStart w:id="81" w:name="_Toc37230752"/>
      <w:r>
        <w:rPr>
          <w:rFonts w:hint="eastAsia" w:ascii="宋体" w:hAnsi="宋体" w:eastAsia="宋体" w:cs="宋体"/>
          <w:color w:val="auto"/>
          <w:sz w:val="21"/>
          <w:szCs w:val="21"/>
          <w:highlight w:val="none"/>
        </w:rPr>
        <w:t>4.审查结果</w:t>
      </w:r>
      <w:bookmarkEnd w:id="77"/>
      <w:bookmarkEnd w:id="78"/>
      <w:bookmarkEnd w:id="79"/>
      <w:bookmarkEnd w:id="80"/>
      <w:bookmarkEnd w:id="81"/>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只有通过资格审查的投标人才能进入下一步的评审程序。</w:t>
      </w:r>
    </w:p>
    <w:p>
      <w:pPr>
        <w:spacing w:line="400" w:lineRule="exact"/>
        <w:jc w:val="center"/>
        <w:outlineLvl w:val="1"/>
        <w:rPr>
          <w:rFonts w:hint="eastAsia" w:ascii="宋体"/>
          <w:b/>
          <w:color w:val="auto"/>
          <w:sz w:val="21"/>
          <w:szCs w:val="21"/>
          <w:highlight w:val="none"/>
        </w:rPr>
      </w:pPr>
    </w:p>
    <w:p>
      <w:pPr>
        <w:spacing w:line="400" w:lineRule="exact"/>
        <w:jc w:val="center"/>
        <w:outlineLvl w:val="1"/>
        <w:rPr>
          <w:rFonts w:hint="eastAsia" w:ascii="宋体"/>
          <w:b/>
          <w:color w:val="auto"/>
          <w:sz w:val="21"/>
          <w:szCs w:val="21"/>
          <w:highlight w:val="none"/>
        </w:rPr>
      </w:pPr>
    </w:p>
    <w:p>
      <w:pPr>
        <w:spacing w:line="400" w:lineRule="exact"/>
        <w:jc w:val="center"/>
        <w:outlineLvl w:val="1"/>
        <w:rPr>
          <w:rFonts w:hint="eastAsia" w:ascii="宋体"/>
          <w:b/>
          <w:color w:val="auto"/>
          <w:sz w:val="21"/>
          <w:szCs w:val="21"/>
          <w:highlight w:val="none"/>
        </w:rPr>
      </w:pPr>
      <w:r>
        <w:rPr>
          <w:rFonts w:hint="eastAsia" w:ascii="宋体"/>
          <w:b/>
          <w:color w:val="auto"/>
          <w:sz w:val="21"/>
          <w:szCs w:val="21"/>
          <w:highlight w:val="none"/>
        </w:rPr>
        <w:t>比较与评价</w:t>
      </w:r>
      <w:bookmarkEnd w:id="65"/>
      <w:bookmarkEnd w:id="66"/>
    </w:p>
    <w:p>
      <w:pPr>
        <w:keepNext w:val="0"/>
        <w:keepLines w:val="0"/>
        <w:pageBreakBefore w:val="0"/>
        <w:widowControl w:val="0"/>
        <w:kinsoku/>
        <w:overflowPunct/>
        <w:topLinePunct w:val="0"/>
        <w:autoSpaceDE/>
        <w:autoSpaceDN/>
        <w:bidi w:val="0"/>
        <w:adjustRightInd/>
        <w:snapToGrid/>
        <w:spacing w:line="440" w:lineRule="exact"/>
        <w:ind w:firstLine="417" w:firstLineChars="198"/>
        <w:textAlignment w:val="auto"/>
        <w:rPr>
          <w:rFonts w:ascii="宋体"/>
          <w:b/>
          <w:color w:val="auto"/>
          <w:sz w:val="21"/>
          <w:szCs w:val="21"/>
          <w:highlight w:val="none"/>
        </w:rPr>
      </w:pPr>
      <w:r>
        <w:rPr>
          <w:rFonts w:hint="eastAsia" w:ascii="宋体" w:hAnsi="宋体"/>
          <w:b/>
          <w:color w:val="auto"/>
          <w:sz w:val="21"/>
          <w:szCs w:val="21"/>
          <w:highlight w:val="none"/>
        </w:rPr>
        <w:t xml:space="preserve"> </w:t>
      </w: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bookmarkStart w:id="82" w:name="_Toc362983805"/>
      <w:r>
        <w:rPr>
          <w:rFonts w:hint="eastAsia" w:ascii="宋体" w:hAnsi="宋体"/>
          <w:b/>
          <w:color w:val="auto"/>
          <w:sz w:val="21"/>
          <w:szCs w:val="21"/>
          <w:highlight w:val="none"/>
        </w:rPr>
        <w:t xml:space="preserve"> </w:t>
      </w:r>
      <w:r>
        <w:rPr>
          <w:rFonts w:hint="eastAsia" w:ascii="宋体"/>
          <w:b/>
          <w:color w:val="auto"/>
          <w:sz w:val="21"/>
          <w:szCs w:val="21"/>
          <w:highlight w:val="none"/>
        </w:rPr>
        <w:t>详细评审即按招标文件中规定的评标方法和标准，评标委员会将对通过初审的投标文件，进行商务部分评估、综合比较与评价。</w:t>
      </w:r>
    </w:p>
    <w:p>
      <w:pPr>
        <w:keepNext w:val="0"/>
        <w:keepLines w:val="0"/>
        <w:pageBreakBefore w:val="0"/>
        <w:widowControl w:val="0"/>
        <w:kinsoku/>
        <w:overflowPunct/>
        <w:topLinePunct w:val="0"/>
        <w:autoSpaceDE/>
        <w:autoSpaceDN/>
        <w:bidi w:val="0"/>
        <w:adjustRightInd/>
        <w:snapToGrid/>
        <w:spacing w:line="440" w:lineRule="exact"/>
        <w:ind w:firstLine="517" w:firstLineChars="245"/>
        <w:textAlignment w:val="auto"/>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资信评审细则（26分）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162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评分因素</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企业业绩</w:t>
            </w:r>
          </w:p>
          <w:p>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投标人自</w:t>
            </w:r>
            <w:r>
              <w:rPr>
                <w:rFonts w:hint="eastAsia" w:ascii="宋体" w:hAnsi="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年1</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rPr>
              <w:t>1日至投标文件提交截止时间前，承担过单个合同施工总金额</w:t>
            </w:r>
            <w:r>
              <w:rPr>
                <w:rFonts w:hint="eastAsia" w:ascii="宋体" w:hAnsi="宋体" w:cs="宋体"/>
                <w:color w:val="auto"/>
                <w:kern w:val="2"/>
                <w:sz w:val="21"/>
                <w:szCs w:val="21"/>
                <w:highlight w:val="none"/>
                <w:lang w:val="en-US" w:eastAsia="zh-CN"/>
              </w:rPr>
              <w:t>1亿</w:t>
            </w:r>
            <w:r>
              <w:rPr>
                <w:rFonts w:hint="eastAsia" w:ascii="宋体" w:hAnsi="宋体" w:eastAsia="宋体" w:cs="宋体"/>
                <w:color w:val="auto"/>
                <w:kern w:val="2"/>
                <w:sz w:val="21"/>
                <w:szCs w:val="21"/>
                <w:highlight w:val="none"/>
              </w:rPr>
              <w:t>元以上的</w:t>
            </w:r>
            <w:r>
              <w:rPr>
                <w:rFonts w:hint="eastAsia" w:ascii="宋体" w:hAnsi="宋体" w:cs="宋体"/>
                <w:color w:val="auto"/>
                <w:kern w:val="2"/>
                <w:sz w:val="21"/>
                <w:szCs w:val="21"/>
                <w:highlight w:val="none"/>
                <w:lang w:val="en-US" w:eastAsia="zh-CN"/>
              </w:rPr>
              <w:t>工业厂房</w:t>
            </w:r>
            <w:r>
              <w:rPr>
                <w:rFonts w:hint="eastAsia" w:ascii="宋体" w:hAnsi="宋体" w:cs="宋体"/>
                <w:color w:val="auto"/>
                <w:kern w:val="2"/>
                <w:sz w:val="21"/>
                <w:szCs w:val="21"/>
                <w:highlight w:val="none"/>
                <w:lang w:val="en-US" w:eastAsia="zh-CN"/>
              </w:rPr>
              <w:t>结算复核或跟踪审计业绩的</w:t>
            </w:r>
            <w:r>
              <w:rPr>
                <w:rFonts w:hint="eastAsia" w:ascii="宋体" w:hAnsi="宋体" w:cs="宋体"/>
                <w:color w:val="auto"/>
                <w:kern w:val="2"/>
                <w:sz w:val="21"/>
                <w:szCs w:val="21"/>
                <w:highlight w:val="none"/>
                <w:lang w:val="en-US" w:eastAsia="zh-CN"/>
              </w:rPr>
              <w:t>，得10分，满分10分。</w:t>
            </w:r>
          </w:p>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电子投标文件须</w:t>
            </w:r>
            <w:r>
              <w:rPr>
                <w:rFonts w:hint="eastAsia" w:ascii="宋体" w:hAnsi="宋体" w:eastAsia="宋体" w:cs="宋体"/>
                <w:color w:val="auto"/>
                <w:kern w:val="2"/>
                <w:sz w:val="21"/>
                <w:szCs w:val="21"/>
                <w:highlight w:val="none"/>
              </w:rPr>
              <w:t>同时提供①咨询成果报告（文件），咨询成果报告（文件）是指投标人作为</w:t>
            </w:r>
            <w:r>
              <w:rPr>
                <w:rFonts w:hint="eastAsia" w:ascii="宋体" w:hAnsi="宋体" w:cs="宋体"/>
                <w:color w:val="auto"/>
                <w:kern w:val="2"/>
                <w:sz w:val="21"/>
                <w:szCs w:val="21"/>
                <w:highlight w:val="none"/>
                <w:lang w:val="en-US" w:eastAsia="zh-CN"/>
              </w:rPr>
              <w:t>结算复核</w:t>
            </w:r>
            <w:r>
              <w:rPr>
                <w:rFonts w:hint="eastAsia" w:ascii="宋体" w:hAnsi="宋体" w:eastAsia="宋体" w:cs="宋体"/>
                <w:color w:val="auto"/>
                <w:kern w:val="2"/>
                <w:sz w:val="21"/>
                <w:szCs w:val="21"/>
                <w:highlight w:val="none"/>
              </w:rPr>
              <w:t>单位</w:t>
            </w:r>
            <w:r>
              <w:rPr>
                <w:rFonts w:hint="eastAsia" w:ascii="宋体" w:hAnsi="宋体" w:cs="宋体"/>
                <w:color w:val="auto"/>
                <w:kern w:val="2"/>
                <w:sz w:val="21"/>
                <w:szCs w:val="21"/>
                <w:highlight w:val="none"/>
                <w:lang w:val="en-US" w:eastAsia="zh-CN"/>
              </w:rPr>
              <w:t>或跟踪审计</w:t>
            </w:r>
            <w:r>
              <w:rPr>
                <w:rFonts w:hint="eastAsia" w:ascii="宋体" w:hAnsi="宋体" w:eastAsia="宋体" w:cs="宋体"/>
                <w:color w:val="auto"/>
                <w:kern w:val="2"/>
                <w:sz w:val="21"/>
                <w:szCs w:val="21"/>
                <w:highlight w:val="none"/>
              </w:rPr>
              <w:t>单位出具的经建设单位认可的</w:t>
            </w:r>
            <w:r>
              <w:rPr>
                <w:rFonts w:hint="eastAsia" w:ascii="宋体" w:hAnsi="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rPr>
              <w:t>文件主要页面，业绩时间以成果文件出具时间为准，金额以成果文件</w:t>
            </w:r>
            <w:r>
              <w:rPr>
                <w:rFonts w:hint="eastAsia" w:ascii="宋体" w:hAnsi="宋体" w:cs="宋体"/>
                <w:color w:val="auto"/>
                <w:kern w:val="2"/>
                <w:sz w:val="21"/>
                <w:szCs w:val="21"/>
                <w:highlight w:val="none"/>
                <w:lang w:val="en-US" w:eastAsia="zh-CN"/>
              </w:rPr>
              <w:t>审定金额</w:t>
            </w:r>
            <w:r>
              <w:rPr>
                <w:rFonts w:hint="eastAsia" w:ascii="宋体" w:hAnsi="宋体" w:cs="宋体"/>
                <w:color w:val="auto"/>
                <w:kern w:val="2"/>
                <w:sz w:val="21"/>
                <w:szCs w:val="21"/>
                <w:highlight w:val="none"/>
                <w:lang w:val="en-US" w:eastAsia="zh-CN"/>
              </w:rPr>
              <w:t>为准</w:t>
            </w:r>
            <w:r>
              <w:rPr>
                <w:rFonts w:hint="eastAsia" w:ascii="宋体" w:hAnsi="宋体" w:eastAsia="宋体" w:cs="宋体"/>
                <w:color w:val="auto"/>
                <w:kern w:val="2"/>
                <w:sz w:val="21"/>
                <w:szCs w:val="21"/>
                <w:highlight w:val="none"/>
              </w:rPr>
              <w:t>；②合同</w:t>
            </w:r>
            <w:r>
              <w:rPr>
                <w:rFonts w:hint="eastAsia" w:ascii="宋体" w:hAnsi="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项目负责人业绩</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项目负责人</w:t>
            </w:r>
            <w:r>
              <w:rPr>
                <w:rFonts w:hint="eastAsia" w:ascii="宋体" w:hAnsi="宋体" w:eastAsia="宋体" w:cs="宋体"/>
                <w:color w:val="auto"/>
                <w:kern w:val="2"/>
                <w:sz w:val="21"/>
                <w:szCs w:val="21"/>
                <w:highlight w:val="none"/>
              </w:rPr>
              <w:t>自</w:t>
            </w:r>
            <w:r>
              <w:rPr>
                <w:rFonts w:hint="eastAsia" w:ascii="宋体" w:hAnsi="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rPr>
              <w:t>1日至投标文件提交截止时间前，承担过单个合同施工总金额1亿元以上的</w:t>
            </w:r>
            <w:r>
              <w:rPr>
                <w:rFonts w:hint="eastAsia" w:ascii="宋体" w:hAnsi="宋体" w:cs="宋体"/>
                <w:color w:val="auto"/>
                <w:kern w:val="2"/>
                <w:sz w:val="21"/>
                <w:szCs w:val="21"/>
                <w:highlight w:val="none"/>
                <w:lang w:val="en-US" w:eastAsia="zh-CN"/>
              </w:rPr>
              <w:t>工业厂房</w:t>
            </w:r>
            <w:r>
              <w:rPr>
                <w:rFonts w:hint="eastAsia" w:ascii="宋体" w:hAnsi="宋体" w:cs="宋体"/>
                <w:color w:val="auto"/>
                <w:kern w:val="2"/>
                <w:sz w:val="21"/>
                <w:szCs w:val="21"/>
                <w:highlight w:val="none"/>
                <w:lang w:val="en-US" w:eastAsia="zh-CN"/>
              </w:rPr>
              <w:t>结算复核或跟踪审计业绩的</w:t>
            </w:r>
            <w:r>
              <w:rPr>
                <w:rFonts w:hint="eastAsia" w:ascii="宋体" w:hAnsi="宋体" w:cs="宋体"/>
                <w:color w:val="auto"/>
                <w:kern w:val="2"/>
                <w:sz w:val="21"/>
                <w:szCs w:val="21"/>
                <w:highlight w:val="none"/>
                <w:lang w:val="en-US" w:eastAsia="zh-CN"/>
              </w:rPr>
              <w:t>，得10分，满分10分。</w:t>
            </w:r>
          </w:p>
          <w:p>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电子投标文件须</w:t>
            </w:r>
            <w:r>
              <w:rPr>
                <w:rFonts w:hint="eastAsia" w:ascii="宋体" w:hAnsi="宋体" w:eastAsia="宋体" w:cs="宋体"/>
                <w:color w:val="auto"/>
                <w:kern w:val="2"/>
                <w:sz w:val="21"/>
                <w:szCs w:val="21"/>
                <w:highlight w:val="none"/>
              </w:rPr>
              <w:t>同时提供①咨询成果报告（文件），咨询成果报告（文件）是指投标人作为</w:t>
            </w:r>
            <w:r>
              <w:rPr>
                <w:rFonts w:hint="eastAsia" w:ascii="宋体" w:hAnsi="宋体" w:cs="宋体"/>
                <w:color w:val="auto"/>
                <w:kern w:val="2"/>
                <w:sz w:val="21"/>
                <w:szCs w:val="21"/>
                <w:highlight w:val="none"/>
                <w:lang w:val="en-US" w:eastAsia="zh-CN"/>
              </w:rPr>
              <w:t>结算复核</w:t>
            </w:r>
            <w:r>
              <w:rPr>
                <w:rFonts w:hint="eastAsia" w:ascii="宋体" w:hAnsi="宋体" w:eastAsia="宋体" w:cs="宋体"/>
                <w:color w:val="auto"/>
                <w:kern w:val="2"/>
                <w:sz w:val="21"/>
                <w:szCs w:val="21"/>
                <w:highlight w:val="none"/>
              </w:rPr>
              <w:t>单位</w:t>
            </w:r>
            <w:r>
              <w:rPr>
                <w:rFonts w:hint="eastAsia" w:ascii="宋体" w:hAnsi="宋体" w:cs="宋体"/>
                <w:color w:val="auto"/>
                <w:kern w:val="2"/>
                <w:sz w:val="21"/>
                <w:szCs w:val="21"/>
                <w:highlight w:val="none"/>
                <w:lang w:val="en-US" w:eastAsia="zh-CN"/>
              </w:rPr>
              <w:t>或跟踪审计</w:t>
            </w:r>
            <w:r>
              <w:rPr>
                <w:rFonts w:hint="eastAsia" w:ascii="宋体" w:hAnsi="宋体" w:eastAsia="宋体" w:cs="宋体"/>
                <w:color w:val="auto"/>
                <w:kern w:val="2"/>
                <w:sz w:val="21"/>
                <w:szCs w:val="21"/>
                <w:highlight w:val="none"/>
              </w:rPr>
              <w:t>单位出具的经建设单位认可的</w:t>
            </w:r>
            <w:r>
              <w:rPr>
                <w:rFonts w:hint="eastAsia" w:ascii="宋体" w:hAnsi="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rPr>
              <w:t>文件主要页面，业绩时间以成果文件出具时间为准，金额以成果文件</w:t>
            </w:r>
            <w:r>
              <w:rPr>
                <w:rFonts w:hint="eastAsia" w:ascii="宋体" w:hAnsi="宋体" w:cs="宋体"/>
                <w:color w:val="auto"/>
                <w:kern w:val="2"/>
                <w:sz w:val="21"/>
                <w:szCs w:val="21"/>
                <w:highlight w:val="none"/>
                <w:lang w:val="en-US" w:eastAsia="zh-CN"/>
              </w:rPr>
              <w:t>审定金额</w:t>
            </w:r>
            <w:r>
              <w:rPr>
                <w:rFonts w:hint="eastAsia" w:ascii="宋体" w:hAnsi="宋体" w:eastAsia="宋体" w:cs="宋体"/>
                <w:color w:val="auto"/>
                <w:kern w:val="2"/>
                <w:sz w:val="21"/>
                <w:szCs w:val="21"/>
                <w:highlight w:val="none"/>
              </w:rPr>
              <w:t>为准；②合同</w:t>
            </w:r>
            <w:r>
              <w:rPr>
                <w:rFonts w:hint="eastAsia" w:ascii="宋体" w:hAnsi="宋体" w:cs="宋体"/>
                <w:color w:val="auto"/>
                <w:kern w:val="2"/>
                <w:sz w:val="21"/>
                <w:szCs w:val="21"/>
                <w:highlight w:val="none"/>
                <w:lang w:eastAsia="zh-CN"/>
              </w:rPr>
              <w:t>。</w:t>
            </w:r>
            <w:r>
              <w:rPr>
                <w:rFonts w:hint="default" w:ascii="宋体" w:hAnsi="宋体" w:eastAsia="宋体" w:cs="宋体"/>
                <w:color w:val="auto"/>
                <w:kern w:val="2"/>
                <w:sz w:val="21"/>
                <w:szCs w:val="21"/>
                <w:highlight w:val="none"/>
                <w:lang w:eastAsia="zh-CN"/>
              </w:rPr>
              <w:t>③</w:t>
            </w:r>
            <w:r>
              <w:rPr>
                <w:rFonts w:hint="eastAsia" w:ascii="宋体" w:hAnsi="宋体" w:cs="宋体"/>
                <w:color w:val="auto"/>
                <w:kern w:val="2"/>
                <w:sz w:val="21"/>
                <w:szCs w:val="21"/>
                <w:highlight w:val="none"/>
                <w:lang w:val="en-US" w:eastAsia="zh-CN"/>
              </w:rPr>
              <w:t>咨询成果报告（文件）项目负责人印章和合同中（如有项目负责人姓名）项目负责人姓名不一致的，不予认</w:t>
            </w:r>
            <w:r>
              <w:rPr>
                <w:rFonts w:hint="eastAsia" w:ascii="宋体" w:hAnsi="宋体" w:eastAsia="宋体" w:cs="宋体"/>
                <w:color w:val="auto"/>
                <w:kern w:val="2"/>
                <w:sz w:val="21"/>
                <w:szCs w:val="21"/>
                <w:highlight w:val="none"/>
                <w:lang w:val="en-US" w:eastAsia="zh-CN"/>
              </w:rPr>
              <w:t>可。④项目负</w:t>
            </w:r>
            <w:r>
              <w:rPr>
                <w:rFonts w:hint="eastAsia" w:ascii="宋体" w:hAnsi="宋体" w:cs="宋体"/>
                <w:color w:val="auto"/>
                <w:kern w:val="2"/>
                <w:sz w:val="21"/>
                <w:szCs w:val="21"/>
                <w:highlight w:val="none"/>
                <w:lang w:val="en-US" w:eastAsia="zh-CN"/>
              </w:rPr>
              <w:t>责人业绩和企业业绩不得为同一个业绩。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项目组人员</w:t>
            </w:r>
          </w:p>
          <w:p>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1.拟派的项目负责人具有工程类（</w:t>
            </w:r>
            <w:r>
              <w:rPr>
                <w:rFonts w:hint="eastAsia" w:ascii="宋体" w:hAnsi="宋体" w:eastAsia="宋体" w:cs="宋体"/>
                <w:color w:val="auto"/>
                <w:kern w:val="2"/>
                <w:sz w:val="21"/>
                <w:szCs w:val="21"/>
                <w:highlight w:val="none"/>
              </w:rPr>
              <w:t>或工程经济类</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高级</w:t>
            </w:r>
            <w:r>
              <w:rPr>
                <w:rFonts w:hint="eastAsia" w:ascii="宋体" w:hAnsi="宋体" w:eastAsia="宋体" w:cs="宋体"/>
                <w:color w:val="auto"/>
                <w:kern w:val="2"/>
                <w:sz w:val="21"/>
                <w:szCs w:val="21"/>
                <w:highlight w:val="none"/>
                <w:lang w:val="en-US" w:eastAsia="zh-CN"/>
              </w:rPr>
              <w:t>及以上</w:t>
            </w:r>
            <w:r>
              <w:rPr>
                <w:rFonts w:hint="eastAsia" w:ascii="宋体" w:hAnsi="宋体" w:eastAsia="宋体" w:cs="宋体"/>
                <w:color w:val="auto"/>
                <w:kern w:val="2"/>
                <w:sz w:val="21"/>
                <w:szCs w:val="21"/>
                <w:highlight w:val="none"/>
              </w:rPr>
              <w:t>职称</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val="en-US" w:eastAsia="zh-CN"/>
              </w:rPr>
              <w:t>得2分。</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提供上述人员相关职称证书。</w:t>
            </w:r>
          </w:p>
          <w:p>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2.项目组成员（不含项目负责人）</w:t>
            </w:r>
            <w:r>
              <w:rPr>
                <w:rFonts w:hint="eastAsia" w:ascii="宋体" w:hAnsi="宋体" w:eastAsia="宋体" w:cs="宋体"/>
                <w:color w:val="auto"/>
                <w:kern w:val="2"/>
                <w:sz w:val="21"/>
                <w:szCs w:val="21"/>
                <w:highlight w:val="none"/>
              </w:rPr>
              <w:t>具有工程类（或工程经济类）高级</w:t>
            </w:r>
            <w:r>
              <w:rPr>
                <w:rFonts w:hint="eastAsia" w:ascii="宋体" w:hAnsi="宋体" w:eastAsia="宋体" w:cs="宋体"/>
                <w:color w:val="auto"/>
                <w:kern w:val="2"/>
                <w:sz w:val="21"/>
                <w:szCs w:val="21"/>
                <w:highlight w:val="none"/>
                <w:lang w:val="en-US" w:eastAsia="zh-CN"/>
              </w:rPr>
              <w:t>及以上</w:t>
            </w:r>
            <w:r>
              <w:rPr>
                <w:rFonts w:hint="eastAsia" w:ascii="宋体" w:hAnsi="宋体" w:eastAsia="宋体" w:cs="宋体"/>
                <w:color w:val="auto"/>
                <w:kern w:val="2"/>
                <w:sz w:val="21"/>
                <w:szCs w:val="21"/>
                <w:highlight w:val="none"/>
              </w:rPr>
              <w:t>职称的，每</w:t>
            </w:r>
            <w:r>
              <w:rPr>
                <w:rFonts w:hint="eastAsia" w:ascii="宋体" w:hAnsi="宋体" w:eastAsia="宋体" w:cs="宋体"/>
                <w:color w:val="auto"/>
                <w:kern w:val="2"/>
                <w:sz w:val="21"/>
                <w:szCs w:val="21"/>
                <w:highlight w:val="none"/>
                <w:lang w:val="en-US" w:eastAsia="zh-CN"/>
              </w:rPr>
              <w:t>提供</w:t>
            </w:r>
            <w:r>
              <w:rPr>
                <w:rFonts w:hint="eastAsia" w:ascii="宋体" w:hAnsi="宋体" w:eastAsia="宋体" w:cs="宋体"/>
                <w:color w:val="auto"/>
                <w:kern w:val="2"/>
                <w:sz w:val="21"/>
                <w:szCs w:val="21"/>
                <w:highlight w:val="none"/>
              </w:rPr>
              <w:t>1人加</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分，满分</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提供上述人员相关职称证书。</w:t>
            </w:r>
          </w:p>
        </w:tc>
      </w:tr>
    </w:tbl>
    <w:p>
      <w:pPr>
        <w:spacing w:line="44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商务标评审细则（</w:t>
      </w:r>
      <w:r>
        <w:rPr>
          <w:rFonts w:hint="eastAsia" w:ascii="宋体" w:hAnsi="宋体" w:cs="宋体"/>
          <w:b/>
          <w:bCs/>
          <w:color w:val="auto"/>
          <w:szCs w:val="21"/>
          <w:highlight w:val="none"/>
          <w:lang w:val="en-US" w:eastAsia="zh-CN"/>
        </w:rPr>
        <w:t>74</w:t>
      </w:r>
      <w:r>
        <w:rPr>
          <w:rFonts w:hint="eastAsia" w:ascii="宋体" w:hAnsi="宋体" w:eastAsia="宋体" w:cs="宋体"/>
          <w:b/>
          <w:bCs/>
          <w:color w:val="auto"/>
          <w:szCs w:val="21"/>
          <w:highlight w:val="none"/>
        </w:rPr>
        <w:t>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6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855"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1</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招标人设置投标报价最高限价，各投标人有效报价不得高于最高限价，否则，其投标文件按无效标处理；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2</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评标基准值为B</w:t>
            </w:r>
            <w:r>
              <w:rPr>
                <w:rFonts w:hint="eastAsia" w:cs="宋体"/>
                <w:b w:val="0"/>
                <w:bCs/>
                <w:color w:val="auto"/>
                <w:sz w:val="21"/>
                <w:szCs w:val="21"/>
                <w:highlight w:val="none"/>
                <w:lang w:eastAsia="zh-CN"/>
              </w:rPr>
              <w:t>，</w:t>
            </w:r>
            <w:r>
              <w:rPr>
                <w:rFonts w:hint="eastAsia" w:ascii="宋体" w:hAnsi="宋体" w:cs="宋体"/>
                <w:color w:val="auto"/>
                <w:szCs w:val="21"/>
                <w:highlight w:val="none"/>
              </w:rPr>
              <w:t>B为通过资信及商务评审，且资信得分大于等于所有有效投标人资信</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rPr>
              <w:t>算术平均值</w:t>
            </w:r>
            <w:r>
              <w:rPr>
                <w:rFonts w:hint="eastAsia" w:ascii="宋体" w:hAnsi="宋体" w:cs="宋体"/>
                <w:color w:val="auto"/>
                <w:szCs w:val="21"/>
                <w:highlight w:val="none"/>
                <w:lang w:val="en-US" w:eastAsia="zh-CN"/>
              </w:rPr>
              <w:t>的算术平均值</w:t>
            </w:r>
            <w:r>
              <w:rPr>
                <w:rFonts w:hint="eastAsia" w:ascii="宋体" w:hAnsi="宋体" w:cs="宋体"/>
                <w:color w:val="auto"/>
                <w:szCs w:val="21"/>
                <w:highlight w:val="none"/>
              </w:rPr>
              <w:t>。</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3</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各有效投标人的投标报价与评标基准值B相比，相同的得</w:t>
            </w:r>
            <w:r>
              <w:rPr>
                <w:rFonts w:hint="eastAsia" w:cs="宋体"/>
                <w:b w:val="0"/>
                <w:bCs/>
                <w:color w:val="auto"/>
                <w:sz w:val="21"/>
                <w:szCs w:val="21"/>
                <w:highlight w:val="none"/>
                <w:lang w:val="en-US" w:eastAsia="zh-CN"/>
              </w:rPr>
              <w:t>满分</w:t>
            </w:r>
            <w:r>
              <w:rPr>
                <w:rFonts w:hint="eastAsia" w:ascii="Times New Roman" w:hAnsi="Times New Roman" w:eastAsia="宋体" w:cs="宋体"/>
                <w:b w:val="0"/>
                <w:bCs/>
                <w:color w:val="auto"/>
                <w:sz w:val="21"/>
                <w:szCs w:val="21"/>
                <w:highlight w:val="none"/>
              </w:rPr>
              <w:t>，每增加1%扣</w:t>
            </w:r>
            <w:r>
              <w:rPr>
                <w:rFonts w:hint="eastAsia" w:cs="宋体"/>
                <w:b w:val="0"/>
                <w:bCs/>
                <w:color w:val="auto"/>
                <w:sz w:val="21"/>
                <w:szCs w:val="21"/>
                <w:highlight w:val="none"/>
                <w:lang w:val="en-US" w:eastAsia="zh-CN"/>
              </w:rPr>
              <w:t>0.5</w:t>
            </w:r>
            <w:r>
              <w:rPr>
                <w:rFonts w:hint="eastAsia" w:ascii="Times New Roman" w:hAnsi="Times New Roman" w:eastAsia="宋体" w:cs="宋体"/>
                <w:b w:val="0"/>
                <w:bCs/>
                <w:color w:val="auto"/>
                <w:sz w:val="21"/>
                <w:szCs w:val="21"/>
                <w:highlight w:val="none"/>
              </w:rPr>
              <w:t>分，每减少1%扣0.</w:t>
            </w:r>
            <w:r>
              <w:rPr>
                <w:rFonts w:hint="eastAsia" w:cs="宋体"/>
                <w:b w:val="0"/>
                <w:bCs/>
                <w:color w:val="auto"/>
                <w:sz w:val="21"/>
                <w:szCs w:val="21"/>
                <w:highlight w:val="none"/>
                <w:lang w:val="en-US" w:eastAsia="zh-CN"/>
              </w:rPr>
              <w:t>2</w:t>
            </w:r>
            <w:r>
              <w:rPr>
                <w:rFonts w:hint="eastAsia" w:ascii="Times New Roman" w:hAnsi="Times New Roman" w:eastAsia="宋体"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分；不足1%时按插入法计算，百分数取两位小数，小数点后第三位四舍五入。</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4</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本项分值由招标代理机构负责组织计算，报评标委员会进行审核。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0" w:type="dxa"/>
            <w:gridSpan w:val="3"/>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cs="宋体"/>
                <w:b/>
                <w:color w:val="auto"/>
                <w:sz w:val="21"/>
                <w:szCs w:val="21"/>
                <w:highlight w:val="none"/>
                <w:lang w:val="en-US" w:eastAsia="zh-CN"/>
              </w:rPr>
            </w:pPr>
            <w:r>
              <w:rPr>
                <w:rFonts w:hint="eastAsia" w:ascii="宋体" w:cs="宋体"/>
                <w:b/>
                <w:color w:val="auto"/>
                <w:sz w:val="21"/>
                <w:szCs w:val="21"/>
                <w:highlight w:val="none"/>
                <w:lang w:val="en-US" w:eastAsia="zh-CN"/>
              </w:rPr>
              <w:t>注：</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lang w:val="en-US" w:eastAsia="zh-CN"/>
              </w:rPr>
            </w:pPr>
            <w:r>
              <w:rPr>
                <w:rFonts w:hint="eastAsia" w:ascii="宋体" w:cs="宋体"/>
                <w:b/>
                <w:color w:val="auto"/>
                <w:sz w:val="21"/>
                <w:szCs w:val="21"/>
                <w:highlight w:val="none"/>
                <w:lang w:val="en-US" w:eastAsia="zh-CN"/>
              </w:rPr>
              <w:t>1.投标单位所报费率为</w:t>
            </w:r>
            <w:r>
              <w:rPr>
                <w:rFonts w:hint="eastAsia"/>
                <w:b/>
                <w:bCs/>
                <w:color w:val="auto"/>
                <w:sz w:val="21"/>
                <w:szCs w:val="21"/>
                <w:highlight w:val="none"/>
              </w:rPr>
              <w:t>0或负数的</w:t>
            </w:r>
            <w:r>
              <w:rPr>
                <w:rFonts w:hint="eastAsia"/>
                <w:b/>
                <w:bCs/>
                <w:color w:val="auto"/>
                <w:sz w:val="21"/>
                <w:szCs w:val="21"/>
                <w:highlight w:val="none"/>
                <w:lang w:eastAsia="zh-CN"/>
              </w:rPr>
              <w:t>，</w:t>
            </w:r>
            <w:r>
              <w:rPr>
                <w:rFonts w:hint="eastAsia"/>
                <w:b/>
                <w:bCs/>
                <w:color w:val="auto"/>
                <w:sz w:val="21"/>
                <w:szCs w:val="21"/>
                <w:highlight w:val="none"/>
                <w:lang w:val="en-US" w:eastAsia="zh-CN"/>
              </w:rPr>
              <w:t>其报价不参与评标基准值的计算，且商务标不得分。</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rPr>
            </w:pPr>
            <w:r>
              <w:rPr>
                <w:rFonts w:hint="eastAsia"/>
                <w:b/>
                <w:bCs/>
                <w:color w:val="auto"/>
                <w:sz w:val="21"/>
                <w:szCs w:val="21"/>
                <w:highlight w:val="none"/>
                <w:lang w:val="en-US" w:eastAsia="zh-CN"/>
              </w:rPr>
              <w:t>2.上述投标报价按基本费用进行计算报价得分。</w:t>
            </w:r>
          </w:p>
        </w:tc>
      </w:tr>
      <w:bookmarkEnd w:id="59"/>
      <w:bookmarkEnd w:id="82"/>
    </w:tbl>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3" w:name="_Toc95223429"/>
      <w:r>
        <w:rPr>
          <w:rFonts w:hint="eastAsia" w:ascii="黑体" w:hAnsi="黑体" w:cs="黑体"/>
          <w:color w:val="auto"/>
          <w:sz w:val="21"/>
          <w:szCs w:val="21"/>
          <w:highlight w:val="none"/>
        </w:rPr>
        <w:t>1. 评标方法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应当不超过2名，并标明排序，但投标报价低于其成本的除外。如总得分相等，以投标报价低的优先，投标报价仍相等，由评标委员会主任委员或招标人随机抽取确定排名。</w:t>
      </w:r>
    </w:p>
    <w:bookmarkEnd w:id="83"/>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4" w:name="_Toc95223430"/>
      <w:r>
        <w:rPr>
          <w:rFonts w:hint="eastAsia" w:ascii="黑体" w:hAnsi="黑体" w:cs="黑体"/>
          <w:color w:val="auto"/>
          <w:sz w:val="21"/>
          <w:szCs w:val="21"/>
          <w:highlight w:val="none"/>
        </w:rPr>
        <w:t>2.评标委员会的职责</w:t>
      </w:r>
      <w:bookmarkEnd w:id="8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85"/>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评标先做准备工作，再进行资格、然后进行商务标评审。</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6" w:name="_Toc95223432"/>
      <w:r>
        <w:rPr>
          <w:rFonts w:hint="eastAsia" w:ascii="黑体" w:hAnsi="黑体" w:cs="黑体"/>
          <w:color w:val="auto"/>
          <w:sz w:val="21"/>
          <w:szCs w:val="21"/>
          <w:highlight w:val="none"/>
        </w:rPr>
        <w:t>3.1评标准备工作</w:t>
      </w:r>
      <w:bookmarkEnd w:id="86"/>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7" w:name="_Toc95223433"/>
      <w:r>
        <w:rPr>
          <w:rFonts w:hint="eastAsia" w:ascii="黑体" w:hAnsi="黑体" w:cs="黑体"/>
          <w:color w:val="auto"/>
          <w:sz w:val="21"/>
          <w:szCs w:val="21"/>
          <w:highlight w:val="none"/>
        </w:rPr>
        <w:t>3.2</w:t>
      </w:r>
      <w:bookmarkEnd w:id="87"/>
      <w:bookmarkStart w:id="88" w:name="_Toc95223434"/>
      <w:r>
        <w:rPr>
          <w:rFonts w:hint="eastAsia" w:ascii="黑体" w:hAnsi="黑体" w:cs="黑体"/>
          <w:color w:val="auto"/>
          <w:sz w:val="21"/>
          <w:szCs w:val="21"/>
          <w:highlight w:val="none"/>
        </w:rPr>
        <w:t>商务标评审</w:t>
      </w:r>
      <w:bookmarkEnd w:id="8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资信评审</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商务标评审后，推荐中标候选人，并标明排序。</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9" w:name="_Toc95223435"/>
      <w:r>
        <w:rPr>
          <w:rFonts w:hint="eastAsia" w:ascii="黑体" w:hAnsi="黑体" w:cs="黑体"/>
          <w:color w:val="auto"/>
          <w:sz w:val="21"/>
          <w:szCs w:val="21"/>
          <w:highlight w:val="none"/>
        </w:rPr>
        <w:t>4.评审内容</w:t>
      </w:r>
      <w:bookmarkEnd w:id="89"/>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0" w:name="_Toc95223436"/>
      <w:r>
        <w:rPr>
          <w:rFonts w:hint="eastAsia" w:ascii="黑体" w:hAnsi="黑体" w:cs="黑体"/>
          <w:color w:val="auto"/>
          <w:sz w:val="21"/>
          <w:szCs w:val="21"/>
          <w:highlight w:val="none"/>
        </w:rPr>
        <w:t>4.1</w:t>
      </w:r>
      <w:bookmarkEnd w:id="90"/>
      <w:bookmarkStart w:id="91" w:name="_Toc95223437"/>
      <w:r>
        <w:rPr>
          <w:rFonts w:hint="eastAsia" w:ascii="黑体" w:hAnsi="黑体" w:cs="黑体"/>
          <w:color w:val="auto"/>
          <w:sz w:val="21"/>
          <w:szCs w:val="21"/>
          <w:highlight w:val="none"/>
        </w:rPr>
        <w:t>商务标评审</w:t>
      </w:r>
      <w:bookmarkEnd w:id="91"/>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只有通过资信评审的投标才能够进入本阶段评审。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2" w:name="_Toc95223438"/>
      <w:r>
        <w:rPr>
          <w:rFonts w:hint="eastAsia" w:ascii="黑体" w:hAnsi="黑体" w:cs="黑体"/>
          <w:color w:val="auto"/>
          <w:sz w:val="21"/>
          <w:szCs w:val="21"/>
          <w:highlight w:val="none"/>
        </w:rPr>
        <w:t>5.无效投标条款</w:t>
      </w:r>
      <w:bookmarkEnd w:id="92"/>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未在投标截止时间前递交有效</w:t>
      </w:r>
      <w:r>
        <w:rPr>
          <w:rFonts w:hint="eastAsia" w:ascii="宋体" w:hAnsi="宋体" w:cs="宋体"/>
          <w:color w:val="auto"/>
          <w:szCs w:val="21"/>
          <w:highlight w:val="none"/>
          <w:lang w:val="en-US" w:eastAsia="zh-CN"/>
        </w:rPr>
        <w:t>电子</w:t>
      </w:r>
      <w:r>
        <w:rPr>
          <w:rFonts w:hint="eastAsia" w:ascii="宋体" w:hAnsi="宋体" w:cs="宋体"/>
          <w:color w:val="auto"/>
          <w:szCs w:val="21"/>
          <w:highlight w:val="none"/>
        </w:rPr>
        <w:t>投标文件的，投标将被拒绝；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（1）投标人有串通投标、视为串通投标、弄虚作假、行贿等违法行为。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（3）实质性内容不全或关键字迹模糊、无法辨认的，经评委会一致认定的。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（4）未按规定的格式填写，经评委会一致认定的。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（5）同一投标人提交两个以上不同的投标文件或者投标报价，但招标文件规定提交备选投标的除外。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（6）投标文件中存在招标人不能接受的其他实质性条件。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（7）投标文件中填报的拟任项目负责人与资格审查通过的项目负责人前后不一致的。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（9）投标人单方面出现其他投标人材料。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（10）法律、法规规定的其他情形。</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3" w:name="_Toc95223439"/>
      <w:r>
        <w:rPr>
          <w:rFonts w:hint="eastAsia" w:ascii="黑体" w:hAnsi="黑体" w:cs="黑体"/>
          <w:color w:val="auto"/>
          <w:sz w:val="21"/>
          <w:szCs w:val="21"/>
          <w:highlight w:val="none"/>
        </w:rPr>
        <w:t>6.投标文件的澄清和补正</w:t>
      </w:r>
      <w:bookmarkEnd w:id="9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4" w:name="_Toc95223440"/>
      <w:r>
        <w:rPr>
          <w:rFonts w:hint="eastAsia" w:ascii="黑体" w:hAnsi="黑体" w:cs="黑体"/>
          <w:color w:val="auto"/>
          <w:sz w:val="21"/>
          <w:szCs w:val="21"/>
          <w:highlight w:val="none"/>
        </w:rPr>
        <w:t>7.评分标准</w:t>
      </w:r>
      <w:bookmarkEnd w:id="9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7.1评分标准：见资信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商务评分表。</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5" w:name="_Toc95223441"/>
      <w:r>
        <w:rPr>
          <w:rFonts w:hint="eastAsia" w:ascii="黑体" w:hAnsi="黑体" w:cs="黑体"/>
          <w:color w:val="auto"/>
          <w:sz w:val="21"/>
          <w:szCs w:val="21"/>
          <w:highlight w:val="none"/>
        </w:rPr>
        <w:t>8.评审结果</w:t>
      </w:r>
      <w:bookmarkEnd w:id="95"/>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8.1除“投标人须知”及其前附表授权直接确定中标人外，评标委员会按照总得分由高到低顺序推荐中标候选人。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6" w:name="_Toc95223442"/>
      <w:r>
        <w:rPr>
          <w:rFonts w:hint="eastAsia" w:ascii="黑体" w:hAnsi="黑体" w:cs="黑体"/>
          <w:color w:val="auto"/>
          <w:sz w:val="21"/>
          <w:szCs w:val="21"/>
          <w:highlight w:val="none"/>
        </w:rPr>
        <w:t>9.其他</w:t>
      </w:r>
      <w:bookmarkEnd w:id="96"/>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pPr>
        <w:rPr>
          <w:rFonts w:hint="eastAsia" w:ascii="宋体" w:hAnsi="宋体" w:eastAsia="宋体" w:cs="宋体"/>
          <w:color w:val="auto"/>
          <w:kern w:val="2"/>
          <w:sz w:val="28"/>
          <w:szCs w:val="28"/>
          <w:highlight w:val="none"/>
          <w:lang w:val="en-US" w:eastAsia="zh-CN"/>
        </w:rPr>
      </w:pPr>
      <w:bookmarkStart w:id="97" w:name="_Toc58430328"/>
      <w:r>
        <w:rPr>
          <w:rFonts w:hint="eastAsia" w:ascii="宋体" w:hAnsi="宋体" w:eastAsia="宋体" w:cs="宋体"/>
          <w:color w:val="auto"/>
          <w:kern w:val="2"/>
          <w:sz w:val="28"/>
          <w:szCs w:val="28"/>
          <w:highlight w:val="none"/>
          <w:lang w:val="en-US" w:eastAsia="zh-CN"/>
        </w:rPr>
        <w:br w:type="page"/>
      </w:r>
    </w:p>
    <w:p>
      <w:pPr>
        <w:pStyle w:val="2"/>
        <w:pageBreakBefore w:val="0"/>
        <w:kinsoku/>
        <w:wordWrap/>
        <w:overflowPunct/>
        <w:topLinePunct w:val="0"/>
        <w:autoSpaceDE/>
        <w:autoSpaceDN/>
        <w:bidi w:val="0"/>
        <w:spacing w:before="0" w:after="0" w:line="560" w:lineRule="exact"/>
        <w:textAlignment w:val="auto"/>
        <w:outlineLvl w:val="0"/>
        <w:rPr>
          <w:rFonts w:hint="eastAsia" w:ascii="宋体" w:hAnsi="宋体" w:eastAsia="宋体" w:cs="宋体"/>
          <w:color w:val="auto"/>
          <w:kern w:val="2"/>
          <w:sz w:val="28"/>
          <w:szCs w:val="28"/>
          <w:highlight w:val="none"/>
        </w:rPr>
      </w:pPr>
      <w:bookmarkStart w:id="98" w:name="_Toc13446"/>
      <w:r>
        <w:rPr>
          <w:rFonts w:hint="eastAsia" w:ascii="宋体" w:hAnsi="宋体" w:eastAsia="宋体" w:cs="宋体"/>
          <w:color w:val="auto"/>
          <w:kern w:val="2"/>
          <w:sz w:val="28"/>
          <w:szCs w:val="28"/>
          <w:highlight w:val="none"/>
          <w:lang w:val="en-US" w:eastAsia="zh-CN"/>
        </w:rPr>
        <w:t>第四章</w:t>
      </w:r>
      <w:r>
        <w:rPr>
          <w:rFonts w:hint="eastAsia" w:ascii="宋体" w:hAnsi="宋体" w:eastAsia="宋体" w:cs="宋体"/>
          <w:color w:val="auto"/>
          <w:kern w:val="2"/>
          <w:sz w:val="28"/>
          <w:szCs w:val="28"/>
          <w:highlight w:val="none"/>
        </w:rPr>
        <w:t xml:space="preserve">  采购需求及服务要求</w:t>
      </w:r>
      <w:bookmarkEnd w:id="60"/>
      <w:bookmarkEnd w:id="97"/>
      <w:bookmarkEnd w:id="98"/>
    </w:p>
    <w:p>
      <w:pPr>
        <w:keepNext w:val="0"/>
        <w:keepLines w:val="0"/>
        <w:pageBreakBefore w:val="0"/>
        <w:widowControl/>
        <w:kinsoku/>
        <w:wordWrap/>
        <w:overflowPunct/>
        <w:topLinePunct w:val="0"/>
        <w:bidi w:val="0"/>
        <w:snapToGrid/>
        <w:spacing w:line="500" w:lineRule="exact"/>
        <w:ind w:firstLine="420" w:firstLineChars="200"/>
        <w:textAlignment w:val="auto"/>
        <w:rPr>
          <w:rFonts w:hint="default" w:ascii="宋体" w:hAnsi="宋体" w:cs="宋体"/>
          <w:color w:val="auto"/>
          <w:kern w:val="0"/>
          <w:highlight w:val="none"/>
          <w:lang w:val="en-US"/>
        </w:rPr>
      </w:pPr>
      <w:bookmarkStart w:id="99" w:name="_Toc14427"/>
      <w:bookmarkStart w:id="100" w:name="_Toc25362"/>
      <w:r>
        <w:rPr>
          <w:rFonts w:hint="eastAsia" w:ascii="宋体" w:hAnsi="宋体" w:cs="宋体"/>
          <w:color w:val="auto"/>
          <w:kern w:val="0"/>
          <w:highlight w:val="none"/>
          <w:lang w:val="en-US" w:eastAsia="zh-CN"/>
        </w:rPr>
        <w:t>一、对安徽全椒马塘湖建筑石料用灰岩矿年产900万吨骨料加工(一期）EPC项目出具复审报告。</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lang w:val="en-US" w:eastAsia="zh-CN"/>
        </w:rPr>
        <w:t>二、</w:t>
      </w:r>
      <w:r>
        <w:rPr>
          <w:rFonts w:hint="eastAsia" w:ascii="宋体" w:hAnsi="宋体" w:cs="宋体"/>
          <w:color w:val="auto"/>
          <w:kern w:val="0"/>
          <w:highlight w:val="none"/>
        </w:rPr>
        <w:t>对跟踪审计单位的审计成果进行复审，主要包括但不限于以下内容：</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1.资料完整性审查，按照工程结算审计要求审查资料的完整性；</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2.项目工程量计算、计价方式、对定额套用、工程类别、取费标准等合理性进行核查；</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3.工程变更、签证、索赔等手续合法、合规、合理性审查</w:t>
      </w:r>
      <w:r>
        <w:rPr>
          <w:rFonts w:hint="eastAsia" w:ascii="宋体" w:hAnsi="宋体" w:eastAsia="宋体" w:cs="宋体"/>
          <w:color w:val="auto"/>
          <w:kern w:val="0"/>
          <w:highlight w:val="none"/>
          <w:lang w:val="en-US" w:eastAsia="zh-CN"/>
        </w:rPr>
        <w:t>。</w:t>
      </w:r>
    </w:p>
    <w:p>
      <w:pPr>
        <w:pStyle w:val="44"/>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4.其他法律、法规规定复审应完成的内容及招标人要求的内容</w:t>
      </w:r>
      <w:r>
        <w:rPr>
          <w:rFonts w:hint="eastAsia" w:ascii="宋体" w:hAnsi="宋体" w:cs="宋体"/>
          <w:color w:val="auto"/>
          <w:kern w:val="0"/>
          <w:highlight w:val="none"/>
          <w:lang w:val="en-US" w:eastAsia="zh-CN"/>
        </w:rPr>
        <w:t>。</w:t>
      </w:r>
    </w:p>
    <w:p>
      <w:pPr>
        <w:pStyle w:val="2"/>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pPr>
        <w:pStyle w:val="2"/>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ascii="宋体" w:hAnsi="宋体" w:eastAsia="宋体" w:cs="宋体"/>
          <w:color w:val="auto"/>
          <w:kern w:val="2"/>
          <w:sz w:val="28"/>
          <w:szCs w:val="28"/>
          <w:highlight w:val="none"/>
        </w:rPr>
      </w:pPr>
    </w:p>
    <w:p>
      <w:pPr>
        <w:pStyle w:val="44"/>
        <w:rPr>
          <w:rFonts w:hint="eastAsia" w:ascii="宋体" w:hAnsi="宋体" w:eastAsia="宋体" w:cs="宋体"/>
          <w:color w:val="auto"/>
          <w:kern w:val="2"/>
          <w:sz w:val="28"/>
          <w:szCs w:val="28"/>
          <w:highlight w:val="none"/>
        </w:rPr>
      </w:pPr>
    </w:p>
    <w:p>
      <w:pPr>
        <w:rPr>
          <w:rFonts w:hint="eastAsia"/>
          <w:color w:val="auto"/>
          <w:highlight w:val="none"/>
        </w:rPr>
      </w:pPr>
    </w:p>
    <w:p>
      <w:pPr>
        <w:pStyle w:val="2"/>
        <w:pageBreakBefore w:val="0"/>
        <w:kinsoku/>
        <w:wordWrap/>
        <w:overflowPunct/>
        <w:topLinePunct w:val="0"/>
        <w:autoSpaceDE/>
        <w:autoSpaceDN/>
        <w:bidi w:val="0"/>
        <w:spacing w:before="0" w:after="0" w:line="560" w:lineRule="exact"/>
        <w:textAlignment w:val="auto"/>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五</w:t>
      </w:r>
      <w:r>
        <w:rPr>
          <w:rFonts w:hint="eastAsia" w:ascii="宋体" w:hAnsi="宋体" w:eastAsia="宋体" w:cs="宋体"/>
          <w:color w:val="auto"/>
          <w:kern w:val="2"/>
          <w:sz w:val="28"/>
          <w:szCs w:val="28"/>
          <w:highlight w:val="none"/>
        </w:rPr>
        <w:t>章  合同条款</w:t>
      </w:r>
      <w:bookmarkEnd w:id="53"/>
      <w:bookmarkEnd w:id="54"/>
      <w:bookmarkEnd w:id="55"/>
      <w:bookmarkEnd w:id="99"/>
      <w:bookmarkEnd w:id="100"/>
    </w:p>
    <w:p>
      <w:pPr>
        <w:pStyle w:val="44"/>
        <w:rPr>
          <w:rFonts w:hint="eastAsia"/>
          <w:color w:val="auto"/>
          <w:highlight w:val="none"/>
        </w:rPr>
      </w:pPr>
    </w:p>
    <w:p>
      <w:pPr>
        <w:pStyle w:val="33"/>
        <w:rPr>
          <w:rFonts w:hint="eastAsia"/>
          <w:color w:val="auto"/>
          <w:highlight w:val="none"/>
        </w:rPr>
      </w:pPr>
    </w:p>
    <w:p>
      <w:pPr>
        <w:spacing w:line="360" w:lineRule="auto"/>
        <w:jc w:val="center"/>
        <w:rPr>
          <w:rFonts w:ascii="Times New Roman" w:hAnsi="Times New Roman" w:eastAsia="华文中宋"/>
          <w:b/>
          <w:color w:val="auto"/>
          <w:w w:val="90"/>
          <w:sz w:val="52"/>
          <w:szCs w:val="52"/>
          <w:highlight w:val="none"/>
        </w:rPr>
      </w:pPr>
      <w:r>
        <w:rPr>
          <w:rFonts w:hint="eastAsia" w:ascii="Times New Roman" w:hAnsi="Times New Roman" w:eastAsia="华文中宋"/>
          <w:b/>
          <w:color w:val="auto"/>
          <w:w w:val="90"/>
          <w:sz w:val="52"/>
          <w:szCs w:val="52"/>
          <w:highlight w:val="none"/>
        </w:rPr>
        <w:t>安徽省建设工程造价咨询合同</w:t>
      </w:r>
    </w:p>
    <w:p>
      <w:pPr>
        <w:spacing w:line="360" w:lineRule="auto"/>
        <w:jc w:val="center"/>
        <w:rPr>
          <w:rFonts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（示范文本）</w:t>
      </w:r>
    </w:p>
    <w:p>
      <w:pPr>
        <w:jc w:val="center"/>
        <w:rPr>
          <w:rFonts w:hint="eastAsia" w:ascii="Times New Roman" w:hAnsi="Times New Roman" w:eastAsia="华文中宋"/>
          <w:b/>
          <w:color w:val="auto"/>
          <w:sz w:val="52"/>
          <w:szCs w:val="52"/>
          <w:highlight w:val="none"/>
        </w:rPr>
      </w:pPr>
    </w:p>
    <w:p>
      <w:pPr>
        <w:jc w:val="center"/>
        <w:rPr>
          <w:rFonts w:ascii="Times New Roman" w:hAnsi="Times New Roman" w:eastAsia="楷体_GB2312"/>
          <w:b/>
          <w:color w:val="auto"/>
          <w:sz w:val="72"/>
          <w:szCs w:val="72"/>
          <w:highlight w:val="none"/>
        </w:rPr>
      </w:pPr>
    </w:p>
    <w:p>
      <w:pPr>
        <w:spacing w:line="240" w:lineRule="exact"/>
        <w:jc w:val="center"/>
        <w:rPr>
          <w:rFonts w:ascii="Times New Roman" w:hAnsi="Times New Roman" w:eastAsia="楷体_GB2312"/>
          <w:b/>
          <w:color w:val="auto"/>
          <w:sz w:val="72"/>
          <w:szCs w:val="72"/>
          <w:highlight w:val="none"/>
        </w:rPr>
      </w:pPr>
    </w:p>
    <w:p>
      <w:pPr>
        <w:spacing w:line="240" w:lineRule="exact"/>
        <w:jc w:val="center"/>
        <w:rPr>
          <w:rFonts w:ascii="Times New Roman" w:hAnsi="Times New Roman" w:eastAsia="楷体_GB2312"/>
          <w:b/>
          <w:color w:val="auto"/>
          <w:sz w:val="72"/>
          <w:szCs w:val="72"/>
          <w:highlight w:val="none"/>
        </w:rPr>
      </w:pPr>
    </w:p>
    <w:p>
      <w:pPr>
        <w:pStyle w:val="44"/>
        <w:rPr>
          <w:rFonts w:ascii="Times New Roman" w:hAnsi="Times New Roman" w:eastAsia="楷体_GB2312"/>
          <w:b/>
          <w:color w:val="auto"/>
          <w:sz w:val="72"/>
          <w:szCs w:val="72"/>
          <w:highlight w:val="none"/>
        </w:rPr>
      </w:pPr>
    </w:p>
    <w:p>
      <w:pPr>
        <w:spacing w:line="240" w:lineRule="exact"/>
        <w:jc w:val="both"/>
        <w:rPr>
          <w:rFonts w:ascii="Times New Roman" w:hAnsi="Times New Roman" w:eastAsia="楷体_GB2312"/>
          <w:b/>
          <w:color w:val="auto"/>
          <w:sz w:val="72"/>
          <w:szCs w:val="72"/>
          <w:highlight w:val="none"/>
        </w:rPr>
      </w:pPr>
    </w:p>
    <w:p>
      <w:pPr>
        <w:spacing w:line="240" w:lineRule="exact"/>
        <w:jc w:val="center"/>
        <w:rPr>
          <w:rFonts w:ascii="Times New Roman" w:hAnsi="Times New Roman" w:eastAsia="楷体_GB2312"/>
          <w:b/>
          <w:color w:val="auto"/>
          <w:sz w:val="72"/>
          <w:szCs w:val="72"/>
          <w:highlight w:val="none"/>
        </w:rPr>
      </w:pPr>
    </w:p>
    <w:p>
      <w:pPr>
        <w:spacing w:line="800" w:lineRule="exact"/>
        <w:ind w:firstLine="1066" w:firstLineChars="295"/>
        <w:rPr>
          <w:rFonts w:ascii="Calibri" w:hAnsi="Calibri" w:eastAsia="楷体_GB2312"/>
          <w:b/>
          <w:bCs/>
          <w:color w:val="auto"/>
          <w:sz w:val="36"/>
          <w:szCs w:val="30"/>
          <w:highlight w:val="none"/>
          <w:u w:val="single"/>
        </w:rPr>
      </w:pPr>
      <w:r>
        <w:rPr>
          <w:rFonts w:hint="eastAsia" w:eastAsia="楷体_GB2312"/>
          <w:b/>
          <w:color w:val="auto"/>
          <w:sz w:val="36"/>
          <w:szCs w:val="30"/>
          <w:highlight w:val="none"/>
        </w:rPr>
        <w:t>合同编号：</w:t>
      </w:r>
      <w:r>
        <w:rPr>
          <w:rFonts w:eastAsia="楷体_GB2312"/>
          <w:b/>
          <w:color w:val="auto"/>
          <w:sz w:val="36"/>
          <w:szCs w:val="30"/>
          <w:highlight w:val="none"/>
          <w:u w:val="single"/>
        </w:rPr>
        <w:t xml:space="preserve">                         </w:t>
      </w:r>
    </w:p>
    <w:p>
      <w:pPr>
        <w:pStyle w:val="25"/>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签订地点：</w:t>
      </w:r>
      <w:r>
        <w:rPr>
          <w:rFonts w:eastAsia="楷体_GB2312"/>
          <w:b/>
          <w:color w:val="auto"/>
          <w:sz w:val="36"/>
          <w:szCs w:val="30"/>
          <w:highlight w:val="none"/>
          <w:u w:val="single"/>
        </w:rPr>
        <w:t xml:space="preserve">                         </w:t>
      </w:r>
    </w:p>
    <w:p>
      <w:pPr>
        <w:pStyle w:val="25"/>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签订时间：</w:t>
      </w:r>
      <w:r>
        <w:rPr>
          <w:rFonts w:eastAsia="楷体_GB2312"/>
          <w:b/>
          <w:color w:val="auto"/>
          <w:sz w:val="36"/>
          <w:szCs w:val="30"/>
          <w:highlight w:val="none"/>
          <w:u w:val="single"/>
        </w:rPr>
        <w:t xml:space="preserve">          </w:t>
      </w:r>
      <w:r>
        <w:rPr>
          <w:rFonts w:hint="eastAsia" w:eastAsia="楷体_GB2312"/>
          <w:b/>
          <w:color w:val="auto"/>
          <w:sz w:val="36"/>
          <w:szCs w:val="30"/>
          <w:highlight w:val="none"/>
        </w:rPr>
        <w:t>年</w:t>
      </w:r>
      <w:r>
        <w:rPr>
          <w:rFonts w:eastAsia="楷体_GB2312"/>
          <w:b/>
          <w:color w:val="auto"/>
          <w:sz w:val="36"/>
          <w:szCs w:val="30"/>
          <w:highlight w:val="none"/>
          <w:u w:val="single"/>
        </w:rPr>
        <w:t xml:space="preserve">     </w:t>
      </w:r>
      <w:r>
        <w:rPr>
          <w:rFonts w:hint="eastAsia" w:eastAsia="楷体_GB2312"/>
          <w:b/>
          <w:color w:val="auto"/>
          <w:sz w:val="36"/>
          <w:szCs w:val="30"/>
          <w:highlight w:val="none"/>
        </w:rPr>
        <w:t>月</w:t>
      </w:r>
      <w:r>
        <w:rPr>
          <w:rFonts w:eastAsia="楷体_GB2312"/>
          <w:b/>
          <w:color w:val="auto"/>
          <w:sz w:val="36"/>
          <w:szCs w:val="30"/>
          <w:highlight w:val="none"/>
          <w:u w:val="single"/>
        </w:rPr>
        <w:t xml:space="preserve">     </w:t>
      </w:r>
      <w:r>
        <w:rPr>
          <w:rFonts w:hint="eastAsia" w:eastAsia="楷体_GB2312"/>
          <w:b/>
          <w:color w:val="auto"/>
          <w:sz w:val="36"/>
          <w:szCs w:val="30"/>
          <w:highlight w:val="none"/>
        </w:rPr>
        <w:t>日</w:t>
      </w:r>
    </w:p>
    <w:p>
      <w:pPr>
        <w:widowControl/>
        <w:spacing w:beforeAutospacing="1" w:afterAutospacing="1"/>
        <w:jc w:val="left"/>
        <w:rPr>
          <w:rFonts w:ascii="华文中宋" w:hAnsi="华文中宋" w:eastAsia="华文中宋"/>
          <w:color w:val="auto"/>
          <w:spacing w:val="20"/>
          <w:kern w:val="0"/>
          <w:sz w:val="32"/>
          <w:szCs w:val="32"/>
          <w:highlight w:val="none"/>
        </w:rPr>
        <w:sectPr>
          <w:footerReference r:id="rId10" w:type="default"/>
          <w:pgSz w:w="11906" w:h="16838"/>
          <w:pgMar w:top="1418" w:right="1418" w:bottom="1418" w:left="1418" w:header="851" w:footer="907" w:gutter="0"/>
          <w:pgNumType w:fmt="decimal"/>
          <w:cols w:space="720" w:num="1"/>
          <w:docGrid w:type="lines" w:linePitch="312" w:charSpace="0"/>
        </w:sectPr>
      </w:pPr>
    </w:p>
    <w:p>
      <w:pPr>
        <w:pStyle w:val="2"/>
        <w:keepNext/>
        <w:keepLines/>
        <w:pageBreakBefore w:val="0"/>
        <w:widowControl w:val="0"/>
        <w:tabs>
          <w:tab w:val="left" w:pos="432"/>
        </w:tabs>
        <w:kinsoku/>
        <w:wordWrap/>
        <w:overflowPunct/>
        <w:topLinePunct w:val="0"/>
        <w:autoSpaceDE/>
        <w:autoSpaceDN/>
        <w:bidi w:val="0"/>
        <w:adjustRightInd/>
        <w:snapToGrid/>
        <w:spacing w:before="161" w:beforeLines="50" w:after="161" w:afterLines="50" w:line="440" w:lineRule="exact"/>
        <w:jc w:val="center"/>
        <w:textAlignment w:val="auto"/>
        <w:rPr>
          <w:rFonts w:hint="eastAsia" w:ascii="宋体" w:hAnsi="宋体" w:eastAsia="宋体" w:cs="宋体"/>
          <w:color w:val="auto"/>
          <w:sz w:val="28"/>
          <w:szCs w:val="28"/>
          <w:highlight w:val="none"/>
        </w:rPr>
      </w:pPr>
      <w:bookmarkStart w:id="101" w:name="_Toc407261892"/>
      <w:r>
        <w:rPr>
          <w:rFonts w:hint="eastAsia" w:ascii="宋体" w:hAnsi="宋体" w:eastAsia="宋体" w:cs="宋体"/>
          <w:color w:val="auto"/>
          <w:sz w:val="28"/>
          <w:szCs w:val="28"/>
          <w:highlight w:val="none"/>
        </w:rPr>
        <w:t>第一部分  合同协议书</w:t>
      </w:r>
      <w:bookmarkEnd w:id="101"/>
    </w:p>
    <w:p>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rPr>
        <w:t xml:space="preserve">                                  </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工程造价咨询及有关事项协商一致，共同达成如下协议：</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Cs/>
          <w:color w:val="auto"/>
          <w:sz w:val="21"/>
          <w:szCs w:val="21"/>
          <w:highlight w:val="none"/>
        </w:rPr>
        <w:t>工程规模：</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1.资料完整性审查，按照工程结算审计要求审查资料的完整性；</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2.项目工程量计算、计价方式、对定额套用、工程类别、取费标准等合理性进行核查；</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3.工程变更、签证、索赔等手续合法、合规、合理性审查</w:t>
      </w:r>
      <w:r>
        <w:rPr>
          <w:rFonts w:hint="eastAsia" w:ascii="宋体" w:hAnsi="宋体" w:eastAsia="宋体" w:cs="宋体"/>
          <w:color w:val="auto"/>
          <w:kern w:val="0"/>
          <w:highlight w:val="none"/>
          <w:lang w:val="en-US" w:eastAsia="zh-CN"/>
        </w:rPr>
        <w:t>。</w:t>
      </w:r>
    </w:p>
    <w:p>
      <w:pPr>
        <w:pStyle w:val="44"/>
        <w:ind w:left="0" w:leftChars="0" w:firstLine="420" w:firstLineChars="200"/>
        <w:rPr>
          <w:rFonts w:hint="default"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lang w:val="en-US" w:eastAsia="zh-CN" w:bidi="ar-SA"/>
        </w:rPr>
        <w:t>4.其他法律、法规规定复审应完成的内容及</w:t>
      </w:r>
      <w:r>
        <w:rPr>
          <w:rFonts w:hint="eastAsia" w:ascii="宋体" w:hAnsi="宋体" w:cs="宋体"/>
          <w:color w:val="auto"/>
          <w:kern w:val="0"/>
          <w:sz w:val="21"/>
          <w:szCs w:val="21"/>
          <w:highlight w:val="none"/>
          <w:lang w:val="en-US" w:eastAsia="zh-CN" w:bidi="ar-SA"/>
        </w:rPr>
        <w:t>委托人</w:t>
      </w:r>
      <w:r>
        <w:rPr>
          <w:rFonts w:hint="eastAsia" w:ascii="宋体" w:hAnsi="宋体" w:eastAsia="宋体" w:cs="宋体"/>
          <w:color w:val="auto"/>
          <w:kern w:val="0"/>
          <w:sz w:val="21"/>
          <w:szCs w:val="21"/>
          <w:highlight w:val="none"/>
          <w:lang w:val="en-US" w:eastAsia="zh-CN" w:bidi="ar-SA"/>
        </w:rPr>
        <w:t>要求的内容</w:t>
      </w:r>
      <w:r>
        <w:rPr>
          <w:rFonts w:hint="eastAsia" w:ascii="宋体" w:hAnsi="宋体" w:cs="宋体"/>
          <w:color w:val="auto"/>
          <w:kern w:val="0"/>
          <w:highlight w:val="none"/>
          <w:lang w:val="en-US" w:eastAsia="zh-CN"/>
        </w:rPr>
        <w:t>。</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（1）自合同签订之日起至完成对跟审单位全部成果的复核并出具复审报告，复审报告经跟审单位和甲方确认，项目完成竣工结算审核为止。</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cs="宋体"/>
          <w:color w:val="auto"/>
          <w:kern w:val="0"/>
          <w:highlight w:val="none"/>
          <w:lang w:val="en-US" w:eastAsia="zh-CN"/>
        </w:rPr>
        <w:t>咨询人</w:t>
      </w:r>
      <w:r>
        <w:rPr>
          <w:rFonts w:hint="eastAsia" w:ascii="宋体" w:hAnsi="宋体" w:eastAsia="宋体" w:cs="宋体"/>
          <w:color w:val="auto"/>
          <w:kern w:val="0"/>
          <w:highlight w:val="none"/>
        </w:rPr>
        <w:t>在收到跟审单位分</w:t>
      </w:r>
      <w:r>
        <w:rPr>
          <w:rFonts w:hint="eastAsia" w:ascii="宋体" w:hAnsi="宋体" w:eastAsia="宋体" w:cs="宋体"/>
          <w:color w:val="auto"/>
          <w:kern w:val="0"/>
          <w:highlight w:val="none"/>
          <w:lang w:val="en-US" w:eastAsia="zh-CN"/>
        </w:rPr>
        <w:t>别</w:t>
      </w:r>
      <w:r>
        <w:rPr>
          <w:rFonts w:hint="eastAsia" w:ascii="宋体" w:hAnsi="宋体" w:eastAsia="宋体" w:cs="宋体"/>
          <w:color w:val="auto"/>
          <w:kern w:val="0"/>
          <w:highlight w:val="none"/>
        </w:rPr>
        <w:t>出具的审核报告</w:t>
      </w:r>
      <w:r>
        <w:rPr>
          <w:rFonts w:hint="eastAsia" w:ascii="宋体" w:hAnsi="宋体" w:eastAsia="宋体" w:cs="宋体"/>
          <w:color w:val="auto"/>
          <w:kern w:val="0"/>
          <w:highlight w:val="none"/>
          <w:lang w:val="en-US" w:eastAsia="zh-CN"/>
        </w:rPr>
        <w:t>并在资料齐全的情况下</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复审报告不</w:t>
      </w:r>
      <w:r>
        <w:rPr>
          <w:rFonts w:hint="eastAsia" w:ascii="宋体" w:hAnsi="宋体" w:cs="宋体"/>
          <w:color w:val="auto"/>
          <w:kern w:val="0"/>
          <w:highlight w:val="none"/>
          <w:lang w:val="en-US" w:eastAsia="zh-CN"/>
        </w:rPr>
        <w:t xml:space="preserve">超过   </w:t>
      </w:r>
      <w:r>
        <w:rPr>
          <w:rFonts w:hint="eastAsia" w:ascii="宋体" w:hAnsi="宋体" w:eastAsia="宋体" w:cs="宋体"/>
          <w:color w:val="auto"/>
          <w:kern w:val="0"/>
          <w:highlight w:val="none"/>
          <w:lang w:val="en-US" w:eastAsia="zh-CN"/>
        </w:rPr>
        <w:t>个日历天内完成</w:t>
      </w:r>
      <w:r>
        <w:rPr>
          <w:rFonts w:hint="eastAsia" w:ascii="宋体" w:hAnsi="宋体" w:eastAsia="宋体" w:cs="宋体"/>
          <w:color w:val="auto"/>
          <w:kern w:val="0"/>
          <w:highlight w:val="none"/>
        </w:rPr>
        <w:t>。</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lang w:val="en-US" w:eastAsia="zh-CN"/>
        </w:rPr>
        <w:t>若不能如期完成，工期每延误一天，处以 500元违约金。</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工程造价咨询成果文件质量符合</w:t>
      </w:r>
      <w:r>
        <w:rPr>
          <w:rFonts w:hint="eastAsia" w:ascii="宋体" w:hAnsi="宋体" w:eastAsia="宋体" w:cs="宋体"/>
          <w:b/>
          <w:bCs/>
          <w:color w:val="auto"/>
          <w:sz w:val="21"/>
          <w:szCs w:val="21"/>
          <w:highlight w:val="none"/>
          <w:u w:val="single"/>
          <w:lang w:val="en-US" w:eastAsia="zh-CN"/>
        </w:rPr>
        <w:t>中国建设工程造价管理协会《建设工程造价咨询成果文件质量标准》（CECA/GC7-2012）的合格标准</w:t>
      </w:r>
      <w:r>
        <w:rPr>
          <w:rFonts w:hint="eastAsia" w:ascii="宋体" w:hAnsi="宋体" w:eastAsia="宋体" w:cs="宋体"/>
          <w:color w:val="auto"/>
          <w:sz w:val="21"/>
          <w:szCs w:val="21"/>
          <w:highlight w:val="none"/>
          <w:lang w:val="en-US" w:eastAsia="zh-CN"/>
        </w:rPr>
        <w:t>和委托人要求</w:t>
      </w:r>
      <w:r>
        <w:rPr>
          <w:rFonts w:hint="eastAsia" w:ascii="宋体" w:hAnsi="宋体" w:eastAsia="宋体" w:cs="宋体"/>
          <w:color w:val="auto"/>
          <w:sz w:val="21"/>
          <w:szCs w:val="21"/>
          <w:highlight w:val="none"/>
        </w:rPr>
        <w:t>。</w:t>
      </w:r>
    </w:p>
    <w:p>
      <w:pPr>
        <w:keepNext w:val="0"/>
        <w:keepLines w:val="0"/>
        <w:pageBreakBefore w:val="0"/>
        <w:widowControl w:val="0"/>
        <w:numPr>
          <w:ilvl w:val="0"/>
          <w:numId w:val="1"/>
        </w:numPr>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rPr>
        <w:t>咨询酬金</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u w:val="none"/>
          <w:lang w:val="en-US" w:eastAsia="zh-CN"/>
        </w:rPr>
        <w:t xml:space="preserve"> </w:t>
      </w:r>
      <w:r>
        <w:rPr>
          <w:rFonts w:hint="eastAsia" w:ascii="宋体" w:hAnsi="宋体" w:eastAsia="宋体" w:cs="宋体"/>
          <w:b/>
          <w:bCs/>
          <w:color w:val="auto"/>
          <w:sz w:val="21"/>
          <w:szCs w:val="21"/>
          <w:highlight w:val="none"/>
          <w:u w:val="none"/>
        </w:rPr>
        <w:t xml:space="preserve">   </w:t>
      </w:r>
    </w:p>
    <w:p>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基本费用</w:t>
      </w:r>
      <w:r>
        <w:rPr>
          <w:rFonts w:hint="eastAsia" w:ascii="宋体" w:hAnsi="宋体" w:eastAsia="宋体" w:cs="宋体"/>
          <w:color w:val="auto"/>
          <w:kern w:val="0"/>
          <w:highlight w:val="none"/>
          <w:u w:val="single"/>
          <w:lang w:val="en-US" w:eastAsia="zh-CN"/>
        </w:rPr>
        <w:t xml:space="preserve">  </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审核成果费率</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w:t>
      </w:r>
    </w:p>
    <w:p>
      <w:pPr>
        <w:keepNext w:val="0"/>
        <w:keepLines w:val="0"/>
        <w:pageBreakBefore w:val="0"/>
        <w:widowControl w:val="0"/>
        <w:kinsoku/>
        <w:wordWrap/>
        <w:overflowPunct/>
        <w:topLinePunct w:val="0"/>
        <w:bidi w:val="0"/>
        <w:spacing w:line="460" w:lineRule="exact"/>
        <w:ind w:left="-199" w:leftChars="-95" w:right="-185" w:rightChars="-88" w:firstLine="632" w:firstLineChars="3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rPr>
        <w:t>支付方</w:t>
      </w:r>
      <w:r>
        <w:rPr>
          <w:rFonts w:hint="eastAsia" w:ascii="宋体" w:hAnsi="宋体" w:eastAsia="宋体" w:cs="宋体"/>
          <w:color w:val="auto"/>
          <w:kern w:val="0"/>
          <w:highlight w:val="none"/>
        </w:rPr>
        <w:t>式：</w:t>
      </w:r>
      <w:r>
        <w:rPr>
          <w:rFonts w:hint="eastAsia" w:ascii="宋体" w:hAnsi="宋体" w:cs="宋体"/>
          <w:color w:val="auto"/>
          <w:kern w:val="0"/>
          <w:highlight w:val="none"/>
          <w:lang w:val="en-US" w:eastAsia="zh-CN"/>
        </w:rPr>
        <w:t>咨询人</w:t>
      </w:r>
      <w:r>
        <w:rPr>
          <w:rFonts w:hint="eastAsia" w:ascii="宋体" w:hAnsi="宋体" w:eastAsia="宋体" w:cs="宋体"/>
          <w:color w:val="auto"/>
          <w:kern w:val="0"/>
          <w:highlight w:val="none"/>
          <w:lang w:val="en-US" w:eastAsia="zh-CN"/>
        </w:rPr>
        <w:t>完成对跟审单位全部成果的复核并出具复核报告，经跟审单位认可和甲方确认后，待项目完成竣工结算审核后，一次性支付基本费和审核成果费（其中审核成果费根据</w:t>
      </w:r>
      <w:r>
        <w:rPr>
          <w:rFonts w:hint="eastAsia" w:ascii="宋体" w:hAnsi="宋体" w:cs="宋体"/>
          <w:color w:val="auto"/>
          <w:kern w:val="0"/>
          <w:highlight w:val="none"/>
          <w:lang w:val="en-US" w:eastAsia="zh-CN"/>
        </w:rPr>
        <w:t>咨询人</w:t>
      </w:r>
      <w:r>
        <w:rPr>
          <w:rFonts w:hint="eastAsia" w:ascii="宋体" w:hAnsi="宋体" w:eastAsia="宋体" w:cs="宋体"/>
          <w:color w:val="auto"/>
          <w:kern w:val="0"/>
          <w:highlight w:val="none"/>
          <w:lang w:val="en-US" w:eastAsia="zh-CN"/>
        </w:rPr>
        <w:t>提供的复审报告在跟审单位审核的结算造价基础上的核减率计算，以上付款均无息）</w:t>
      </w:r>
      <w:r>
        <w:rPr>
          <w:rFonts w:hint="eastAsia" w:ascii="宋体" w:hAnsi="宋体" w:cs="宋体"/>
          <w:color w:val="auto"/>
          <w:kern w:val="0"/>
          <w:highlight w:val="none"/>
          <w:lang w:val="en-US" w:eastAsia="zh-CN"/>
        </w:rPr>
        <w:t>。</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、合同文件构成</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 xml:space="preserve">投标函及其附录（如果有）； </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pPr>
        <w:keepNext w:val="0"/>
        <w:keepLines w:val="0"/>
        <w:pageBreakBefore w:val="0"/>
        <w:widowControl w:val="0"/>
        <w:kinsoku/>
        <w:wordWrap/>
        <w:overflowPunct/>
        <w:topLinePunct w:val="0"/>
        <w:autoSpaceDE w:val="0"/>
        <w:autoSpaceDN w:val="0"/>
        <w:bidi w:val="0"/>
        <w:adjustRightInd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、词语含义</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、签订时间</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、签订地点</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滁州市兴滁矿业投资集团有限公司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、合同生效</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双方签字盖章后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、合同份数</w:t>
      </w:r>
    </w:p>
    <w:p>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pPr>
        <w:keepNext w:val="0"/>
        <w:keepLines w:val="0"/>
        <w:pageBreakBefore w:val="0"/>
        <w:widowControl w:val="0"/>
        <w:tabs>
          <w:tab w:val="left" w:pos="4830"/>
        </w:tabs>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咨询人：  (公章)</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pPr>
        <w:pageBreakBefore w:val="0"/>
        <w:widowControl/>
        <w:numPr>
          <w:ilvl w:val="0"/>
          <w:numId w:val="2"/>
        </w:numPr>
        <w:kinsoku/>
        <w:wordWrap/>
        <w:overflowPunct/>
        <w:topLinePunct w:val="0"/>
        <w:bidi w:val="0"/>
        <w:spacing w:line="440" w:lineRule="exact"/>
        <w:ind w:left="-199" w:leftChars="-95" w:right="-185" w:rightChars="-88" w:firstLine="0" w:firstLineChars="0"/>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0"/>
          <w:sz w:val="21"/>
          <w:szCs w:val="21"/>
          <w:highlight w:val="none"/>
        </w:rPr>
        <w:br w:type="page"/>
      </w:r>
      <w:bookmarkStart w:id="102" w:name="_Toc407261893"/>
      <w:r>
        <w:rPr>
          <w:rFonts w:hint="eastAsia" w:ascii="宋体" w:hAnsi="宋体" w:eastAsia="宋体" w:cs="宋体"/>
          <w:b/>
          <w:bCs/>
          <w:color w:val="auto"/>
          <w:kern w:val="44"/>
          <w:sz w:val="28"/>
          <w:szCs w:val="28"/>
          <w:highlight w:val="none"/>
          <w:lang w:val="en-US" w:eastAsia="zh-CN" w:bidi="ar-SA"/>
        </w:rPr>
        <w:t xml:space="preserve"> 通用合同条款</w:t>
      </w:r>
      <w:bookmarkEnd w:id="102"/>
      <w:bookmarkStart w:id="103" w:name="_Toc407261894"/>
    </w:p>
    <w:bookmarkEnd w:id="103"/>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执行安徽省住房和城乡建设厅和</w:t>
      </w:r>
      <w:r>
        <w:rPr>
          <w:rFonts w:hint="eastAsia" w:ascii="宋体" w:hAnsi="宋体" w:eastAsia="宋体" w:cs="宋体"/>
          <w:b/>
          <w:color w:val="auto"/>
          <w:spacing w:val="20"/>
          <w:sz w:val="24"/>
          <w:szCs w:val="24"/>
          <w:highlight w:val="none"/>
        </w:rPr>
        <w:t>安徽省工商行政管理局联合制定的、2014年12月23日颁布实施的《安徽省建设工程造价咨询合同》</w:t>
      </w:r>
      <w:r>
        <w:rPr>
          <w:rFonts w:hint="eastAsia" w:ascii="宋体" w:hAnsi="宋体" w:eastAsia="宋体" w:cs="宋体"/>
          <w:b/>
          <w:color w:val="auto"/>
          <w:sz w:val="24"/>
          <w:szCs w:val="24"/>
          <w:highlight w:val="none"/>
        </w:rPr>
        <w:t>（编号：ＷＦ－2014－05）中的“通用合同条款”。</w:t>
      </w:r>
    </w:p>
    <w:p>
      <w:pPr>
        <w:keepNext w:val="0"/>
        <w:keepLines w:val="0"/>
        <w:pageBreakBefore w:val="0"/>
        <w:widowControl w:val="0"/>
        <w:kinsoku/>
        <w:wordWrap/>
        <w:overflowPunct/>
        <w:topLinePunct w:val="0"/>
        <w:autoSpaceDE/>
        <w:autoSpaceDN/>
        <w:bidi w:val="0"/>
        <w:adjustRightInd/>
        <w:snapToGrid/>
        <w:spacing w:before="161" w:beforeLines="50" w:after="161" w:afterLines="50" w:line="440" w:lineRule="exact"/>
        <w:ind w:left="-199" w:leftChars="-95" w:right="-185" w:rightChars="-88"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04" w:name="_Toc407261943"/>
      <w:r>
        <w:rPr>
          <w:rFonts w:hint="eastAsia" w:ascii="宋体" w:hAnsi="宋体" w:eastAsia="宋体" w:cs="宋体"/>
          <w:b/>
          <w:bCs/>
          <w:color w:val="auto"/>
          <w:kern w:val="44"/>
          <w:sz w:val="28"/>
          <w:szCs w:val="28"/>
          <w:highlight w:val="none"/>
        </w:rPr>
        <w:t>第三部分  专用合同条款</w:t>
      </w:r>
      <w:bookmarkEnd w:id="104"/>
      <w:bookmarkStart w:id="105" w:name="_Toc351203633"/>
      <w:bookmarkStart w:id="106" w:name="_Toc407261944"/>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bookmarkStart w:id="107" w:name="_Toc297048342"/>
      <w:bookmarkStart w:id="108" w:name="_Toc296944495"/>
      <w:bookmarkStart w:id="109" w:name="_Toc297120456"/>
      <w:bookmarkStart w:id="110" w:name="_Toc296890984"/>
      <w:bookmarkStart w:id="111" w:name="_Toc292559866"/>
      <w:bookmarkStart w:id="112" w:name="_Toc296347155"/>
      <w:bookmarkStart w:id="113" w:name="_Toc296346657"/>
      <w:bookmarkStart w:id="114" w:name="_Toc296503156"/>
      <w:bookmarkStart w:id="115" w:name="_Toc292559361"/>
      <w:bookmarkStart w:id="116" w:name="_Toc296891196"/>
      <w:r>
        <w:rPr>
          <w:rFonts w:hint="eastAsia" w:ascii="宋体" w:hAnsi="宋体" w:eastAsia="宋体" w:cs="宋体"/>
          <w:b/>
          <w:bCs/>
          <w:color w:val="auto"/>
          <w:sz w:val="21"/>
          <w:szCs w:val="21"/>
          <w:highlight w:val="none"/>
        </w:rPr>
        <w:t>. 一般约定</w:t>
      </w:r>
      <w:bookmarkEnd w:id="105"/>
      <w:bookmarkEnd w:id="106"/>
    </w:p>
    <w:bookmarkEnd w:id="107"/>
    <w:bookmarkEnd w:id="108"/>
    <w:bookmarkEnd w:id="109"/>
    <w:bookmarkEnd w:id="110"/>
    <w:bookmarkEnd w:id="111"/>
    <w:bookmarkEnd w:id="112"/>
    <w:bookmarkEnd w:id="113"/>
    <w:bookmarkEnd w:id="114"/>
    <w:bookmarkEnd w:id="115"/>
    <w:bookmarkEnd w:id="116"/>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1.3法律</w:t>
      </w:r>
    </w:p>
    <w:p>
      <w:pPr>
        <w:pageBreakBefore w:val="0"/>
        <w:kinsoku/>
        <w:wordWrap/>
        <w:overflowPunct/>
        <w:topLinePunct w:val="0"/>
        <w:autoSpaceDE w:val="0"/>
        <w:autoSpaceDN w:val="0"/>
        <w:bidi w:val="0"/>
        <w:adjustRightInd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标准和规范</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合同文件的优先顺序</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联络</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 xml:space="preserve"> 委托人接收文件的地点：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17" w:name="_Toc351203634"/>
      <w:bookmarkStart w:id="118" w:name="_Toc407261945"/>
      <w:r>
        <w:rPr>
          <w:rFonts w:hint="eastAsia" w:ascii="宋体" w:hAnsi="宋体" w:eastAsia="宋体" w:cs="宋体"/>
          <w:b/>
          <w:bCs/>
          <w:color w:val="auto"/>
          <w:sz w:val="21"/>
          <w:szCs w:val="21"/>
          <w:highlight w:val="none"/>
        </w:rPr>
        <w:t>2</w:t>
      </w:r>
      <w:bookmarkStart w:id="119" w:name="_Toc297120457"/>
      <w:bookmarkStart w:id="120" w:name="_Toc297048343"/>
      <w:bookmarkStart w:id="121" w:name="_Toc292559362"/>
      <w:bookmarkStart w:id="122" w:name="_Toc296944496"/>
      <w:bookmarkStart w:id="123" w:name="_Toc292559867"/>
      <w:bookmarkStart w:id="124" w:name="_Toc296891197"/>
      <w:bookmarkStart w:id="125" w:name="_Toc296503157"/>
      <w:bookmarkStart w:id="126" w:name="_Toc296890985"/>
      <w:bookmarkStart w:id="127" w:name="_Toc296347156"/>
      <w:bookmarkStart w:id="128" w:name="_Toc296346658"/>
      <w:r>
        <w:rPr>
          <w:rFonts w:hint="eastAsia" w:ascii="宋体" w:hAnsi="宋体" w:eastAsia="宋体" w:cs="宋体"/>
          <w:b/>
          <w:bCs/>
          <w:color w:val="auto"/>
          <w:sz w:val="21"/>
          <w:szCs w:val="21"/>
          <w:highlight w:val="none"/>
        </w:rPr>
        <w:t>. 委托人</w:t>
      </w:r>
      <w:bookmarkEnd w:id="117"/>
      <w:bookmarkEnd w:id="118"/>
    </w:p>
    <w:bookmarkEnd w:id="119"/>
    <w:bookmarkEnd w:id="120"/>
    <w:bookmarkEnd w:id="121"/>
    <w:bookmarkEnd w:id="122"/>
    <w:bookmarkEnd w:id="123"/>
    <w:bookmarkEnd w:id="124"/>
    <w:bookmarkEnd w:id="125"/>
    <w:bookmarkEnd w:id="126"/>
    <w:bookmarkEnd w:id="127"/>
    <w:bookmarkEnd w:id="128"/>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委托人代表</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提供资料</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图纸 </w:t>
      </w:r>
      <w:r>
        <w:rPr>
          <w:rFonts w:hint="eastAsia" w:ascii="宋体" w:hAnsi="宋体" w:cs="宋体"/>
          <w:color w:val="auto"/>
          <w:sz w:val="21"/>
          <w:szCs w:val="21"/>
          <w:highlight w:val="none"/>
          <w:u w:val="single"/>
          <w:lang w:val="en-US" w:eastAsia="zh-CN"/>
        </w:rPr>
        <w:t>、跟踪审计材料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 答复</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129" w:name="_Toc407261946"/>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咨询人</w:t>
      </w:r>
      <w:bookmarkEnd w:id="129"/>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项目负责人</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工程造价专业人员</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 xml:space="preserve"> 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 xml:space="preserve"> 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 xml:space="preserve"> 咨询人安排的工程造价专业人员</w:t>
      </w:r>
      <w:r>
        <w:rPr>
          <w:rFonts w:hint="eastAsia" w:ascii="宋体" w:hAnsi="宋体" w:eastAsia="宋体" w:cs="宋体"/>
          <w:color w:val="auto"/>
          <w:kern w:val="0"/>
          <w:sz w:val="21"/>
          <w:szCs w:val="21"/>
          <w:highlight w:val="none"/>
        </w:rPr>
        <w:t>每月在施工现场的时间要</w:t>
      </w:r>
      <w:r>
        <w:rPr>
          <w:rFonts w:hint="eastAsia" w:ascii="宋体" w:hAnsi="宋体" w:eastAsia="宋体" w:cs="宋体"/>
          <w:color w:val="auto"/>
          <w:kern w:val="0"/>
          <w:sz w:val="21"/>
          <w:szCs w:val="21"/>
          <w:highlight w:val="none"/>
          <w:lang w:val="en-US" w:eastAsia="zh-CN"/>
        </w:rPr>
        <w:t>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 xml:space="preserve"> 咨询人无正当理由拒绝撤换工程造价专业人员的违约责任：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30" w:name="_Toc407261947"/>
      <w:r>
        <w:rPr>
          <w:rFonts w:hint="eastAsia" w:ascii="宋体" w:hAnsi="宋体" w:eastAsia="宋体" w:cs="宋体"/>
          <w:b/>
          <w:bCs/>
          <w:color w:val="auto"/>
          <w:sz w:val="21"/>
          <w:szCs w:val="21"/>
          <w:highlight w:val="none"/>
        </w:rPr>
        <w:t>4. 咨询业务范围和工作内容</w:t>
      </w:r>
      <w:bookmarkEnd w:id="130"/>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 咨询工作内容</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cs="宋体"/>
          <w:color w:val="auto"/>
          <w:szCs w:val="21"/>
          <w:highlight w:val="none"/>
          <w:u w:val="single"/>
          <w:lang w:val="en-US" w:eastAsia="zh-CN"/>
        </w:rPr>
        <w:t>包括但不限于对跟踪审计单位的审计成果进行复审等</w:t>
      </w:r>
      <w:r>
        <w:rPr>
          <w:rFonts w:hint="eastAsia" w:ascii="宋体" w:hAnsi="宋体" w:eastAsia="宋体" w:cs="宋体"/>
          <w:color w:val="auto"/>
          <w:sz w:val="21"/>
          <w:szCs w:val="21"/>
          <w:highlight w:val="none"/>
          <w:u w:val="single" w:color="auto"/>
        </w:rPr>
        <w:t>。</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31" w:name="_Toc407261948"/>
      <w:r>
        <w:rPr>
          <w:rFonts w:hint="eastAsia" w:ascii="宋体" w:hAnsi="宋体" w:eastAsia="宋体" w:cs="宋体"/>
          <w:b/>
          <w:bCs/>
          <w:color w:val="auto"/>
          <w:sz w:val="21"/>
          <w:szCs w:val="21"/>
          <w:highlight w:val="none"/>
        </w:rPr>
        <w:t>5. 咨询期限</w:t>
      </w:r>
      <w:bookmarkEnd w:id="131"/>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咨询期限延误</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 xml:space="preserve"> 因委托人原因导致咨询期限延误</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bookmarkStart w:id="132" w:name="_Toc297123518"/>
      <w:bookmarkStart w:id="133" w:name="_Toc297216177"/>
      <w:bookmarkStart w:id="134" w:name="_Toc300934970"/>
      <w:bookmarkStart w:id="135" w:name="_Toc303539127"/>
      <w:bookmarkStart w:id="136" w:name="_Toc304295548"/>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 xml:space="preserve"> 因咨询人原因导致咨询期限延误</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37" w:name="_Toc312678013"/>
      <w:bookmarkStart w:id="138" w:name="_Toc312677487"/>
      <w:bookmarkStart w:id="139" w:name="_Toc318581170"/>
      <w:r>
        <w:rPr>
          <w:rFonts w:hint="eastAsia" w:ascii="宋体" w:hAnsi="宋体" w:eastAsia="宋体" w:cs="宋体"/>
          <w:color w:val="auto"/>
          <w:sz w:val="21"/>
          <w:szCs w:val="21"/>
          <w:highlight w:val="none"/>
        </w:rPr>
        <w:t>咨询人原因造成咨询期限延误，逾期完成咨询业务违约金的计算方法为：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500</w:t>
      </w:r>
      <w:r>
        <w:rPr>
          <w:rFonts w:hint="eastAsia" w:ascii="宋体" w:hAnsi="宋体" w:eastAsia="宋体" w:cs="宋体"/>
          <w:b/>
          <w:bCs/>
          <w:color w:val="auto"/>
          <w:sz w:val="21"/>
          <w:szCs w:val="21"/>
          <w:highlight w:val="none"/>
          <w:u w:val="single"/>
          <w:lang w:val="en-US" w:eastAsia="zh-CN"/>
        </w:rPr>
        <w:t xml:space="preserve">元/天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bookmarkEnd w:id="132"/>
      <w:bookmarkEnd w:id="133"/>
      <w:bookmarkEnd w:id="134"/>
      <w:bookmarkEnd w:id="135"/>
      <w:bookmarkEnd w:id="136"/>
      <w:bookmarkEnd w:id="137"/>
      <w:bookmarkEnd w:id="138"/>
    </w:p>
    <w:bookmarkEnd w:id="139"/>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140" w:name="_Toc318581171"/>
      <w:bookmarkStart w:id="141" w:name="_Toc312678014"/>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40"/>
    <w:bookmarkEnd w:id="141"/>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 xml:space="preserve"> 因第三人原因导致咨询期限延误</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5.3 工程造价咨询成果文件交付期限</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满足招标人实际需求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3天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42" w:name="_Toc407261949"/>
      <w:r>
        <w:rPr>
          <w:rFonts w:hint="eastAsia" w:ascii="宋体" w:hAnsi="宋体" w:eastAsia="宋体" w:cs="宋体"/>
          <w:b/>
          <w:bCs/>
          <w:color w:val="auto"/>
          <w:sz w:val="21"/>
          <w:szCs w:val="21"/>
          <w:highlight w:val="none"/>
        </w:rPr>
        <w:t>6. 咨询质量</w:t>
      </w:r>
      <w:bookmarkEnd w:id="142"/>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 质量要求</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 xml:space="preserve">  《建设工程造价咨询成果文件质量标准》CECA/GC7-2012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质量不合格处理</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新宋体" w:hAnsi="新宋体" w:eastAsia="新宋体" w:cs="新宋体"/>
          <w:b/>
          <w:bCs/>
          <w:snapToGrid w:val="0"/>
          <w:color w:val="auto"/>
          <w:highlight w:val="none"/>
          <w:u w:val="single"/>
          <w:lang w:val="en-US" w:eastAsia="zh-CN"/>
        </w:rPr>
        <w:t>。</w:t>
      </w:r>
    </w:p>
    <w:p>
      <w:pPr>
        <w:pageBreakBefore w:val="0"/>
        <w:kinsoku/>
        <w:wordWrap/>
        <w:overflowPunct/>
        <w:topLinePunct w:val="0"/>
        <w:bidi w:val="0"/>
        <w:spacing w:line="440" w:lineRule="exact"/>
        <w:ind w:left="-199" w:leftChars="-95" w:right="-185" w:rightChars="-88" w:firstLine="0" w:firstLineChars="0"/>
        <w:jc w:val="left"/>
        <w:rPr>
          <w:rFonts w:hint="default"/>
          <w:color w:val="auto"/>
          <w:highlight w:val="none"/>
          <w:lang w:val="en-US" w:eastAsia="zh-CN"/>
        </w:rPr>
      </w:pPr>
      <w:r>
        <w:rPr>
          <w:rFonts w:hint="eastAsia" w:ascii="宋体" w:hAnsi="宋体" w:eastAsia="宋体" w:cs="宋体"/>
          <w:color w:val="auto"/>
          <w:sz w:val="21"/>
          <w:szCs w:val="21"/>
          <w:highlight w:val="none"/>
        </w:rPr>
        <w:t>因咨询人原因造成工程造价咨询成果文件质量不合格产生的损失赔偿额的计算方法为：</w:t>
      </w:r>
      <w:r>
        <w:rPr>
          <w:rFonts w:hint="eastAsia" w:ascii="宋体" w:hAnsi="宋体" w:eastAsia="宋体" w:cs="宋体"/>
          <w:b/>
          <w:bCs/>
          <w:color w:val="auto"/>
          <w:sz w:val="21"/>
          <w:szCs w:val="21"/>
          <w:highlight w:val="none"/>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43" w:name="_Toc407261950"/>
      <w:r>
        <w:rPr>
          <w:rFonts w:hint="eastAsia" w:ascii="宋体" w:hAnsi="宋体" w:eastAsia="宋体" w:cs="宋体"/>
          <w:b/>
          <w:bCs/>
          <w:color w:val="auto"/>
          <w:sz w:val="21"/>
          <w:szCs w:val="21"/>
          <w:highlight w:val="none"/>
        </w:rPr>
        <w:t>7. 咨询酬金</w:t>
      </w:r>
      <w:bookmarkEnd w:id="143"/>
    </w:p>
    <w:p>
      <w:pPr>
        <w:pageBreakBefore w:val="0"/>
        <w:kinsoku/>
        <w:wordWrap/>
        <w:overflowPunct/>
        <w:topLinePunct w:val="0"/>
        <w:bidi w:val="0"/>
        <w:spacing w:line="440" w:lineRule="exact"/>
        <w:ind w:left="-199" w:leftChars="-95" w:right="-185" w:rightChars="-88"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7.1 酬金计算方式</w:t>
      </w:r>
      <w:r>
        <w:rPr>
          <w:rFonts w:hint="eastAsia" w:ascii="宋体" w:hAnsi="宋体" w:eastAsia="宋体" w:cs="宋体"/>
          <w:b/>
          <w:color w:val="auto"/>
          <w:sz w:val="21"/>
          <w:szCs w:val="21"/>
          <w:highlight w:val="none"/>
          <w:lang w:val="en-US" w:eastAsia="zh-CN"/>
        </w:rPr>
        <w:t xml:space="preserve">  </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咨询酬金其他计算方式：基本费用    元，审核成果费率2%。</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7.1.2</w:t>
      </w:r>
      <w:r>
        <w:rPr>
          <w:rFonts w:hint="eastAsia" w:ascii="宋体" w:hAnsi="宋体" w:eastAsia="宋体" w:cs="宋体"/>
          <w:color w:val="auto"/>
          <w:sz w:val="21"/>
          <w:szCs w:val="21"/>
          <w:highlight w:val="none"/>
        </w:rPr>
        <w:t xml:space="preserve"> 基本酬金加绩效酬金</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基本酬金比率：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绩效酬金比率：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预付酬金</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 酬金分段结算与支付</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 xml:space="preserve"> 酬金分段结算与支付的比例或金额：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 xml:space="preserve"> 委托人审核确认酬金分段结算与支付申请书并完成酬金支付的期限：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 酬金结清与支付</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 xml:space="preserve"> 咨询人提交酬金结清与支付申请书的期限：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 xml:space="preserve"> 委托人审核确认酬金结清与支付申请书的期限：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cs="宋体"/>
          <w:b/>
          <w:bCs/>
          <w:color w:val="auto"/>
          <w:szCs w:val="21"/>
          <w:highlight w:val="none"/>
          <w:u w:val="single"/>
          <w:lang w:val="en-US" w:eastAsia="zh-CN"/>
        </w:rPr>
      </w:pPr>
      <w:r>
        <w:rPr>
          <w:rFonts w:hint="eastAsia" w:ascii="宋体" w:hAnsi="宋体" w:eastAsia="宋体" w:cs="宋体"/>
          <w:color w:val="auto"/>
          <w:sz w:val="21"/>
          <w:szCs w:val="21"/>
          <w:highlight w:val="none"/>
        </w:rPr>
        <w:t>7.4.3 委托人完成酬金支付的期限：</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p>
    <w:p>
      <w:pPr>
        <w:pStyle w:val="3"/>
        <w:keepNext/>
        <w:keepLines/>
        <w:pageBreakBefore w:val="0"/>
        <w:widowControl w:val="0"/>
        <w:numPr>
          <w:ilvl w:val="0"/>
          <w:numId w:val="0"/>
        </w:numPr>
        <w:kinsoku/>
        <w:wordWrap/>
        <w:overflowPunct/>
        <w:topLinePunct w:val="0"/>
        <w:autoSpaceDE/>
        <w:autoSpaceDN/>
        <w:bidi w:val="0"/>
        <w:adjustRightInd w:val="0"/>
        <w:snapToGrid/>
        <w:spacing w:before="97" w:beforeLines="30" w:after="97" w:afterLines="30" w:line="440" w:lineRule="exact"/>
        <w:ind w:leftChars="-95" w:right="-185" w:rightChars="-88"/>
        <w:jc w:val="left"/>
        <w:textAlignment w:val="baseline"/>
        <w:rPr>
          <w:rFonts w:hint="default" w:ascii="宋体" w:hAnsi="宋体" w:eastAsia="宋体" w:cs="宋体"/>
          <w:b w:val="0"/>
          <w:color w:val="auto"/>
          <w:sz w:val="21"/>
          <w:szCs w:val="21"/>
          <w:highlight w:val="none"/>
          <w:lang w:val="en-US" w:eastAsia="zh-CN"/>
        </w:rPr>
      </w:pPr>
      <w:bookmarkStart w:id="144" w:name="_Toc407261951"/>
      <w:r>
        <w:rPr>
          <w:rFonts w:hint="eastAsia" w:ascii="宋体" w:hAnsi="宋体" w:eastAsia="宋体" w:cs="宋体"/>
          <w:b/>
          <w:bCs/>
          <w:color w:val="auto"/>
          <w:kern w:val="2"/>
          <w:sz w:val="21"/>
          <w:szCs w:val="21"/>
          <w:highlight w:val="none"/>
          <w:lang w:val="en-US" w:eastAsia="zh-CN" w:bidi="ar-SA"/>
        </w:rPr>
        <w:t>8. 变更</w:t>
      </w:r>
      <w:bookmarkEnd w:id="144"/>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eastAsia="宋体" w:cs="宋体"/>
          <w:b w:val="0"/>
          <w:color w:val="auto"/>
          <w:sz w:val="21"/>
          <w:szCs w:val="21"/>
          <w:highlight w:val="none"/>
          <w:lang w:val="en-US" w:eastAsia="zh-CN"/>
        </w:rPr>
        <w:t xml:space="preserve">     </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 变更的范围</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 变更引起的咨询酬金和期限调整</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8.3 咨询人的合理化建议</w:t>
      </w:r>
      <w:r>
        <w:rPr>
          <w:rFonts w:hint="eastAsia" w:ascii="宋体" w:hAnsi="宋体" w:eastAsia="宋体" w:cs="宋体"/>
          <w:b/>
          <w:color w:val="auto"/>
          <w:sz w:val="21"/>
          <w:szCs w:val="21"/>
          <w:highlight w:val="none"/>
          <w:lang w:val="en-US" w:eastAsia="zh-CN"/>
        </w:rPr>
        <w:t xml:space="preserve"> </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45" w:name="_Toc407261952"/>
      <w:r>
        <w:rPr>
          <w:rFonts w:hint="eastAsia" w:ascii="宋体" w:hAnsi="宋体" w:eastAsia="宋体" w:cs="宋体"/>
          <w:b/>
          <w:bCs/>
          <w:color w:val="auto"/>
          <w:sz w:val="21"/>
          <w:szCs w:val="21"/>
          <w:highlight w:val="none"/>
        </w:rPr>
        <w:t>9. 违约</w:t>
      </w:r>
      <w:bookmarkEnd w:id="145"/>
    </w:p>
    <w:p>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 委托人违约</w:t>
      </w:r>
    </w:p>
    <w:p>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因委托人违约解除合同的，关于已完咨询业务酬金结算和付款的</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咨询人违约</w:t>
      </w:r>
    </w:p>
    <w:p>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关于咨询人违约解除合同的特别约定：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不予支付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46" w:name="_Toc407261953"/>
      <w:r>
        <w:rPr>
          <w:rFonts w:hint="eastAsia" w:ascii="宋体" w:hAnsi="宋体" w:eastAsia="宋体" w:cs="宋体"/>
          <w:b/>
          <w:bCs/>
          <w:color w:val="auto"/>
          <w:sz w:val="21"/>
          <w:szCs w:val="21"/>
          <w:highlight w:val="none"/>
        </w:rPr>
        <w:t>10. 争议解决</w:t>
      </w:r>
      <w:bookmarkEnd w:id="146"/>
    </w:p>
    <w:p>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 仲裁或诉讼</w:t>
      </w:r>
    </w:p>
    <w:p>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滁州    </w:t>
      </w:r>
      <w:r>
        <w:rPr>
          <w:rFonts w:hint="eastAsia" w:ascii="宋体" w:hAnsi="宋体" w:eastAsia="宋体" w:cs="宋体"/>
          <w:color w:val="auto"/>
          <w:kern w:val="0"/>
          <w:sz w:val="21"/>
          <w:szCs w:val="21"/>
          <w:highlight w:val="none"/>
        </w:rPr>
        <w:t>仲裁委员会申请仲裁；</w:t>
      </w:r>
    </w:p>
    <w:p>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汉仪大黑简" w:hAnsi="汉仪大黑简" w:eastAsia="汉仪大黑简" w:cs="汉仪大黑简"/>
          <w:b w:val="0"/>
          <w:color w:val="auto"/>
          <w:sz w:val="32"/>
          <w:szCs w:val="32"/>
          <w:highlight w:val="none"/>
          <w:lang w:val="en-US" w:eastAsia="zh-CN"/>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pPr>
        <w:rPr>
          <w:color w:val="auto"/>
          <w:highlight w:val="none"/>
        </w:rPr>
      </w:pPr>
      <w:r>
        <w:rPr>
          <w:rFonts w:hint="eastAsia" w:ascii="仿宋_GB2312" w:eastAsia="仿宋_GB2312"/>
          <w:color w:val="auto"/>
          <w:sz w:val="28"/>
          <w:szCs w:val="28"/>
          <w:highlight w:val="none"/>
          <w:u w:val="single"/>
        </w:rPr>
        <w:t xml:space="preserve">       </w:t>
      </w:r>
    </w:p>
    <w:p>
      <w:pPr>
        <w:pStyle w:val="2"/>
        <w:spacing w:before="0" w:after="0"/>
        <w:rPr>
          <w:rFonts w:hint="eastAsia" w:ascii="宋体" w:hAnsi="宋体" w:eastAsia="宋体" w:cs="宋体"/>
          <w:color w:val="auto"/>
          <w:kern w:val="2"/>
          <w:sz w:val="28"/>
          <w:szCs w:val="28"/>
          <w:highlight w:val="none"/>
        </w:rPr>
      </w:pPr>
      <w:bookmarkStart w:id="147" w:name="_Toc20381"/>
      <w:bookmarkStart w:id="148" w:name="_Toc31238"/>
    </w:p>
    <w:p>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br w:type="page"/>
      </w:r>
    </w:p>
    <w:p>
      <w:pPr>
        <w:pStyle w:val="2"/>
        <w:spacing w:before="0" w:after="0"/>
        <w:rPr>
          <w:rFonts w:ascii="宋体" w:hAnsi="宋体" w:eastAsia="宋体" w:cs="宋体"/>
          <w:color w:val="auto"/>
          <w:kern w:val="2"/>
          <w:sz w:val="28"/>
          <w:szCs w:val="28"/>
          <w:highlight w:val="none"/>
        </w:rPr>
      </w:pPr>
      <w:bookmarkStart w:id="149" w:name="_Toc20559"/>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六</w:t>
      </w:r>
      <w:r>
        <w:rPr>
          <w:rFonts w:hint="eastAsia" w:ascii="宋体" w:hAnsi="宋体" w:eastAsia="宋体" w:cs="宋体"/>
          <w:color w:val="auto"/>
          <w:kern w:val="2"/>
          <w:sz w:val="28"/>
          <w:szCs w:val="28"/>
          <w:highlight w:val="none"/>
        </w:rPr>
        <w:t>章投标文件格式</w:t>
      </w:r>
      <w:bookmarkEnd w:id="147"/>
      <w:bookmarkEnd w:id="148"/>
      <w:bookmarkEnd w:id="149"/>
    </w:p>
    <w:p>
      <w:pPr>
        <w:jc w:val="center"/>
        <w:rPr>
          <w:rFonts w:ascii="宋体" w:hAnsi="宋体" w:cs="宋体"/>
          <w:color w:val="auto"/>
          <w:sz w:val="28"/>
          <w:szCs w:val="28"/>
          <w:highlight w:val="none"/>
          <w:u w:val="single"/>
        </w:rPr>
      </w:pPr>
    </w:p>
    <w:p>
      <w:pPr>
        <w:pStyle w:val="44"/>
        <w:ind w:firstLine="560"/>
        <w:rPr>
          <w:color w:val="auto"/>
          <w:highlight w:val="none"/>
        </w:rPr>
      </w:pPr>
    </w:p>
    <w:p>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一</w:t>
      </w:r>
    </w:p>
    <w:p>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资信证明</w:t>
      </w:r>
      <w:r>
        <w:rPr>
          <w:rFonts w:eastAsia="黑体"/>
          <w:color w:val="auto"/>
          <w:sz w:val="44"/>
          <w:szCs w:val="44"/>
          <w:highlight w:val="none"/>
        </w:rPr>
        <w:t>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pPr>
        <w:jc w:val="center"/>
        <w:rPr>
          <w:b/>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（2）诚信投标承诺书（格式见附件）；</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企业营业执照（或三证合一的有效证件）</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pacing w:val="-1"/>
          <w:szCs w:val="21"/>
          <w:highlight w:val="none"/>
        </w:rPr>
      </w:pPr>
      <w:r>
        <w:rPr>
          <w:rFonts w:hint="eastAsia" w:ascii="宋体" w:hAnsi="宋体" w:cs="宋体"/>
          <w:color w:val="auto"/>
          <w:szCs w:val="21"/>
          <w:highlight w:val="none"/>
        </w:rPr>
        <w:t>（5）拟派项目负责人有效身份证及资质要求的相关证书</w:t>
      </w:r>
      <w:r>
        <w:rPr>
          <w:rFonts w:hint="eastAsia" w:ascii="宋体" w:hAnsi="宋体" w:cs="宋体"/>
          <w:color w:val="auto"/>
          <w:spacing w:val="-1"/>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）投标人的法定代表人(或委托代理人)和拟任项目负责人须持有社保部门出具的本单位为其缴纳的投标前近</w:t>
      </w:r>
      <w:r>
        <w:rPr>
          <w:rFonts w:hint="eastAsia" w:ascii="宋体" w:hAnsi="宋体" w:cs="宋体"/>
          <w:color w:val="auto"/>
          <w:szCs w:val="21"/>
          <w:highlight w:val="none"/>
          <w:lang w:eastAsia="zh-CN"/>
        </w:rPr>
        <w:t>六个月连续的养老保险证明</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项目组成员注册证书和证明专业的证明材料；</w:t>
      </w:r>
    </w:p>
    <w:p>
      <w:pPr>
        <w:spacing w:line="440" w:lineRule="exact"/>
        <w:ind w:firstLine="420" w:firstLineChars="200"/>
        <w:jc w:val="left"/>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8）资信评分证明材料；</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投标人认为需要提供的其它证明材料。</w:t>
      </w:r>
    </w:p>
    <w:p>
      <w:pPr>
        <w:spacing w:line="500" w:lineRule="exact"/>
        <w:jc w:val="left"/>
        <w:rPr>
          <w:rFonts w:ascii="仿宋" w:hAnsi="仿宋" w:eastAsia="仿宋" w:cs="仿宋"/>
          <w:b/>
          <w:color w:val="auto"/>
          <w:sz w:val="28"/>
          <w:szCs w:val="28"/>
          <w:highlight w:val="none"/>
        </w:rPr>
      </w:pPr>
      <w:r>
        <w:rPr>
          <w:rFonts w:hint="eastAsia" w:ascii="宋体" w:hAnsi="宋体" w:eastAsia="仿宋" w:cs="宋体"/>
          <w:b/>
          <w:color w:val="auto"/>
          <w:sz w:val="24"/>
          <w:szCs w:val="24"/>
          <w:highlight w:val="none"/>
          <w:lang w:val="en-US" w:eastAsia="zh-CN"/>
        </w:rPr>
        <w:t xml:space="preserve"> </w:t>
      </w:r>
      <w:r>
        <w:rPr>
          <w:rFonts w:ascii="仿宋" w:hAnsi="仿宋" w:eastAsia="仿宋" w:cs="仿宋"/>
          <w:b/>
          <w:color w:val="auto"/>
          <w:sz w:val="28"/>
          <w:szCs w:val="28"/>
          <w:highlight w:val="none"/>
        </w:rPr>
        <w:br w:type="page"/>
      </w:r>
    </w:p>
    <w:p>
      <w:pPr>
        <w:jc w:val="center"/>
        <w:rPr>
          <w:rFonts w:ascii="仿宋" w:hAnsi="仿宋" w:eastAsia="仿宋" w:cs="仿宋"/>
          <w:color w:val="auto"/>
          <w:sz w:val="32"/>
          <w:szCs w:val="32"/>
          <w:highlight w:val="none"/>
        </w:rPr>
      </w:pPr>
      <w:r>
        <w:rPr>
          <w:rFonts w:hint="eastAsia" w:ascii="仿宋" w:hAnsi="仿宋" w:eastAsia="仿宋" w:cs="仿宋"/>
          <w:b/>
          <w:color w:val="auto"/>
          <w:sz w:val="28"/>
          <w:szCs w:val="28"/>
          <w:highlight w:val="none"/>
        </w:rPr>
        <w:t>法定代表人身份证明或授权委托书</w:t>
      </w:r>
    </w:p>
    <w:p>
      <w:pPr>
        <w:pStyle w:val="145"/>
        <w:spacing w:before="318" w:beforeLines="100" w:after="318" w:afterLines="100" w:line="480" w:lineRule="exact"/>
        <w:ind w:firstLine="180" w:firstLineChars="75"/>
        <w:rPr>
          <w:rFonts w:ascii="宋体" w:hAnsi="宋体" w:cs="宋体"/>
          <w:b/>
          <w:color w:val="auto"/>
          <w:sz w:val="24"/>
          <w:szCs w:val="24"/>
          <w:highlight w:val="none"/>
        </w:rPr>
      </w:pPr>
      <w:bookmarkStart w:id="150" w:name="OLE_LINK13"/>
      <w:r>
        <w:rPr>
          <w:rFonts w:hint="eastAsia" w:ascii="宋体" w:hAnsi="宋体" w:cs="宋体"/>
          <w:color w:val="auto"/>
          <w:sz w:val="24"/>
          <w:szCs w:val="24"/>
          <w:highlight w:val="none"/>
        </w:rPr>
        <w:t>1、法定代表人身份证明</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1440" w:firstLineChars="200"/>
        <w:rPr>
          <w:rFonts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_职务：</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3480" w:firstLineChars="145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bookmarkEnd w:id="150"/>
    </w:p>
    <w:p>
      <w:pPr>
        <w:pStyle w:val="44"/>
        <w:ind w:firstLine="560"/>
        <w:rPr>
          <w:color w:val="auto"/>
          <w:highlight w:val="none"/>
        </w:rPr>
      </w:pPr>
    </w:p>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2、授权委托书</w:t>
      </w:r>
    </w:p>
    <w:p>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工程的投标活动。代理人在投标、开标、评标、合同谈判过程中所签署的一切文件和处理与之有关的一切事务，我均予以承认。</w:t>
      </w:r>
    </w:p>
    <w:p>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附：法定代表人及授权委托人有效身份证</w:t>
      </w:r>
    </w:p>
    <w:p>
      <w:pPr>
        <w:spacing w:line="480" w:lineRule="auto"/>
        <w:ind w:right="2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授权代理人：</w:t>
      </w:r>
      <w:r>
        <w:rPr>
          <w:rFonts w:hint="eastAsia" w:ascii="宋体" w:hAnsi="宋体" w:cs="宋体"/>
          <w:color w:val="auto"/>
          <w:sz w:val="24"/>
          <w:szCs w:val="24"/>
          <w:highlight w:val="none"/>
          <w:u w:val="single"/>
        </w:rPr>
        <w:t xml:space="preserve">   （签字或盖章）</w:t>
      </w:r>
    </w:p>
    <w:p>
      <w:pPr>
        <w:spacing w:line="480" w:lineRule="auto"/>
        <w:ind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（盖章）</w:t>
      </w:r>
    </w:p>
    <w:p>
      <w:pPr>
        <w:spacing w:line="480" w:lineRule="auto"/>
        <w:ind w:right="20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p>
    <w:p>
      <w:pPr>
        <w:spacing w:line="480" w:lineRule="auto"/>
        <w:ind w:right="24" w:firstLine="4560" w:firstLineChars="1900"/>
        <w:rPr>
          <w:rFonts w:ascii="宋体" w:hAnsi="宋体" w:cs="宋体"/>
          <w:b/>
          <w:bCs/>
          <w:color w:val="auto"/>
          <w:kern w:val="0"/>
          <w:sz w:val="30"/>
          <w:szCs w:val="30"/>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年     月     日</w:t>
      </w:r>
    </w:p>
    <w:p>
      <w:pPr>
        <w:rPr>
          <w:b/>
          <w:color w:val="auto"/>
          <w:sz w:val="28"/>
          <w:szCs w:val="28"/>
          <w:highlight w:val="none"/>
        </w:rPr>
      </w:pPr>
      <w:r>
        <w:rPr>
          <w:rFonts w:ascii="仿宋" w:hAnsi="仿宋" w:eastAsia="仿宋" w:cs="仿宋"/>
          <w:b/>
          <w:bCs/>
          <w:color w:val="auto"/>
          <w:kern w:val="0"/>
          <w:sz w:val="30"/>
          <w:szCs w:val="30"/>
          <w:highlight w:val="none"/>
        </w:rPr>
        <w:br w:type="page"/>
      </w:r>
    </w:p>
    <w:p>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pPr>
        <w:spacing w:line="360" w:lineRule="auto"/>
        <w:jc w:val="center"/>
        <w:rPr>
          <w:rFonts w:hint="eastAsia"/>
          <w:b/>
          <w:color w:val="auto"/>
          <w:sz w:val="28"/>
          <w:szCs w:val="28"/>
          <w:highlight w:val="none"/>
        </w:rPr>
      </w:pPr>
      <w:r>
        <w:rPr>
          <w:rFonts w:hint="eastAsia"/>
          <w:b/>
          <w:color w:val="auto"/>
          <w:sz w:val="28"/>
          <w:szCs w:val="28"/>
          <w:highlight w:val="none"/>
        </w:rPr>
        <w:t>诚信投标承诺书 </w:t>
      </w:r>
    </w:p>
    <w:p>
      <w:pPr>
        <w:spacing w:line="50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投标单位（盖单位章）：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spacing w:line="500" w:lineRule="exact"/>
        <w:ind w:firstLine="420" w:firstLineChars="200"/>
        <w:rPr>
          <w:rFonts w:hint="eastAsia" w:ascii="宋体" w:hAnsi="宋体"/>
          <w:color w:val="auto"/>
          <w:szCs w:val="21"/>
          <w:highlight w:val="none"/>
        </w:rPr>
      </w:pPr>
    </w:p>
    <w:p>
      <w:pPr>
        <w:spacing w:line="560" w:lineRule="exact"/>
        <w:jc w:val="right"/>
        <w:rPr>
          <w:rFonts w:hint="eastAsia" w:ascii="宋体" w:hAnsi="宋体"/>
          <w:color w:val="auto"/>
          <w:szCs w:val="21"/>
          <w:highlight w:val="none"/>
        </w:rPr>
      </w:pPr>
    </w:p>
    <w:p>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jc w:val="center"/>
        <w:rPr>
          <w:rFonts w:eastAsia="黑体"/>
          <w:color w:val="auto"/>
          <w:sz w:val="28"/>
          <w:szCs w:val="28"/>
          <w:highlight w:val="none"/>
          <w:u w:val="single"/>
        </w:rPr>
      </w:pPr>
    </w:p>
    <w:p>
      <w:pPr>
        <w:pStyle w:val="44"/>
        <w:rPr>
          <w:rFonts w:eastAsia="黑体"/>
          <w:color w:val="auto"/>
          <w:sz w:val="28"/>
          <w:szCs w:val="28"/>
          <w:highlight w:val="none"/>
          <w:u w:val="single"/>
        </w:rPr>
      </w:pPr>
    </w:p>
    <w:p>
      <w:pPr>
        <w:rPr>
          <w:rFonts w:eastAsia="黑体"/>
          <w:color w:val="auto"/>
          <w:sz w:val="28"/>
          <w:szCs w:val="28"/>
          <w:highlight w:val="none"/>
          <w:u w:val="single"/>
        </w:rPr>
      </w:pPr>
    </w:p>
    <w:p>
      <w:pPr>
        <w:pStyle w:val="44"/>
        <w:rPr>
          <w:rFonts w:eastAsia="黑体"/>
          <w:color w:val="auto"/>
          <w:sz w:val="28"/>
          <w:szCs w:val="28"/>
          <w:highlight w:val="none"/>
          <w:u w:val="single"/>
        </w:rPr>
      </w:pPr>
    </w:p>
    <w:p>
      <w:pPr>
        <w:rPr>
          <w:rFonts w:eastAsia="黑体"/>
          <w:color w:val="auto"/>
          <w:sz w:val="28"/>
          <w:szCs w:val="28"/>
          <w:highlight w:val="none"/>
          <w:u w:val="single"/>
        </w:rPr>
      </w:pPr>
    </w:p>
    <w:p>
      <w:pPr>
        <w:pStyle w:val="44"/>
        <w:rPr>
          <w:rFonts w:eastAsia="黑体"/>
          <w:color w:val="auto"/>
          <w:sz w:val="28"/>
          <w:szCs w:val="28"/>
          <w:highlight w:val="none"/>
          <w:u w:val="single"/>
        </w:rPr>
      </w:pPr>
    </w:p>
    <w:p>
      <w:pPr>
        <w:rPr>
          <w:rFonts w:eastAsia="黑体"/>
          <w:color w:val="auto"/>
          <w:sz w:val="28"/>
          <w:szCs w:val="28"/>
          <w:highlight w:val="none"/>
          <w:u w:val="single"/>
        </w:rPr>
      </w:pPr>
    </w:p>
    <w:p>
      <w:pPr>
        <w:rPr>
          <w:rFonts w:eastAsia="黑体"/>
          <w:color w:val="auto"/>
          <w:sz w:val="28"/>
          <w:szCs w:val="28"/>
          <w:highlight w:val="none"/>
          <w:u w:val="single"/>
        </w:rPr>
      </w:pPr>
      <w:r>
        <w:rPr>
          <w:rFonts w:eastAsia="黑体"/>
          <w:color w:val="auto"/>
          <w:sz w:val="28"/>
          <w:szCs w:val="28"/>
          <w:highlight w:val="none"/>
          <w:u w:val="single"/>
        </w:rPr>
        <w:br w:type="page"/>
      </w:r>
    </w:p>
    <w:p>
      <w:pPr>
        <w:pStyle w:val="44"/>
        <w:rPr>
          <w:color w:val="auto"/>
          <w:highlight w:val="none"/>
        </w:rPr>
      </w:pPr>
    </w:p>
    <w:p>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二</w:t>
      </w:r>
    </w:p>
    <w:p>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商务</w:t>
      </w:r>
      <w:r>
        <w:rPr>
          <w:rFonts w:eastAsia="黑体"/>
          <w:color w:val="auto"/>
          <w:sz w:val="44"/>
          <w:szCs w:val="44"/>
          <w:highlight w:val="none"/>
        </w:rPr>
        <w:t>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pPr>
        <w:jc w:val="center"/>
        <w:rPr>
          <w:rFonts w:hint="eastAsia" w:eastAsia="黑体"/>
          <w:b/>
          <w:color w:val="auto"/>
          <w:sz w:val="28"/>
          <w:szCs w:val="28"/>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none"/>
          <w:lang w:val="en-US" w:eastAsia="zh-CN"/>
        </w:rPr>
        <w:t>日</w:t>
      </w:r>
    </w:p>
    <w:p>
      <w:pPr>
        <w:pStyle w:val="33"/>
        <w:ind w:left="420" w:hanging="420"/>
        <w:rPr>
          <w:rFonts w:hint="eastAsia"/>
          <w:color w:val="auto"/>
          <w:szCs w:val="21"/>
          <w:highlight w:val="none"/>
        </w:rPr>
      </w:pPr>
    </w:p>
    <w:p>
      <w:pPr>
        <w:widowControl/>
        <w:spacing w:line="440" w:lineRule="exact"/>
        <w:ind w:firstLine="420" w:firstLineChars="200"/>
        <w:jc w:val="center"/>
        <w:textAlignment w:val="baseline"/>
        <w:rPr>
          <w:rFonts w:hint="eastAsia" w:ascii="宋体" w:hAnsi="宋体" w:cs="宋体"/>
          <w:color w:val="auto"/>
          <w:kern w:val="0"/>
          <w:szCs w:val="21"/>
          <w:highlight w:val="none"/>
          <w:u w:color="000000"/>
          <w:lang w:val="en-US" w:eastAsia="zh-CN"/>
        </w:rPr>
      </w:pPr>
      <w:r>
        <w:rPr>
          <w:rFonts w:hint="eastAsia" w:ascii="宋体" w:hAnsi="宋体" w:cs="宋体"/>
          <w:color w:val="auto"/>
          <w:kern w:val="0"/>
          <w:szCs w:val="21"/>
          <w:highlight w:val="none"/>
          <w:u w:color="000000"/>
          <w:lang w:val="en-US" w:eastAsia="zh-CN"/>
        </w:rPr>
        <w:t>目  录</w:t>
      </w:r>
    </w:p>
    <w:p>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1</w:t>
      </w:r>
      <w:r>
        <w:rPr>
          <w:rFonts w:hint="eastAsia" w:ascii="宋体" w:hAnsi="宋体" w:cs="宋体"/>
          <w:color w:val="auto"/>
          <w:kern w:val="0"/>
          <w:szCs w:val="21"/>
          <w:highlight w:val="none"/>
          <w:u w:color="000000"/>
        </w:rPr>
        <w:t>）投标函（格式见附件）；</w:t>
      </w:r>
    </w:p>
    <w:p>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2</w:t>
      </w:r>
      <w:r>
        <w:rPr>
          <w:rFonts w:hint="eastAsia" w:ascii="宋体" w:hAnsi="宋体" w:cs="宋体"/>
          <w:color w:val="auto"/>
          <w:kern w:val="0"/>
          <w:szCs w:val="21"/>
          <w:highlight w:val="none"/>
          <w:u w:color="000000"/>
        </w:rPr>
        <w:t>）招标文件要求提供的其他证明材料。</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rPr>
          <w:rFonts w:hint="eastAsia"/>
          <w:b/>
          <w:color w:val="auto"/>
          <w:sz w:val="28"/>
          <w:szCs w:val="28"/>
          <w:highlight w:val="none"/>
        </w:rPr>
      </w:pPr>
      <w:r>
        <w:rPr>
          <w:rFonts w:hint="eastAsia"/>
          <w:b/>
          <w:color w:val="auto"/>
          <w:sz w:val="28"/>
          <w:szCs w:val="28"/>
          <w:highlight w:val="none"/>
        </w:rPr>
        <w:br w:type="page"/>
      </w:r>
    </w:p>
    <w:p>
      <w:pPr>
        <w:spacing w:line="360" w:lineRule="auto"/>
        <w:jc w:val="center"/>
        <w:rPr>
          <w:b/>
          <w:bCs/>
          <w:color w:val="auto"/>
          <w:sz w:val="36"/>
          <w:highlight w:val="none"/>
        </w:rPr>
      </w:pPr>
      <w:r>
        <w:rPr>
          <w:rFonts w:hint="eastAsia"/>
          <w:b/>
          <w:color w:val="auto"/>
          <w:sz w:val="28"/>
          <w:szCs w:val="28"/>
          <w:highlight w:val="none"/>
        </w:rPr>
        <w:t>投 标 函</w:t>
      </w:r>
    </w:p>
    <w:p>
      <w:pPr>
        <w:spacing w:line="360" w:lineRule="auto"/>
        <w:ind w:firstLine="480" w:firstLineChars="200"/>
        <w:rPr>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       </w:t>
      </w:r>
      <w:r>
        <w:rPr>
          <w:rFonts w:hint="eastAsia" w:ascii="宋体"/>
          <w:color w:val="auto"/>
          <w:sz w:val="24"/>
          <w:highlight w:val="none"/>
        </w:rPr>
        <w:t xml:space="preserve"> </w:t>
      </w:r>
    </w:p>
    <w:p>
      <w:pPr>
        <w:spacing w:line="440" w:lineRule="exact"/>
        <w:ind w:firstLine="480" w:firstLineChars="200"/>
        <w:rPr>
          <w:rFonts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 xml:space="preserve">”的采购。我方授权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pPr>
        <w:spacing w:line="440" w:lineRule="exact"/>
        <w:ind w:firstLine="480" w:firstLineChars="200"/>
        <w:rPr>
          <w:rFonts w:hint="eastAsia" w:ascii="宋体"/>
          <w:color w:val="auto"/>
          <w:sz w:val="24"/>
          <w:szCs w:val="24"/>
          <w:highlight w:val="none"/>
          <w:lang w:val="en-US" w:eastAsia="zh-CN"/>
        </w:rPr>
      </w:pPr>
      <w:r>
        <w:rPr>
          <w:rFonts w:hint="eastAsia" w:ascii="宋体"/>
          <w:color w:val="auto"/>
          <w:sz w:val="24"/>
          <w:szCs w:val="24"/>
          <w:highlight w:val="none"/>
        </w:rPr>
        <w:t xml:space="preserve">2.我方愿意按照招标文件规定的各项要求，向招标人提供“ </w:t>
      </w:r>
      <w:r>
        <w:rPr>
          <w:rFonts w:hint="eastAsia" w:ascii="宋体"/>
          <w:color w:val="auto"/>
          <w:sz w:val="24"/>
          <w:szCs w:val="24"/>
          <w:highlight w:val="none"/>
          <w:u w:val="single"/>
        </w:rPr>
        <w:t xml:space="preserve">     </w:t>
      </w:r>
      <w:r>
        <w:rPr>
          <w:rFonts w:hint="eastAsia" w:ascii="宋体"/>
          <w:color w:val="auto"/>
          <w:sz w:val="24"/>
          <w:szCs w:val="24"/>
          <w:highlight w:val="none"/>
        </w:rPr>
        <w:t>（项目编号）”项目的货物与服务，我方报价为</w:t>
      </w:r>
      <w:r>
        <w:rPr>
          <w:rFonts w:hint="eastAsia" w:ascii="宋体"/>
          <w:color w:val="auto"/>
          <w:sz w:val="24"/>
          <w:szCs w:val="24"/>
          <w:highlight w:val="none"/>
          <w:lang w:eastAsia="zh-CN"/>
        </w:rPr>
        <w:t>：基本费用</w:t>
      </w:r>
      <w:r>
        <w:rPr>
          <w:rFonts w:hint="eastAsia" w:ascii="宋体"/>
          <w:color w:val="auto"/>
          <w:sz w:val="24"/>
          <w:szCs w:val="24"/>
          <w:highlight w:val="none"/>
          <w:u w:val="single"/>
          <w:lang w:eastAsia="zh-CN"/>
        </w:rPr>
        <w:t xml:space="preserve">    </w:t>
      </w:r>
      <w:r>
        <w:rPr>
          <w:rFonts w:hint="eastAsia" w:ascii="宋体"/>
          <w:color w:val="auto"/>
          <w:sz w:val="24"/>
          <w:szCs w:val="24"/>
          <w:highlight w:val="none"/>
          <w:lang w:eastAsia="zh-CN"/>
        </w:rPr>
        <w:t>元，审核成果费率2%。</w:t>
      </w:r>
      <w:r>
        <w:rPr>
          <w:rFonts w:hint="eastAsia" w:ascii="宋体"/>
          <w:color w:val="auto"/>
          <w:sz w:val="24"/>
          <w:szCs w:val="24"/>
          <w:highlight w:val="none"/>
          <w:lang w:val="en-US" w:eastAsia="zh-CN"/>
        </w:rPr>
        <w:t>服务周期：</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lang w:val="en-US" w:eastAsia="zh-CN"/>
        </w:rPr>
        <w:t>日历天。</w:t>
      </w:r>
    </w:p>
    <w:p>
      <w:pPr>
        <w:spacing w:line="440" w:lineRule="exact"/>
        <w:ind w:firstLine="480" w:firstLineChars="200"/>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日历天（从投标截止之日算起）。</w:t>
      </w:r>
    </w:p>
    <w:p>
      <w:pPr>
        <w:spacing w:line="400" w:lineRule="exact"/>
        <w:ind w:firstLine="480" w:firstLineChars="200"/>
        <w:rPr>
          <w:rFonts w:ascii="宋体"/>
          <w:color w:val="auto"/>
          <w:sz w:val="24"/>
          <w:highlight w:val="none"/>
        </w:rPr>
      </w:pPr>
      <w:r>
        <w:rPr>
          <w:rFonts w:hint="eastAsia" w:ascii="宋体"/>
          <w:color w:val="auto"/>
          <w:sz w:val="24"/>
          <w:highlight w:val="none"/>
        </w:rPr>
        <w:t>4.一旦我方成为合同签字人，我方将严格履行合同规定的责任和义务。</w:t>
      </w:r>
    </w:p>
    <w:p>
      <w:pPr>
        <w:spacing w:line="400" w:lineRule="exact"/>
        <w:ind w:firstLine="480" w:firstLineChars="200"/>
        <w:rPr>
          <w:rFonts w:ascii="宋体"/>
          <w:color w:val="auto"/>
          <w:sz w:val="24"/>
          <w:highlight w:val="none"/>
        </w:rPr>
      </w:pPr>
      <w:r>
        <w:rPr>
          <w:rFonts w:hint="eastAsia" w:ascii="宋体"/>
          <w:color w:val="auto"/>
          <w:sz w:val="24"/>
          <w:highlight w:val="none"/>
        </w:rPr>
        <w:t>5.我方同意按照招标文件的要求，递交金额为人民币</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w:t>
      </w:r>
      <w:r>
        <w:rPr>
          <w:rFonts w:hint="eastAsia" w:ascii="宋体"/>
          <w:color w:val="auto"/>
          <w:sz w:val="24"/>
          <w:highlight w:val="none"/>
          <w:u w:val="single"/>
        </w:rPr>
        <w:t xml:space="preserve"> </w:t>
      </w:r>
      <w:r>
        <w:rPr>
          <w:rFonts w:hint="eastAsia" w:ascii="宋体"/>
          <w:color w:val="auto"/>
          <w:sz w:val="24"/>
          <w:highlight w:val="none"/>
        </w:rPr>
        <w:t xml:space="preserve">（大写）的投标保证金。并且承诺，在投标有效期内如果我方撤回投标文件或成为合同签字人后拒绝签订合同，我方将放弃要求退还该保证金的权力。 </w:t>
      </w:r>
    </w:p>
    <w:p>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pPr>
        <w:ind w:right="-178" w:rightChars="-85" w:firstLine="2520" w:firstLineChars="1050"/>
        <w:rPr>
          <w:rFonts w:ascii="宋体"/>
          <w:color w:val="auto"/>
          <w:sz w:val="24"/>
          <w:highlight w:val="none"/>
          <w:u w:val="single"/>
        </w:rPr>
      </w:pPr>
      <w:r>
        <w:rPr>
          <w:rFonts w:hint="eastAsia" w:ascii="宋体"/>
          <w:color w:val="auto"/>
          <w:sz w:val="24"/>
          <w:highlight w:val="none"/>
        </w:rPr>
        <w:t xml:space="preserve">           </w:t>
      </w:r>
    </w:p>
    <w:p>
      <w:pPr>
        <w:spacing w:line="400" w:lineRule="exact"/>
        <w:ind w:firstLine="2520" w:firstLineChars="1200"/>
        <w:rPr>
          <w:rFonts w:ascii="宋体"/>
          <w:color w:val="auto"/>
          <w:highlight w:val="none"/>
        </w:rPr>
      </w:pPr>
    </w:p>
    <w:p>
      <w:pPr>
        <w:pStyle w:val="44"/>
        <w:ind w:firstLine="560"/>
        <w:rPr>
          <w:rFonts w:ascii="宋体"/>
          <w:color w:val="auto"/>
          <w:szCs w:val="21"/>
          <w:highlight w:val="none"/>
        </w:rPr>
      </w:pPr>
      <w:r>
        <w:rPr>
          <w:rFonts w:hint="eastAsia" w:ascii="宋体"/>
          <w:color w:val="auto"/>
          <w:szCs w:val="21"/>
          <w:highlight w:val="none"/>
        </w:rPr>
        <w:t xml:space="preserve">  </w:t>
      </w:r>
    </w:p>
    <w:p>
      <w:pPr>
        <w:rPr>
          <w:color w:val="auto"/>
          <w:highlight w:val="none"/>
        </w:rPr>
      </w:pPr>
    </w:p>
    <w:p>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投标单位：</w:t>
      </w:r>
      <w:r>
        <w:rPr>
          <w:rFonts w:ascii="宋体" w:hAnsi="宋体"/>
          <w:color w:val="auto"/>
          <w:sz w:val="24"/>
          <w:szCs w:val="24"/>
          <w:highlight w:val="none"/>
          <w:u w:val="single"/>
        </w:rPr>
        <w:t xml:space="preserve">                              </w:t>
      </w:r>
      <w:r>
        <w:rPr>
          <w:rFonts w:hint="eastAsia"/>
          <w:color w:val="auto"/>
          <w:sz w:val="24"/>
          <w:szCs w:val="24"/>
          <w:highlight w:val="none"/>
          <w:u w:val="single"/>
        </w:rPr>
        <w:t>（盖章）</w:t>
      </w:r>
    </w:p>
    <w:p>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（签字或盖章）</w:t>
      </w:r>
    </w:p>
    <w:p>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单位地址：</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邮政编码：</w:t>
      </w:r>
      <w:r>
        <w:rPr>
          <w:rFonts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rPr>
        <w:t>传真：</w:t>
      </w:r>
      <w:r>
        <w:rPr>
          <w:rFonts w:ascii="宋体" w:hAnsi="宋体"/>
          <w:color w:val="auto"/>
          <w:sz w:val="24"/>
          <w:szCs w:val="24"/>
          <w:highlight w:val="none"/>
          <w:u w:val="single"/>
        </w:rPr>
        <w:t xml:space="preserve">               </w:t>
      </w:r>
    </w:p>
    <w:p>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ascii="仿宋" w:hAnsi="仿宋" w:eastAsia="仿宋" w:cs="仿宋"/>
          <w:b/>
          <w:bCs/>
          <w:color w:val="auto"/>
          <w:kern w:val="0"/>
          <w:sz w:val="30"/>
          <w:szCs w:val="30"/>
          <w:highlight w:val="none"/>
        </w:rPr>
      </w:pPr>
      <w:r>
        <w:rPr>
          <w:rFonts w:ascii="仿宋" w:hAnsi="仿宋" w:eastAsia="仿宋" w:cs="仿宋"/>
          <w:b/>
          <w:bCs/>
          <w:color w:val="auto"/>
          <w:kern w:val="0"/>
          <w:sz w:val="30"/>
          <w:szCs w:val="30"/>
          <w:highlight w:val="none"/>
        </w:rPr>
        <w:br w:type="page"/>
      </w:r>
    </w:p>
    <w:p>
      <w:pPr>
        <w:pStyle w:val="2"/>
        <w:spacing w:before="0" w:after="0"/>
        <w:rPr>
          <w:rFonts w:ascii="宋体" w:hAnsi="宋体" w:eastAsia="宋体" w:cs="宋体"/>
          <w:color w:val="auto"/>
          <w:kern w:val="2"/>
          <w:sz w:val="28"/>
          <w:szCs w:val="28"/>
          <w:highlight w:val="none"/>
        </w:rPr>
      </w:pPr>
      <w:bookmarkStart w:id="151" w:name="_Toc25509"/>
      <w:bookmarkStart w:id="152" w:name="_Toc6092"/>
      <w:bookmarkStart w:id="153" w:name="_Toc23863"/>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七</w:t>
      </w:r>
      <w:r>
        <w:rPr>
          <w:rFonts w:hint="eastAsia" w:ascii="宋体" w:hAnsi="宋体" w:eastAsia="宋体" w:cs="宋体"/>
          <w:color w:val="auto"/>
          <w:kern w:val="2"/>
          <w:sz w:val="28"/>
          <w:szCs w:val="28"/>
          <w:highlight w:val="none"/>
        </w:rPr>
        <w:t>章招标单位、招标代理机构对本招标文件的确认</w:t>
      </w:r>
      <w:bookmarkEnd w:id="151"/>
      <w:bookmarkEnd w:id="152"/>
      <w:bookmarkEnd w:id="153"/>
    </w:p>
    <w:tbl>
      <w:tblPr>
        <w:tblStyle w:val="4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default"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lang w:eastAsia="zh-CN"/>
              </w:rPr>
              <w:t>安徽全椒马塘湖建筑石料用灰岩矿年产900万吨骨料加工(一期）EPC项目</w:t>
            </w:r>
            <w:r>
              <w:rPr>
                <w:rFonts w:hint="eastAsia" w:ascii="宋体" w:hAnsi="宋体" w:cs="宋体"/>
                <w:color w:val="auto"/>
                <w:sz w:val="28"/>
                <w:szCs w:val="28"/>
                <w:highlight w:val="none"/>
                <w:u w:val="single"/>
              </w:rPr>
              <w:t>结算复审服务招标</w:t>
            </w:r>
            <w:r>
              <w:rPr>
                <w:rFonts w:hint="eastAsia" w:ascii="宋体" w:hAnsi="宋体" w:cs="宋体"/>
                <w:color w:val="auto"/>
                <w:sz w:val="28"/>
                <w:szCs w:val="28"/>
                <w:highlight w:val="none"/>
              </w:rPr>
              <w:t>的招标文件进行确认。</w:t>
            </w:r>
          </w:p>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pPr>
              <w:keepNext w:val="0"/>
              <w:keepLines w:val="0"/>
              <w:suppressLineNumbers w:val="0"/>
              <w:spacing w:before="0" w:beforeAutospacing="0" w:after="0" w:afterAutospacing="0" w:line="480" w:lineRule="auto"/>
              <w:ind w:left="0" w:right="0" w:firstLine="280" w:firstLineChars="100"/>
              <w:rPr>
                <w:rFonts w:hint="eastAsia" w:ascii="宋体" w:hAnsi="宋体" w:eastAsia="宋体" w:cs="宋体"/>
                <w:color w:val="auto"/>
                <w:sz w:val="30"/>
                <w:szCs w:val="30"/>
                <w:highlight w:val="none"/>
                <w:lang w:eastAsia="zh-CN"/>
              </w:rPr>
            </w:pPr>
            <w:r>
              <w:rPr>
                <w:rFonts w:hint="eastAsia" w:ascii="宋体" w:hAnsi="宋体" w:cs="宋体"/>
                <w:color w:val="auto"/>
                <w:sz w:val="28"/>
                <w:szCs w:val="28"/>
                <w:highlight w:val="none"/>
              </w:rPr>
              <w:t xml:space="preserve">招标人： 滁州市兴滁矿业投资集团有限公司  </w:t>
            </w:r>
          </w:p>
          <w:p>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联系人：陈倩倩</w:t>
            </w:r>
            <w:r>
              <w:rPr>
                <w:rFonts w:hint="eastAsia" w:ascii="宋体" w:hAnsi="宋体" w:cs="宋体"/>
                <w:color w:val="auto"/>
                <w:sz w:val="28"/>
                <w:szCs w:val="28"/>
                <w:highlight w:val="none"/>
                <w:lang w:val="en-US" w:eastAsia="zh-CN"/>
              </w:rPr>
              <w:t xml:space="preserve"> </w:t>
            </w:r>
          </w:p>
          <w:p>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b/>
                <w:bCs/>
                <w:color w:val="auto"/>
                <w:sz w:val="28"/>
                <w:szCs w:val="28"/>
                <w:highlight w:val="none"/>
                <w:lang w:eastAsia="zh-CN"/>
              </w:rPr>
            </w:pPr>
            <w:r>
              <w:rPr>
                <w:rFonts w:hint="eastAsia" w:ascii="宋体" w:hAnsi="宋体" w:cs="宋体"/>
                <w:color w:val="auto"/>
                <w:sz w:val="28"/>
                <w:szCs w:val="28"/>
                <w:highlight w:val="none"/>
              </w:rPr>
              <w:t>联系电话：18726618862</w:t>
            </w:r>
            <w:r>
              <w:rPr>
                <w:rFonts w:hint="eastAsia" w:ascii="宋体" w:hAnsi="宋体" w:cs="宋体"/>
                <w:color w:val="auto"/>
                <w:sz w:val="28"/>
                <w:szCs w:val="28"/>
                <w:highlight w:val="none"/>
                <w:lang w:val="en-US" w:eastAsia="zh-CN"/>
              </w:rPr>
              <w:t xml:space="preserve"> </w:t>
            </w:r>
          </w:p>
          <w:p>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pPr>
              <w:keepNext w:val="0"/>
              <w:keepLines w:val="0"/>
              <w:suppressLineNumbers w:val="0"/>
              <w:spacing w:before="0" w:beforeAutospacing="0" w:after="0" w:afterAutospacing="0"/>
              <w:ind w:left="0" w:right="0" w:firstLine="5320" w:firstLineChars="19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 xml:space="preserve">           20</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p>
          <w:p>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曹思敏</w:t>
            </w:r>
          </w:p>
          <w:p>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18712012204</w:t>
            </w:r>
          </w:p>
          <w:p>
            <w:pPr>
              <w:keepNext w:val="0"/>
              <w:keepLines w:val="0"/>
              <w:suppressLineNumbers w:val="0"/>
              <w:spacing w:before="0" w:beforeAutospacing="0" w:after="0" w:afterAutospacing="0"/>
              <w:ind w:left="0" w:right="0"/>
              <w:rPr>
                <w:rFonts w:hint="default" w:ascii="宋体" w:hAnsi="宋体" w:cs="宋体"/>
                <w:color w:val="auto"/>
                <w:sz w:val="28"/>
                <w:szCs w:val="28"/>
                <w:highlight w:val="none"/>
              </w:rPr>
            </w:pPr>
          </w:p>
          <w:p>
            <w:pPr>
              <w:keepNext w:val="0"/>
              <w:keepLines w:val="0"/>
              <w:suppressLineNumbers w:val="0"/>
              <w:spacing w:before="0" w:beforeAutospacing="0" w:after="0" w:afterAutospacing="0"/>
              <w:ind w:left="0" w:right="0" w:firstLine="5320" w:firstLineChars="19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pPr>
              <w:keepNext w:val="0"/>
              <w:keepLines w:val="0"/>
              <w:suppressLineNumbers w:val="0"/>
              <w:spacing w:before="0" w:beforeAutospacing="0" w:after="0" w:afterAutospacing="0"/>
              <w:ind w:left="0" w:right="0" w:firstLine="4900" w:firstLineChars="175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20</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20日</w:t>
            </w:r>
          </w:p>
        </w:tc>
      </w:tr>
    </w:tbl>
    <w:p>
      <w:pPr>
        <w:pStyle w:val="16"/>
        <w:jc w:val="left"/>
        <w:rPr>
          <w:rFonts w:ascii="仿宋" w:hAnsi="仿宋" w:eastAsia="仿宋" w:cs="仿宋"/>
          <w:color w:val="auto"/>
          <w:kern w:val="0"/>
          <w:sz w:val="24"/>
          <w:szCs w:val="24"/>
          <w:highlight w:val="none"/>
        </w:rPr>
      </w:pPr>
    </w:p>
    <w:sectPr>
      <w:footerReference r:id="rId11"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7A"/>
    <w:family w:val="modern"/>
    <w:pitch w:val="default"/>
    <w:sig w:usb0="00000283" w:usb1="288F0000" w:usb2="00000006" w:usb3="00000000" w:csb0="00040001" w:csb1="00000000"/>
  </w:font>
  <w:font w:name="汉仪大黑简">
    <w:altName w:val="黑体"/>
    <w:panose1 w:val="020106000000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49"/>
      </w:rPr>
    </w:pPr>
  </w:p>
  <w:p>
    <w:pPr>
      <w:pStyle w:val="28"/>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49"/>
      </w:rPr>
    </w:pPr>
  </w:p>
  <w:p>
    <w:pPr>
      <w:pStyle w:val="28"/>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 w:val="clear" w:pos="8306"/>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31</w:t>
                    </w:r>
                    <w:r>
                      <w:fldChar w:fldCharType="end"/>
                    </w:r>
                  </w:p>
                </w:txbxContent>
              </v:textbox>
            </v:shape>
          </w:pict>
        </mc:Fallback>
      </mc:AlternateContent>
    </w:r>
  </w:p>
  <w:p>
    <w:pPr>
      <w:pStyle w:val="28"/>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99AB"/>
    <w:multiLevelType w:val="singleLevel"/>
    <w:tmpl w:val="CF2F99AB"/>
    <w:lvl w:ilvl="0" w:tentative="0">
      <w:start w:val="2"/>
      <w:numFmt w:val="chineseCounting"/>
      <w:suff w:val="space"/>
      <w:lvlText w:val="第%1部分"/>
      <w:lvlJc w:val="left"/>
      <w:rPr>
        <w:rFonts w:hint="eastAsia"/>
      </w:rPr>
    </w:lvl>
  </w:abstractNum>
  <w:abstractNum w:abstractNumId="1">
    <w:nsid w:val="63AFFB15"/>
    <w:multiLevelType w:val="singleLevel"/>
    <w:tmpl w:val="63AFFB1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s>
  <w:rsids>
    <w:rsidRoot w:val="00277DEA"/>
    <w:rsid w:val="000407AC"/>
    <w:rsid w:val="00040A78"/>
    <w:rsid w:val="00057816"/>
    <w:rsid w:val="000B6281"/>
    <w:rsid w:val="000E13AD"/>
    <w:rsid w:val="00131FFF"/>
    <w:rsid w:val="00135312"/>
    <w:rsid w:val="00144E2C"/>
    <w:rsid w:val="001643AB"/>
    <w:rsid w:val="0016450D"/>
    <w:rsid w:val="00182F47"/>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54075"/>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B1E23"/>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C2619"/>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842E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675739"/>
    <w:rsid w:val="01993D60"/>
    <w:rsid w:val="01AC75F0"/>
    <w:rsid w:val="01B12E58"/>
    <w:rsid w:val="01CC1A40"/>
    <w:rsid w:val="01D152A8"/>
    <w:rsid w:val="01E943A0"/>
    <w:rsid w:val="0200793B"/>
    <w:rsid w:val="02451D44"/>
    <w:rsid w:val="024737BC"/>
    <w:rsid w:val="02494B2C"/>
    <w:rsid w:val="024B215D"/>
    <w:rsid w:val="028364F8"/>
    <w:rsid w:val="0284231A"/>
    <w:rsid w:val="02860CE1"/>
    <w:rsid w:val="02966A1D"/>
    <w:rsid w:val="02A06DF6"/>
    <w:rsid w:val="02AB5AF9"/>
    <w:rsid w:val="02F56D74"/>
    <w:rsid w:val="030B47EA"/>
    <w:rsid w:val="0328714A"/>
    <w:rsid w:val="03311B51"/>
    <w:rsid w:val="034073BB"/>
    <w:rsid w:val="035607B0"/>
    <w:rsid w:val="035A0B08"/>
    <w:rsid w:val="03DD3435"/>
    <w:rsid w:val="042D2167"/>
    <w:rsid w:val="04880F3B"/>
    <w:rsid w:val="04921CCE"/>
    <w:rsid w:val="04BB1052"/>
    <w:rsid w:val="04CF29CE"/>
    <w:rsid w:val="04D53301"/>
    <w:rsid w:val="051C683A"/>
    <w:rsid w:val="052F2A11"/>
    <w:rsid w:val="056F1060"/>
    <w:rsid w:val="05943D22"/>
    <w:rsid w:val="059B00A7"/>
    <w:rsid w:val="059F141A"/>
    <w:rsid w:val="05B44CC5"/>
    <w:rsid w:val="05B747B5"/>
    <w:rsid w:val="05C3315A"/>
    <w:rsid w:val="05E57574"/>
    <w:rsid w:val="06176B26"/>
    <w:rsid w:val="06336531"/>
    <w:rsid w:val="06421DF6"/>
    <w:rsid w:val="06426774"/>
    <w:rsid w:val="065021C6"/>
    <w:rsid w:val="068C79F0"/>
    <w:rsid w:val="06950CBD"/>
    <w:rsid w:val="069D39AB"/>
    <w:rsid w:val="06AB256C"/>
    <w:rsid w:val="07023E8A"/>
    <w:rsid w:val="07025289"/>
    <w:rsid w:val="07041C7C"/>
    <w:rsid w:val="07391925"/>
    <w:rsid w:val="073F34F8"/>
    <w:rsid w:val="074A1D85"/>
    <w:rsid w:val="077706A0"/>
    <w:rsid w:val="0781151E"/>
    <w:rsid w:val="07A959F9"/>
    <w:rsid w:val="07B90CB8"/>
    <w:rsid w:val="07CB0304"/>
    <w:rsid w:val="07CB0EB6"/>
    <w:rsid w:val="08017F69"/>
    <w:rsid w:val="08091979"/>
    <w:rsid w:val="08564BF9"/>
    <w:rsid w:val="089F49DA"/>
    <w:rsid w:val="08D613F6"/>
    <w:rsid w:val="08EE1782"/>
    <w:rsid w:val="094625ED"/>
    <w:rsid w:val="098C0FAE"/>
    <w:rsid w:val="09A34B6E"/>
    <w:rsid w:val="09AF2373"/>
    <w:rsid w:val="09DE0E66"/>
    <w:rsid w:val="0A1370D9"/>
    <w:rsid w:val="0A426E3F"/>
    <w:rsid w:val="0A783487"/>
    <w:rsid w:val="0A7A70EE"/>
    <w:rsid w:val="0A821835"/>
    <w:rsid w:val="0A8A693C"/>
    <w:rsid w:val="0A920A74"/>
    <w:rsid w:val="0B0F299D"/>
    <w:rsid w:val="0B3568A8"/>
    <w:rsid w:val="0B3B4932"/>
    <w:rsid w:val="0B594C9F"/>
    <w:rsid w:val="0B5C7C37"/>
    <w:rsid w:val="0B8A5AE2"/>
    <w:rsid w:val="0BD70F17"/>
    <w:rsid w:val="0BF202F5"/>
    <w:rsid w:val="0BF64289"/>
    <w:rsid w:val="0C0134F9"/>
    <w:rsid w:val="0C0D4C1D"/>
    <w:rsid w:val="0C4D19CF"/>
    <w:rsid w:val="0C5E2909"/>
    <w:rsid w:val="0C632FA1"/>
    <w:rsid w:val="0C767178"/>
    <w:rsid w:val="0C8D626F"/>
    <w:rsid w:val="0C99751F"/>
    <w:rsid w:val="0CC31C91"/>
    <w:rsid w:val="0CDE4AF1"/>
    <w:rsid w:val="0D1A5290"/>
    <w:rsid w:val="0D2F7233"/>
    <w:rsid w:val="0D31264B"/>
    <w:rsid w:val="0D3A01A5"/>
    <w:rsid w:val="0D503DE8"/>
    <w:rsid w:val="0D536036"/>
    <w:rsid w:val="0D554FDF"/>
    <w:rsid w:val="0D5E4FBA"/>
    <w:rsid w:val="0DB0649C"/>
    <w:rsid w:val="0DD07FAF"/>
    <w:rsid w:val="0E0F340D"/>
    <w:rsid w:val="0E4B23A3"/>
    <w:rsid w:val="0E625C06"/>
    <w:rsid w:val="0E631DF4"/>
    <w:rsid w:val="0E6D2AA6"/>
    <w:rsid w:val="0E832759"/>
    <w:rsid w:val="0E9B4C74"/>
    <w:rsid w:val="0EC042E0"/>
    <w:rsid w:val="0EFB63D6"/>
    <w:rsid w:val="0F094152"/>
    <w:rsid w:val="0F260D83"/>
    <w:rsid w:val="0F3872E6"/>
    <w:rsid w:val="0F3D21CF"/>
    <w:rsid w:val="0F74337A"/>
    <w:rsid w:val="0F784FB5"/>
    <w:rsid w:val="101C1DE4"/>
    <w:rsid w:val="106F1985"/>
    <w:rsid w:val="107B2FAF"/>
    <w:rsid w:val="10846B65"/>
    <w:rsid w:val="10F92125"/>
    <w:rsid w:val="10FE14EA"/>
    <w:rsid w:val="11180201"/>
    <w:rsid w:val="111C1443"/>
    <w:rsid w:val="11366ED6"/>
    <w:rsid w:val="11F12584"/>
    <w:rsid w:val="11F272A1"/>
    <w:rsid w:val="11FC0C31"/>
    <w:rsid w:val="12021072"/>
    <w:rsid w:val="123C49C0"/>
    <w:rsid w:val="12410EFF"/>
    <w:rsid w:val="12543983"/>
    <w:rsid w:val="126006AE"/>
    <w:rsid w:val="12A948F2"/>
    <w:rsid w:val="12B665CC"/>
    <w:rsid w:val="12C33AC5"/>
    <w:rsid w:val="12CA1FCB"/>
    <w:rsid w:val="12F86B39"/>
    <w:rsid w:val="13225964"/>
    <w:rsid w:val="137A735A"/>
    <w:rsid w:val="137D03EF"/>
    <w:rsid w:val="13961EAE"/>
    <w:rsid w:val="13B24508"/>
    <w:rsid w:val="13B53817"/>
    <w:rsid w:val="13B862C8"/>
    <w:rsid w:val="13BD1EF1"/>
    <w:rsid w:val="13D65BBB"/>
    <w:rsid w:val="140A3F0D"/>
    <w:rsid w:val="141554C8"/>
    <w:rsid w:val="14213E6D"/>
    <w:rsid w:val="14333BA0"/>
    <w:rsid w:val="143A5F3C"/>
    <w:rsid w:val="14620C2E"/>
    <w:rsid w:val="14922675"/>
    <w:rsid w:val="14A64A45"/>
    <w:rsid w:val="14B95E54"/>
    <w:rsid w:val="14CB202B"/>
    <w:rsid w:val="151C63E2"/>
    <w:rsid w:val="151E0989"/>
    <w:rsid w:val="15280D0B"/>
    <w:rsid w:val="15344AB2"/>
    <w:rsid w:val="154E7339"/>
    <w:rsid w:val="1578367C"/>
    <w:rsid w:val="15862C54"/>
    <w:rsid w:val="15B871E8"/>
    <w:rsid w:val="15D60886"/>
    <w:rsid w:val="15EF66EB"/>
    <w:rsid w:val="16495EC0"/>
    <w:rsid w:val="165752E8"/>
    <w:rsid w:val="16592CBA"/>
    <w:rsid w:val="16795E94"/>
    <w:rsid w:val="168C1346"/>
    <w:rsid w:val="16A220B2"/>
    <w:rsid w:val="16AB249D"/>
    <w:rsid w:val="16B20DAC"/>
    <w:rsid w:val="16B85EAA"/>
    <w:rsid w:val="16F07B27"/>
    <w:rsid w:val="179761F4"/>
    <w:rsid w:val="18124D81"/>
    <w:rsid w:val="182226C4"/>
    <w:rsid w:val="182E6B59"/>
    <w:rsid w:val="1830556D"/>
    <w:rsid w:val="18791F1E"/>
    <w:rsid w:val="18A84692"/>
    <w:rsid w:val="18D82529"/>
    <w:rsid w:val="191427A2"/>
    <w:rsid w:val="198D5B01"/>
    <w:rsid w:val="19D85993"/>
    <w:rsid w:val="1A4D2E6A"/>
    <w:rsid w:val="1A7408B4"/>
    <w:rsid w:val="1A791009"/>
    <w:rsid w:val="1A7A2554"/>
    <w:rsid w:val="1A7F4297"/>
    <w:rsid w:val="1A815666"/>
    <w:rsid w:val="1AA03612"/>
    <w:rsid w:val="1AB5410B"/>
    <w:rsid w:val="1B0F337F"/>
    <w:rsid w:val="1B2E3ECD"/>
    <w:rsid w:val="1B334333"/>
    <w:rsid w:val="1B5A7C65"/>
    <w:rsid w:val="1B5C44DC"/>
    <w:rsid w:val="1B5E2E01"/>
    <w:rsid w:val="1B6338B0"/>
    <w:rsid w:val="1B8B1170"/>
    <w:rsid w:val="1BA355D9"/>
    <w:rsid w:val="1BEC5215"/>
    <w:rsid w:val="1C003BDC"/>
    <w:rsid w:val="1C136BB6"/>
    <w:rsid w:val="1C4B5EA8"/>
    <w:rsid w:val="1C5A32AE"/>
    <w:rsid w:val="1C603628"/>
    <w:rsid w:val="1CA4388D"/>
    <w:rsid w:val="1CB57848"/>
    <w:rsid w:val="1CC23B65"/>
    <w:rsid w:val="1CD5344A"/>
    <w:rsid w:val="1D157916"/>
    <w:rsid w:val="1D28626C"/>
    <w:rsid w:val="1D4E7880"/>
    <w:rsid w:val="1D547061"/>
    <w:rsid w:val="1D8B08F2"/>
    <w:rsid w:val="1DB47B00"/>
    <w:rsid w:val="1DCF66E8"/>
    <w:rsid w:val="1DD14CA1"/>
    <w:rsid w:val="1DEB0A3D"/>
    <w:rsid w:val="1E1554ED"/>
    <w:rsid w:val="1E2D3E8E"/>
    <w:rsid w:val="1E605592"/>
    <w:rsid w:val="1EA062D6"/>
    <w:rsid w:val="1EA50719"/>
    <w:rsid w:val="1F1D7927"/>
    <w:rsid w:val="1F4343CD"/>
    <w:rsid w:val="1FC72549"/>
    <w:rsid w:val="2043516B"/>
    <w:rsid w:val="206778EF"/>
    <w:rsid w:val="20775E12"/>
    <w:rsid w:val="207B6E01"/>
    <w:rsid w:val="20A803FD"/>
    <w:rsid w:val="20C152CD"/>
    <w:rsid w:val="20E671C3"/>
    <w:rsid w:val="20F63F8C"/>
    <w:rsid w:val="213A656E"/>
    <w:rsid w:val="21425423"/>
    <w:rsid w:val="21721D27"/>
    <w:rsid w:val="219D0B32"/>
    <w:rsid w:val="21A8172A"/>
    <w:rsid w:val="21CD1190"/>
    <w:rsid w:val="21D56910"/>
    <w:rsid w:val="221255C2"/>
    <w:rsid w:val="224D0523"/>
    <w:rsid w:val="22806203"/>
    <w:rsid w:val="229654D3"/>
    <w:rsid w:val="231F3C6E"/>
    <w:rsid w:val="232A43C0"/>
    <w:rsid w:val="233E1D76"/>
    <w:rsid w:val="237B0CC8"/>
    <w:rsid w:val="239006C7"/>
    <w:rsid w:val="23957430"/>
    <w:rsid w:val="23B333EF"/>
    <w:rsid w:val="23B802A0"/>
    <w:rsid w:val="23BF2D5B"/>
    <w:rsid w:val="23C87E61"/>
    <w:rsid w:val="23F15F55"/>
    <w:rsid w:val="23FB2050"/>
    <w:rsid w:val="240759C8"/>
    <w:rsid w:val="240C321D"/>
    <w:rsid w:val="24305A06"/>
    <w:rsid w:val="24343749"/>
    <w:rsid w:val="243D2848"/>
    <w:rsid w:val="2443398C"/>
    <w:rsid w:val="245E2574"/>
    <w:rsid w:val="248851A7"/>
    <w:rsid w:val="249E5066"/>
    <w:rsid w:val="24CE2D2C"/>
    <w:rsid w:val="24D66607"/>
    <w:rsid w:val="25236015"/>
    <w:rsid w:val="257B7155"/>
    <w:rsid w:val="25AD7A6E"/>
    <w:rsid w:val="25D05377"/>
    <w:rsid w:val="25D12A1F"/>
    <w:rsid w:val="25F4489C"/>
    <w:rsid w:val="261D1282"/>
    <w:rsid w:val="26252182"/>
    <w:rsid w:val="265E174C"/>
    <w:rsid w:val="265F1BC5"/>
    <w:rsid w:val="2686038F"/>
    <w:rsid w:val="268F110A"/>
    <w:rsid w:val="26B66697"/>
    <w:rsid w:val="26CF7E49"/>
    <w:rsid w:val="26D6442E"/>
    <w:rsid w:val="271B474C"/>
    <w:rsid w:val="27270303"/>
    <w:rsid w:val="27363334"/>
    <w:rsid w:val="274912B9"/>
    <w:rsid w:val="27545EB0"/>
    <w:rsid w:val="279A1B15"/>
    <w:rsid w:val="27E86D24"/>
    <w:rsid w:val="28164313"/>
    <w:rsid w:val="285C6DCA"/>
    <w:rsid w:val="286B525F"/>
    <w:rsid w:val="28C72B2B"/>
    <w:rsid w:val="28D9041B"/>
    <w:rsid w:val="28D948BF"/>
    <w:rsid w:val="28E444C1"/>
    <w:rsid w:val="28F039B6"/>
    <w:rsid w:val="293B07C3"/>
    <w:rsid w:val="294F123E"/>
    <w:rsid w:val="296B6CBA"/>
    <w:rsid w:val="296F5223"/>
    <w:rsid w:val="29A053DC"/>
    <w:rsid w:val="29BA649E"/>
    <w:rsid w:val="2A081AFD"/>
    <w:rsid w:val="2A241E9E"/>
    <w:rsid w:val="2AB033FD"/>
    <w:rsid w:val="2B0B00AD"/>
    <w:rsid w:val="2B163BA8"/>
    <w:rsid w:val="2B420197"/>
    <w:rsid w:val="2BB331A5"/>
    <w:rsid w:val="2C13211E"/>
    <w:rsid w:val="2C2C11A9"/>
    <w:rsid w:val="2C567CF3"/>
    <w:rsid w:val="2C5936C8"/>
    <w:rsid w:val="2C874AAF"/>
    <w:rsid w:val="2C8E66A6"/>
    <w:rsid w:val="2C9F7BCD"/>
    <w:rsid w:val="2CAE4A0B"/>
    <w:rsid w:val="2CAF5168"/>
    <w:rsid w:val="2CB371D5"/>
    <w:rsid w:val="2CBB47F9"/>
    <w:rsid w:val="2CD755B9"/>
    <w:rsid w:val="2D111FD8"/>
    <w:rsid w:val="2D1265F1"/>
    <w:rsid w:val="2D275EB3"/>
    <w:rsid w:val="2D2D51D9"/>
    <w:rsid w:val="2D4A1910"/>
    <w:rsid w:val="2D4D13D7"/>
    <w:rsid w:val="2DA03BFD"/>
    <w:rsid w:val="2E0F6425"/>
    <w:rsid w:val="2E5D389C"/>
    <w:rsid w:val="2E6A2F43"/>
    <w:rsid w:val="2E6B0765"/>
    <w:rsid w:val="2E9077CD"/>
    <w:rsid w:val="2E976DAE"/>
    <w:rsid w:val="2E9B6172"/>
    <w:rsid w:val="2EFD1D1D"/>
    <w:rsid w:val="2F067A90"/>
    <w:rsid w:val="2F122751"/>
    <w:rsid w:val="2F1E127D"/>
    <w:rsid w:val="2F266384"/>
    <w:rsid w:val="2F3A186E"/>
    <w:rsid w:val="2F3C7955"/>
    <w:rsid w:val="2F3E7229"/>
    <w:rsid w:val="2F424DBE"/>
    <w:rsid w:val="2F522CD5"/>
    <w:rsid w:val="2F5702EB"/>
    <w:rsid w:val="2FA14D54"/>
    <w:rsid w:val="2FA662DF"/>
    <w:rsid w:val="2FC711B9"/>
    <w:rsid w:val="2FD92302"/>
    <w:rsid w:val="2FE22C70"/>
    <w:rsid w:val="2FEF6776"/>
    <w:rsid w:val="303625F7"/>
    <w:rsid w:val="304E7940"/>
    <w:rsid w:val="306627E3"/>
    <w:rsid w:val="30847806"/>
    <w:rsid w:val="30B73737"/>
    <w:rsid w:val="311566B0"/>
    <w:rsid w:val="31413001"/>
    <w:rsid w:val="32081D71"/>
    <w:rsid w:val="32490F22"/>
    <w:rsid w:val="326A2A2B"/>
    <w:rsid w:val="32774590"/>
    <w:rsid w:val="32852601"/>
    <w:rsid w:val="329F4483"/>
    <w:rsid w:val="32C91500"/>
    <w:rsid w:val="332433C5"/>
    <w:rsid w:val="3344327C"/>
    <w:rsid w:val="3355548A"/>
    <w:rsid w:val="33557238"/>
    <w:rsid w:val="33664FA1"/>
    <w:rsid w:val="3369683F"/>
    <w:rsid w:val="3376156C"/>
    <w:rsid w:val="337C2A16"/>
    <w:rsid w:val="338B51B6"/>
    <w:rsid w:val="339C188C"/>
    <w:rsid w:val="33A361F5"/>
    <w:rsid w:val="33BD26F8"/>
    <w:rsid w:val="33C723F8"/>
    <w:rsid w:val="340E5D78"/>
    <w:rsid w:val="3411315F"/>
    <w:rsid w:val="348E387D"/>
    <w:rsid w:val="34AC10D9"/>
    <w:rsid w:val="34C870C7"/>
    <w:rsid w:val="34FD7B87"/>
    <w:rsid w:val="35170C48"/>
    <w:rsid w:val="35485068"/>
    <w:rsid w:val="355754E9"/>
    <w:rsid w:val="35624F4C"/>
    <w:rsid w:val="359B0230"/>
    <w:rsid w:val="35A46FAE"/>
    <w:rsid w:val="35B53FBD"/>
    <w:rsid w:val="35E6686D"/>
    <w:rsid w:val="3628257B"/>
    <w:rsid w:val="36714388"/>
    <w:rsid w:val="36753A83"/>
    <w:rsid w:val="36EA5EE9"/>
    <w:rsid w:val="36F01751"/>
    <w:rsid w:val="371F6D9C"/>
    <w:rsid w:val="37480C2E"/>
    <w:rsid w:val="3750497A"/>
    <w:rsid w:val="375B7373"/>
    <w:rsid w:val="37D90437"/>
    <w:rsid w:val="37E1553E"/>
    <w:rsid w:val="380A4A95"/>
    <w:rsid w:val="38221F30"/>
    <w:rsid w:val="38401F3E"/>
    <w:rsid w:val="38483D6F"/>
    <w:rsid w:val="38666BBA"/>
    <w:rsid w:val="38675A43"/>
    <w:rsid w:val="3923202B"/>
    <w:rsid w:val="39445D84"/>
    <w:rsid w:val="397A0421"/>
    <w:rsid w:val="398960D8"/>
    <w:rsid w:val="39BC6D10"/>
    <w:rsid w:val="39F2247F"/>
    <w:rsid w:val="3A03179B"/>
    <w:rsid w:val="3A066436"/>
    <w:rsid w:val="3A190FBF"/>
    <w:rsid w:val="3A2516BB"/>
    <w:rsid w:val="3A267238"/>
    <w:rsid w:val="3A374A52"/>
    <w:rsid w:val="3A49316C"/>
    <w:rsid w:val="3A824DB6"/>
    <w:rsid w:val="3AC151B3"/>
    <w:rsid w:val="3B086187"/>
    <w:rsid w:val="3B2A71FC"/>
    <w:rsid w:val="3B3C635C"/>
    <w:rsid w:val="3B471B5C"/>
    <w:rsid w:val="3B4A51A8"/>
    <w:rsid w:val="3B6E533A"/>
    <w:rsid w:val="3B8E778B"/>
    <w:rsid w:val="3B9308FD"/>
    <w:rsid w:val="3B9603ED"/>
    <w:rsid w:val="3B993AF3"/>
    <w:rsid w:val="3BAC19BF"/>
    <w:rsid w:val="3BAE1BDB"/>
    <w:rsid w:val="3BB16FD5"/>
    <w:rsid w:val="3BCD1B9B"/>
    <w:rsid w:val="3BCE402B"/>
    <w:rsid w:val="3C0B2B89"/>
    <w:rsid w:val="3C1C481B"/>
    <w:rsid w:val="3C666012"/>
    <w:rsid w:val="3C990195"/>
    <w:rsid w:val="3CCB04A6"/>
    <w:rsid w:val="3CD37326"/>
    <w:rsid w:val="3D127F47"/>
    <w:rsid w:val="3D421874"/>
    <w:rsid w:val="3D467B6A"/>
    <w:rsid w:val="3D4D2D2E"/>
    <w:rsid w:val="3D4F308A"/>
    <w:rsid w:val="3D675F7C"/>
    <w:rsid w:val="3DB84470"/>
    <w:rsid w:val="3DBA4867"/>
    <w:rsid w:val="3DCB19FA"/>
    <w:rsid w:val="3DD408C3"/>
    <w:rsid w:val="3DD53C41"/>
    <w:rsid w:val="3DEE4511"/>
    <w:rsid w:val="3E177608"/>
    <w:rsid w:val="3E3B0878"/>
    <w:rsid w:val="3E4668D1"/>
    <w:rsid w:val="3EAB41B0"/>
    <w:rsid w:val="3EB968CD"/>
    <w:rsid w:val="3EED354E"/>
    <w:rsid w:val="3F173AB4"/>
    <w:rsid w:val="3F1B1C27"/>
    <w:rsid w:val="3F4E74DA"/>
    <w:rsid w:val="3F7A539C"/>
    <w:rsid w:val="3F966B9F"/>
    <w:rsid w:val="3F9B4224"/>
    <w:rsid w:val="3FA30AEA"/>
    <w:rsid w:val="3FB5783A"/>
    <w:rsid w:val="3FBD7842"/>
    <w:rsid w:val="4060397D"/>
    <w:rsid w:val="408338D7"/>
    <w:rsid w:val="40842F0A"/>
    <w:rsid w:val="408B4299"/>
    <w:rsid w:val="40AB66E9"/>
    <w:rsid w:val="40C160DA"/>
    <w:rsid w:val="40D11000"/>
    <w:rsid w:val="414A3DAF"/>
    <w:rsid w:val="41510996"/>
    <w:rsid w:val="41CC6917"/>
    <w:rsid w:val="41DA7286"/>
    <w:rsid w:val="41E96622"/>
    <w:rsid w:val="42147451"/>
    <w:rsid w:val="42383FAC"/>
    <w:rsid w:val="4278075F"/>
    <w:rsid w:val="42D367F7"/>
    <w:rsid w:val="42EA174A"/>
    <w:rsid w:val="431B25DD"/>
    <w:rsid w:val="43544E16"/>
    <w:rsid w:val="43881670"/>
    <w:rsid w:val="438A6CA4"/>
    <w:rsid w:val="439C638A"/>
    <w:rsid w:val="43A22025"/>
    <w:rsid w:val="43AB65DF"/>
    <w:rsid w:val="43E82525"/>
    <w:rsid w:val="4431123E"/>
    <w:rsid w:val="44580936"/>
    <w:rsid w:val="446023D9"/>
    <w:rsid w:val="44646797"/>
    <w:rsid w:val="447D039C"/>
    <w:rsid w:val="44894F93"/>
    <w:rsid w:val="44A8055A"/>
    <w:rsid w:val="451F3E82"/>
    <w:rsid w:val="4530540F"/>
    <w:rsid w:val="45352A25"/>
    <w:rsid w:val="45465E6E"/>
    <w:rsid w:val="454A2974"/>
    <w:rsid w:val="455C4456"/>
    <w:rsid w:val="456218C2"/>
    <w:rsid w:val="459B0086"/>
    <w:rsid w:val="45AF30FD"/>
    <w:rsid w:val="45B46563"/>
    <w:rsid w:val="45C73FC5"/>
    <w:rsid w:val="45C844EC"/>
    <w:rsid w:val="45DE4B6C"/>
    <w:rsid w:val="463A06F9"/>
    <w:rsid w:val="46482AF5"/>
    <w:rsid w:val="465B3014"/>
    <w:rsid w:val="466F2DE7"/>
    <w:rsid w:val="46916DC7"/>
    <w:rsid w:val="46D84867"/>
    <w:rsid w:val="471E7C15"/>
    <w:rsid w:val="472F5293"/>
    <w:rsid w:val="4746716B"/>
    <w:rsid w:val="475223EB"/>
    <w:rsid w:val="479A0405"/>
    <w:rsid w:val="47C102C8"/>
    <w:rsid w:val="47DB0FE0"/>
    <w:rsid w:val="48084421"/>
    <w:rsid w:val="483713B0"/>
    <w:rsid w:val="483A0A6A"/>
    <w:rsid w:val="48594C7C"/>
    <w:rsid w:val="485A4022"/>
    <w:rsid w:val="486C49B0"/>
    <w:rsid w:val="488241D3"/>
    <w:rsid w:val="48965ED0"/>
    <w:rsid w:val="48986B3F"/>
    <w:rsid w:val="48A759E8"/>
    <w:rsid w:val="48B819A3"/>
    <w:rsid w:val="48E74810"/>
    <w:rsid w:val="490824D3"/>
    <w:rsid w:val="49513989"/>
    <w:rsid w:val="49553696"/>
    <w:rsid w:val="495851E9"/>
    <w:rsid w:val="49B66251"/>
    <w:rsid w:val="49E8450A"/>
    <w:rsid w:val="4A0D21C2"/>
    <w:rsid w:val="4A104F60"/>
    <w:rsid w:val="4A204D3C"/>
    <w:rsid w:val="4A2C2648"/>
    <w:rsid w:val="4A3729E1"/>
    <w:rsid w:val="4AB22C06"/>
    <w:rsid w:val="4AC22FAD"/>
    <w:rsid w:val="4AC7233B"/>
    <w:rsid w:val="4AF55130"/>
    <w:rsid w:val="4B1E5923"/>
    <w:rsid w:val="4B490FD8"/>
    <w:rsid w:val="4B6D2BD3"/>
    <w:rsid w:val="4B9F76BF"/>
    <w:rsid w:val="4BAA4F08"/>
    <w:rsid w:val="4BAF1783"/>
    <w:rsid w:val="4BB24DCF"/>
    <w:rsid w:val="4BB93099"/>
    <w:rsid w:val="4BD444F6"/>
    <w:rsid w:val="4BEF4C0F"/>
    <w:rsid w:val="4C0373D9"/>
    <w:rsid w:val="4C0C0983"/>
    <w:rsid w:val="4C147838"/>
    <w:rsid w:val="4C2C2DD4"/>
    <w:rsid w:val="4C312198"/>
    <w:rsid w:val="4C5415B5"/>
    <w:rsid w:val="4C583BC9"/>
    <w:rsid w:val="4C7B3413"/>
    <w:rsid w:val="4C8D15D8"/>
    <w:rsid w:val="4C9E15DF"/>
    <w:rsid w:val="4CBD494A"/>
    <w:rsid w:val="4CD40000"/>
    <w:rsid w:val="4CD65604"/>
    <w:rsid w:val="4CD87112"/>
    <w:rsid w:val="4D151ABA"/>
    <w:rsid w:val="4D4203D5"/>
    <w:rsid w:val="4D785BA5"/>
    <w:rsid w:val="4D9B2BA2"/>
    <w:rsid w:val="4DDC7792"/>
    <w:rsid w:val="4E353A96"/>
    <w:rsid w:val="4E363CE9"/>
    <w:rsid w:val="4E532013"/>
    <w:rsid w:val="4E5C029C"/>
    <w:rsid w:val="4E994025"/>
    <w:rsid w:val="4ED35788"/>
    <w:rsid w:val="4ED92673"/>
    <w:rsid w:val="4F0174EB"/>
    <w:rsid w:val="4F0A0A7E"/>
    <w:rsid w:val="4F10089B"/>
    <w:rsid w:val="4F2C4E99"/>
    <w:rsid w:val="4F8A1859"/>
    <w:rsid w:val="4FC7696F"/>
    <w:rsid w:val="4FCB46B2"/>
    <w:rsid w:val="4FD23591"/>
    <w:rsid w:val="4FF65457"/>
    <w:rsid w:val="50245B70"/>
    <w:rsid w:val="502D24E4"/>
    <w:rsid w:val="50615016"/>
    <w:rsid w:val="50681F00"/>
    <w:rsid w:val="5087096D"/>
    <w:rsid w:val="50CC1AE3"/>
    <w:rsid w:val="50D37CC2"/>
    <w:rsid w:val="50D75B93"/>
    <w:rsid w:val="50F876EA"/>
    <w:rsid w:val="5119144D"/>
    <w:rsid w:val="51200A2D"/>
    <w:rsid w:val="51393D98"/>
    <w:rsid w:val="51510BE7"/>
    <w:rsid w:val="516B4DC3"/>
    <w:rsid w:val="51932FAD"/>
    <w:rsid w:val="51C92E73"/>
    <w:rsid w:val="51F4644B"/>
    <w:rsid w:val="5224454D"/>
    <w:rsid w:val="522B7EBA"/>
    <w:rsid w:val="52524C16"/>
    <w:rsid w:val="52A2363E"/>
    <w:rsid w:val="52C13A04"/>
    <w:rsid w:val="52CE5689"/>
    <w:rsid w:val="52E00CF6"/>
    <w:rsid w:val="52E15F9A"/>
    <w:rsid w:val="530D6D8F"/>
    <w:rsid w:val="53122999"/>
    <w:rsid w:val="531F6F64"/>
    <w:rsid w:val="53294814"/>
    <w:rsid w:val="53545FFA"/>
    <w:rsid w:val="539128D9"/>
    <w:rsid w:val="53D76345"/>
    <w:rsid w:val="544929FF"/>
    <w:rsid w:val="54727BA5"/>
    <w:rsid w:val="549534E0"/>
    <w:rsid w:val="54DC110F"/>
    <w:rsid w:val="54DE09E3"/>
    <w:rsid w:val="55144405"/>
    <w:rsid w:val="55237844"/>
    <w:rsid w:val="553E76D4"/>
    <w:rsid w:val="558A3D0F"/>
    <w:rsid w:val="55915A56"/>
    <w:rsid w:val="55A16B67"/>
    <w:rsid w:val="55AD03B6"/>
    <w:rsid w:val="55BB2AD2"/>
    <w:rsid w:val="56327239"/>
    <w:rsid w:val="56395B87"/>
    <w:rsid w:val="563B3C13"/>
    <w:rsid w:val="569E5C28"/>
    <w:rsid w:val="56DB78D0"/>
    <w:rsid w:val="56F5327C"/>
    <w:rsid w:val="56FB2B1E"/>
    <w:rsid w:val="571C5F2B"/>
    <w:rsid w:val="572823EA"/>
    <w:rsid w:val="57313D11"/>
    <w:rsid w:val="576C0528"/>
    <w:rsid w:val="576F3AEF"/>
    <w:rsid w:val="578D049F"/>
    <w:rsid w:val="578D69F6"/>
    <w:rsid w:val="57BE6431"/>
    <w:rsid w:val="57F416AF"/>
    <w:rsid w:val="58792B79"/>
    <w:rsid w:val="58AE60E2"/>
    <w:rsid w:val="59103D2C"/>
    <w:rsid w:val="5928537F"/>
    <w:rsid w:val="59390BF6"/>
    <w:rsid w:val="593C03CE"/>
    <w:rsid w:val="595474C6"/>
    <w:rsid w:val="599A4762"/>
    <w:rsid w:val="599A64DF"/>
    <w:rsid w:val="59E91D42"/>
    <w:rsid w:val="59F36CDF"/>
    <w:rsid w:val="5A0709DC"/>
    <w:rsid w:val="5A3B0686"/>
    <w:rsid w:val="5AA13F8B"/>
    <w:rsid w:val="5AA77FD9"/>
    <w:rsid w:val="5AE12FDB"/>
    <w:rsid w:val="5AFB6FFA"/>
    <w:rsid w:val="5B361E7C"/>
    <w:rsid w:val="5B4B66A7"/>
    <w:rsid w:val="5B554B3E"/>
    <w:rsid w:val="5B5877E2"/>
    <w:rsid w:val="5B5E287E"/>
    <w:rsid w:val="5BC85F49"/>
    <w:rsid w:val="5BE2700B"/>
    <w:rsid w:val="5BE3458F"/>
    <w:rsid w:val="5BE73983"/>
    <w:rsid w:val="5C117957"/>
    <w:rsid w:val="5C1F025F"/>
    <w:rsid w:val="5C9347A9"/>
    <w:rsid w:val="5CC32F12"/>
    <w:rsid w:val="5D0D455B"/>
    <w:rsid w:val="5D186A5C"/>
    <w:rsid w:val="5D2C42B6"/>
    <w:rsid w:val="5D30766A"/>
    <w:rsid w:val="5D5201C0"/>
    <w:rsid w:val="5DB744C7"/>
    <w:rsid w:val="5DC40368"/>
    <w:rsid w:val="5DCB3ACF"/>
    <w:rsid w:val="5DD0286D"/>
    <w:rsid w:val="5DDC3F2E"/>
    <w:rsid w:val="5DF40F6B"/>
    <w:rsid w:val="5E174F66"/>
    <w:rsid w:val="5E660B09"/>
    <w:rsid w:val="5E954808"/>
    <w:rsid w:val="5E9D546B"/>
    <w:rsid w:val="5EC84FF2"/>
    <w:rsid w:val="5ED961F2"/>
    <w:rsid w:val="5EEA0F2A"/>
    <w:rsid w:val="5F0E45BB"/>
    <w:rsid w:val="5F3D09FC"/>
    <w:rsid w:val="5F5168CF"/>
    <w:rsid w:val="5F5875E4"/>
    <w:rsid w:val="5F9D1CA2"/>
    <w:rsid w:val="5FA4497F"/>
    <w:rsid w:val="5FBA6BA5"/>
    <w:rsid w:val="5FC81CAB"/>
    <w:rsid w:val="5FD300DB"/>
    <w:rsid w:val="5FED10F1"/>
    <w:rsid w:val="60097065"/>
    <w:rsid w:val="60284D4C"/>
    <w:rsid w:val="602A1431"/>
    <w:rsid w:val="602F06F9"/>
    <w:rsid w:val="60350EDC"/>
    <w:rsid w:val="605D5A9B"/>
    <w:rsid w:val="608C59E7"/>
    <w:rsid w:val="60923B0B"/>
    <w:rsid w:val="60A24FBB"/>
    <w:rsid w:val="60A54AAB"/>
    <w:rsid w:val="60C44DAC"/>
    <w:rsid w:val="60CA10D1"/>
    <w:rsid w:val="60F375C4"/>
    <w:rsid w:val="61095D5D"/>
    <w:rsid w:val="61284751"/>
    <w:rsid w:val="612956DC"/>
    <w:rsid w:val="613856B4"/>
    <w:rsid w:val="615913AC"/>
    <w:rsid w:val="615B6854"/>
    <w:rsid w:val="615F4C5A"/>
    <w:rsid w:val="617E77D6"/>
    <w:rsid w:val="61BC12B7"/>
    <w:rsid w:val="61C3343B"/>
    <w:rsid w:val="61CD250B"/>
    <w:rsid w:val="61F73A6C"/>
    <w:rsid w:val="61F950AE"/>
    <w:rsid w:val="620C60F7"/>
    <w:rsid w:val="62202B07"/>
    <w:rsid w:val="62286805"/>
    <w:rsid w:val="62815690"/>
    <w:rsid w:val="628506F0"/>
    <w:rsid w:val="6294738C"/>
    <w:rsid w:val="62AF7E63"/>
    <w:rsid w:val="62F006F1"/>
    <w:rsid w:val="62F814B0"/>
    <w:rsid w:val="630C2BBF"/>
    <w:rsid w:val="632C6D8E"/>
    <w:rsid w:val="634549CF"/>
    <w:rsid w:val="638A21A7"/>
    <w:rsid w:val="63BC4518"/>
    <w:rsid w:val="63FA3522"/>
    <w:rsid w:val="64274D62"/>
    <w:rsid w:val="6429154F"/>
    <w:rsid w:val="642A0B61"/>
    <w:rsid w:val="6451149D"/>
    <w:rsid w:val="646761C8"/>
    <w:rsid w:val="646F3406"/>
    <w:rsid w:val="648B3FB8"/>
    <w:rsid w:val="649E369E"/>
    <w:rsid w:val="64C4269D"/>
    <w:rsid w:val="65027B05"/>
    <w:rsid w:val="65085608"/>
    <w:rsid w:val="652C7549"/>
    <w:rsid w:val="65493C57"/>
    <w:rsid w:val="6554585D"/>
    <w:rsid w:val="655541D3"/>
    <w:rsid w:val="65594766"/>
    <w:rsid w:val="657C753B"/>
    <w:rsid w:val="659550EE"/>
    <w:rsid w:val="65AE22F3"/>
    <w:rsid w:val="65EB0365"/>
    <w:rsid w:val="661447D3"/>
    <w:rsid w:val="66171FA7"/>
    <w:rsid w:val="66465782"/>
    <w:rsid w:val="664802EF"/>
    <w:rsid w:val="667747F4"/>
    <w:rsid w:val="66886F6B"/>
    <w:rsid w:val="66AD359D"/>
    <w:rsid w:val="66B07D06"/>
    <w:rsid w:val="66B94E0C"/>
    <w:rsid w:val="66BB0B84"/>
    <w:rsid w:val="66EC6F90"/>
    <w:rsid w:val="66F35AF0"/>
    <w:rsid w:val="66F83B86"/>
    <w:rsid w:val="670A4733"/>
    <w:rsid w:val="67281F92"/>
    <w:rsid w:val="67627252"/>
    <w:rsid w:val="67DE5EA5"/>
    <w:rsid w:val="681022EC"/>
    <w:rsid w:val="683325DF"/>
    <w:rsid w:val="68356714"/>
    <w:rsid w:val="68403831"/>
    <w:rsid w:val="688D02FE"/>
    <w:rsid w:val="68D93544"/>
    <w:rsid w:val="68E24E4E"/>
    <w:rsid w:val="69324800"/>
    <w:rsid w:val="694D5CE0"/>
    <w:rsid w:val="695B4E84"/>
    <w:rsid w:val="69642093"/>
    <w:rsid w:val="696F5C56"/>
    <w:rsid w:val="69782D5D"/>
    <w:rsid w:val="699B02E9"/>
    <w:rsid w:val="69A518F6"/>
    <w:rsid w:val="69C81CE8"/>
    <w:rsid w:val="69F26A0E"/>
    <w:rsid w:val="6A044066"/>
    <w:rsid w:val="6A16299D"/>
    <w:rsid w:val="6A2829D5"/>
    <w:rsid w:val="6A42615D"/>
    <w:rsid w:val="6A546685"/>
    <w:rsid w:val="6A6D7173"/>
    <w:rsid w:val="6AC6490F"/>
    <w:rsid w:val="6ACE1747"/>
    <w:rsid w:val="6AEB0E9F"/>
    <w:rsid w:val="6AEF704E"/>
    <w:rsid w:val="6AFB1E97"/>
    <w:rsid w:val="6B186DF8"/>
    <w:rsid w:val="6B1C6C77"/>
    <w:rsid w:val="6B2D7B77"/>
    <w:rsid w:val="6B2F50CF"/>
    <w:rsid w:val="6B6D78FB"/>
    <w:rsid w:val="6BAF37F6"/>
    <w:rsid w:val="6BB4626C"/>
    <w:rsid w:val="6BDE45F3"/>
    <w:rsid w:val="6C0E025D"/>
    <w:rsid w:val="6C563993"/>
    <w:rsid w:val="6C880962"/>
    <w:rsid w:val="6CAE4CE7"/>
    <w:rsid w:val="6D0B604A"/>
    <w:rsid w:val="6D107750"/>
    <w:rsid w:val="6D5B6C1D"/>
    <w:rsid w:val="6D673814"/>
    <w:rsid w:val="6DAC05BE"/>
    <w:rsid w:val="6E0948CB"/>
    <w:rsid w:val="6E513045"/>
    <w:rsid w:val="6E663ACB"/>
    <w:rsid w:val="6E804DFF"/>
    <w:rsid w:val="6EA23008"/>
    <w:rsid w:val="6EA445F4"/>
    <w:rsid w:val="6ED07EFC"/>
    <w:rsid w:val="6EDE7B06"/>
    <w:rsid w:val="6F6A1399"/>
    <w:rsid w:val="6F6D5C87"/>
    <w:rsid w:val="6F8373FF"/>
    <w:rsid w:val="6F9E54E7"/>
    <w:rsid w:val="6FA80114"/>
    <w:rsid w:val="6FD16561"/>
    <w:rsid w:val="6FD76303"/>
    <w:rsid w:val="6FDE7145"/>
    <w:rsid w:val="6FFC562B"/>
    <w:rsid w:val="7003131E"/>
    <w:rsid w:val="7007308C"/>
    <w:rsid w:val="7009213F"/>
    <w:rsid w:val="701F0FCA"/>
    <w:rsid w:val="70215690"/>
    <w:rsid w:val="7025059A"/>
    <w:rsid w:val="702E0619"/>
    <w:rsid w:val="70311072"/>
    <w:rsid w:val="70AE3508"/>
    <w:rsid w:val="70E63DE0"/>
    <w:rsid w:val="70FF68BE"/>
    <w:rsid w:val="71070D0D"/>
    <w:rsid w:val="712612F0"/>
    <w:rsid w:val="71344FFF"/>
    <w:rsid w:val="7138132A"/>
    <w:rsid w:val="713954C7"/>
    <w:rsid w:val="71431EA2"/>
    <w:rsid w:val="715D4FE8"/>
    <w:rsid w:val="717E2EDA"/>
    <w:rsid w:val="71956476"/>
    <w:rsid w:val="71A05546"/>
    <w:rsid w:val="71BB2380"/>
    <w:rsid w:val="722151BB"/>
    <w:rsid w:val="72477770"/>
    <w:rsid w:val="725809D6"/>
    <w:rsid w:val="72655E48"/>
    <w:rsid w:val="728269FA"/>
    <w:rsid w:val="729A1F96"/>
    <w:rsid w:val="729C5BD7"/>
    <w:rsid w:val="734168B5"/>
    <w:rsid w:val="734939BC"/>
    <w:rsid w:val="735E1767"/>
    <w:rsid w:val="737A421D"/>
    <w:rsid w:val="73875405"/>
    <w:rsid w:val="73B74532"/>
    <w:rsid w:val="73DE4104"/>
    <w:rsid w:val="742A7349"/>
    <w:rsid w:val="74363C49"/>
    <w:rsid w:val="74425F26"/>
    <w:rsid w:val="7487479C"/>
    <w:rsid w:val="748922C2"/>
    <w:rsid w:val="74AC5FB0"/>
    <w:rsid w:val="74CA11F8"/>
    <w:rsid w:val="74CC7CBB"/>
    <w:rsid w:val="74CD2DFA"/>
    <w:rsid w:val="74E20428"/>
    <w:rsid w:val="750516C4"/>
    <w:rsid w:val="754D3E47"/>
    <w:rsid w:val="75605585"/>
    <w:rsid w:val="7561059F"/>
    <w:rsid w:val="75695FAC"/>
    <w:rsid w:val="75A3409C"/>
    <w:rsid w:val="75D961A0"/>
    <w:rsid w:val="762C6AF6"/>
    <w:rsid w:val="76322C84"/>
    <w:rsid w:val="765A6376"/>
    <w:rsid w:val="768A0573"/>
    <w:rsid w:val="76955006"/>
    <w:rsid w:val="769B7B90"/>
    <w:rsid w:val="77392375"/>
    <w:rsid w:val="774E2667"/>
    <w:rsid w:val="775546DD"/>
    <w:rsid w:val="77933457"/>
    <w:rsid w:val="7793469B"/>
    <w:rsid w:val="77C65D3C"/>
    <w:rsid w:val="77C74EAF"/>
    <w:rsid w:val="785C5E6F"/>
    <w:rsid w:val="789631FF"/>
    <w:rsid w:val="789C2A58"/>
    <w:rsid w:val="78E026CC"/>
    <w:rsid w:val="78FF3EB4"/>
    <w:rsid w:val="797C0647"/>
    <w:rsid w:val="79B0209F"/>
    <w:rsid w:val="79E104AA"/>
    <w:rsid w:val="7A1C7734"/>
    <w:rsid w:val="7A4A386D"/>
    <w:rsid w:val="7A5E7D4D"/>
    <w:rsid w:val="7A650E3C"/>
    <w:rsid w:val="7A70182E"/>
    <w:rsid w:val="7A913980"/>
    <w:rsid w:val="7A951295"/>
    <w:rsid w:val="7A9609CB"/>
    <w:rsid w:val="7A9B18B0"/>
    <w:rsid w:val="7AC73B44"/>
    <w:rsid w:val="7B002BB2"/>
    <w:rsid w:val="7B0E3521"/>
    <w:rsid w:val="7B360113"/>
    <w:rsid w:val="7B424F78"/>
    <w:rsid w:val="7B4A526C"/>
    <w:rsid w:val="7B4C4B65"/>
    <w:rsid w:val="7B780F7C"/>
    <w:rsid w:val="7B9D6375"/>
    <w:rsid w:val="7C156B31"/>
    <w:rsid w:val="7C376AA7"/>
    <w:rsid w:val="7C4D62CB"/>
    <w:rsid w:val="7C570EF7"/>
    <w:rsid w:val="7C6D63F4"/>
    <w:rsid w:val="7C6F0B11"/>
    <w:rsid w:val="7C7E46D6"/>
    <w:rsid w:val="7C8660BD"/>
    <w:rsid w:val="7C8C2AE3"/>
    <w:rsid w:val="7CA05978"/>
    <w:rsid w:val="7CE83493"/>
    <w:rsid w:val="7D1370F0"/>
    <w:rsid w:val="7D79437B"/>
    <w:rsid w:val="7DBB54B6"/>
    <w:rsid w:val="7DE63B79"/>
    <w:rsid w:val="7E01736D"/>
    <w:rsid w:val="7E8D6E52"/>
    <w:rsid w:val="7F09259F"/>
    <w:rsid w:val="7F264BB1"/>
    <w:rsid w:val="7F437511"/>
    <w:rsid w:val="7F5B0CFF"/>
    <w:rsid w:val="7F741DC0"/>
    <w:rsid w:val="7F78365F"/>
    <w:rsid w:val="7F8E2BA0"/>
    <w:rsid w:val="7FBC5227"/>
    <w:rsid w:val="7FCD7FD5"/>
    <w:rsid w:val="7FD72BB2"/>
    <w:rsid w:val="7FEE047D"/>
    <w:rsid w:val="7FFC4290"/>
    <w:rsid w:val="7FFC43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autoRedefine/>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autoRedefine/>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autoRedefine/>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autoRedefine/>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autoRedefine/>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autoRedefine/>
    <w:qFormat/>
    <w:uiPriority w:val="99"/>
    <w:pPr>
      <w:keepNext/>
      <w:keepLines/>
      <w:spacing w:before="240" w:after="64" w:line="317" w:lineRule="auto"/>
      <w:outlineLvl w:val="8"/>
    </w:pPr>
    <w:rPr>
      <w:rFonts w:ascii="Cambria" w:hAnsi="Cambria" w:cs="Cambria"/>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rPr>
      <w:rFonts w:ascii="Calibri" w:hAnsi="Calibri" w:cs="Calibri"/>
    </w:rPr>
  </w:style>
  <w:style w:type="paragraph" w:styleId="12">
    <w:name w:val="caption"/>
    <w:basedOn w:val="1"/>
    <w:next w:val="1"/>
    <w:autoRedefine/>
    <w:qFormat/>
    <w:uiPriority w:val="99"/>
    <w:rPr>
      <w:rFonts w:ascii="Cambria" w:hAnsi="Cambria" w:eastAsia="黑体" w:cs="Cambria"/>
      <w:sz w:val="20"/>
      <w:szCs w:val="20"/>
    </w:rPr>
  </w:style>
  <w:style w:type="paragraph" w:styleId="13">
    <w:name w:val="Document Map"/>
    <w:basedOn w:val="1"/>
    <w:link w:val="73"/>
    <w:autoRedefine/>
    <w:semiHidden/>
    <w:qFormat/>
    <w:uiPriority w:val="99"/>
    <w:pPr>
      <w:shd w:val="clear" w:color="auto" w:fill="000080"/>
    </w:pPr>
    <w:rPr>
      <w:kern w:val="0"/>
      <w:sz w:val="20"/>
      <w:szCs w:val="20"/>
      <w:shd w:val="clear" w:color="auto" w:fill="000080"/>
    </w:rPr>
  </w:style>
  <w:style w:type="paragraph" w:styleId="14">
    <w:name w:val="annotation text"/>
    <w:basedOn w:val="1"/>
    <w:link w:val="74"/>
    <w:autoRedefine/>
    <w:semiHidden/>
    <w:qFormat/>
    <w:uiPriority w:val="99"/>
    <w:pPr>
      <w:jc w:val="left"/>
    </w:pPr>
  </w:style>
  <w:style w:type="paragraph" w:styleId="15">
    <w:name w:val="Body Text 3"/>
    <w:basedOn w:val="1"/>
    <w:link w:val="75"/>
    <w:autoRedefine/>
    <w:qFormat/>
    <w:uiPriority w:val="99"/>
    <w:rPr>
      <w:rFonts w:ascii="宋体" w:cs="宋体"/>
      <w:sz w:val="24"/>
      <w:szCs w:val="24"/>
    </w:rPr>
  </w:style>
  <w:style w:type="paragraph" w:styleId="16">
    <w:name w:val="Body Text"/>
    <w:basedOn w:val="1"/>
    <w:link w:val="76"/>
    <w:autoRedefine/>
    <w:qFormat/>
    <w:uiPriority w:val="99"/>
    <w:pPr>
      <w:jc w:val="center"/>
    </w:pPr>
    <w:rPr>
      <w:b/>
      <w:bCs/>
      <w:sz w:val="44"/>
      <w:szCs w:val="44"/>
    </w:rPr>
  </w:style>
  <w:style w:type="paragraph" w:styleId="17">
    <w:name w:val="Body Text Indent"/>
    <w:basedOn w:val="1"/>
    <w:next w:val="18"/>
    <w:link w:val="77"/>
    <w:autoRedefine/>
    <w:qFormat/>
    <w:uiPriority w:val="99"/>
    <w:pPr>
      <w:spacing w:line="500" w:lineRule="exact"/>
      <w:ind w:firstLine="538"/>
    </w:pPr>
    <w:rPr>
      <w:sz w:val="28"/>
      <w:szCs w:val="28"/>
    </w:rPr>
  </w:style>
  <w:style w:type="paragraph" w:styleId="18">
    <w:name w:val="envelope return"/>
    <w:basedOn w:val="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0">
    <w:name w:val="index 4"/>
    <w:basedOn w:val="1"/>
    <w:next w:val="1"/>
    <w:autoRedefine/>
    <w:semiHidden/>
    <w:qFormat/>
    <w:uiPriority w:val="99"/>
    <w:pPr>
      <w:ind w:left="600" w:leftChars="600"/>
    </w:pPr>
  </w:style>
  <w:style w:type="paragraph" w:styleId="21">
    <w:name w:val="toc 5"/>
    <w:basedOn w:val="1"/>
    <w:next w:val="1"/>
    <w:autoRedefine/>
    <w:semiHidden/>
    <w:qFormat/>
    <w:uiPriority w:val="99"/>
    <w:pPr>
      <w:tabs>
        <w:tab w:val="right" w:leader="dot" w:pos="8296"/>
      </w:tabs>
      <w:ind w:left="1050" w:leftChars="500"/>
    </w:pPr>
    <w:rPr>
      <w:rFonts w:ascii="Calibri" w:hAnsi="Calibri" w:cs="Calibri"/>
    </w:rPr>
  </w:style>
  <w:style w:type="paragraph" w:styleId="22">
    <w:name w:val="toc 3"/>
    <w:basedOn w:val="1"/>
    <w:next w:val="1"/>
    <w:autoRedefine/>
    <w:semiHidden/>
    <w:qFormat/>
    <w:uiPriority w:val="99"/>
    <w:pPr>
      <w:ind w:left="840" w:leftChars="400"/>
    </w:pPr>
    <w:rPr>
      <w:rFonts w:ascii="Calibri" w:hAnsi="Calibri" w:cs="Calibri"/>
    </w:rPr>
  </w:style>
  <w:style w:type="paragraph" w:styleId="23">
    <w:name w:val="Plain Text"/>
    <w:basedOn w:val="1"/>
    <w:next w:val="1"/>
    <w:link w:val="78"/>
    <w:autoRedefine/>
    <w:qFormat/>
    <w:uiPriority w:val="99"/>
    <w:rPr>
      <w:rFonts w:ascii="宋体" w:hAnsi="Courier New" w:cs="宋体"/>
    </w:rPr>
  </w:style>
  <w:style w:type="paragraph" w:styleId="24">
    <w:name w:val="toc 8"/>
    <w:basedOn w:val="1"/>
    <w:next w:val="1"/>
    <w:autoRedefine/>
    <w:semiHidden/>
    <w:qFormat/>
    <w:uiPriority w:val="99"/>
    <w:pPr>
      <w:ind w:left="2940" w:leftChars="1400"/>
    </w:pPr>
    <w:rPr>
      <w:rFonts w:ascii="Calibri" w:hAnsi="Calibri" w:cs="Calibri"/>
    </w:rPr>
  </w:style>
  <w:style w:type="paragraph" w:styleId="25">
    <w:name w:val="Date"/>
    <w:basedOn w:val="1"/>
    <w:next w:val="1"/>
    <w:link w:val="79"/>
    <w:autoRedefine/>
    <w:qFormat/>
    <w:uiPriority w:val="99"/>
    <w:rPr>
      <w:rFonts w:ascii="仿宋_GB2312" w:eastAsia="仿宋_GB2312" w:cs="仿宋_GB2312"/>
      <w:sz w:val="30"/>
      <w:szCs w:val="30"/>
    </w:rPr>
  </w:style>
  <w:style w:type="paragraph" w:styleId="26">
    <w:name w:val="Body Text Indent 2"/>
    <w:basedOn w:val="1"/>
    <w:link w:val="80"/>
    <w:autoRedefine/>
    <w:qFormat/>
    <w:uiPriority w:val="99"/>
    <w:pPr>
      <w:spacing w:line="360" w:lineRule="exact"/>
      <w:ind w:firstLine="600" w:firstLineChars="250"/>
      <w:jc w:val="left"/>
    </w:pPr>
    <w:rPr>
      <w:sz w:val="24"/>
      <w:szCs w:val="24"/>
    </w:rPr>
  </w:style>
  <w:style w:type="paragraph" w:styleId="27">
    <w:name w:val="Balloon Text"/>
    <w:basedOn w:val="1"/>
    <w:link w:val="81"/>
    <w:autoRedefine/>
    <w:semiHidden/>
    <w:qFormat/>
    <w:uiPriority w:val="99"/>
    <w:rPr>
      <w:sz w:val="18"/>
      <w:szCs w:val="18"/>
    </w:rPr>
  </w:style>
  <w:style w:type="paragraph" w:styleId="28">
    <w:name w:val="footer"/>
    <w:basedOn w:val="1"/>
    <w:link w:val="82"/>
    <w:autoRedefine/>
    <w:qFormat/>
    <w:uiPriority w:val="99"/>
    <w:pPr>
      <w:tabs>
        <w:tab w:val="center" w:pos="4153"/>
        <w:tab w:val="right" w:pos="8306"/>
      </w:tabs>
      <w:snapToGrid w:val="0"/>
      <w:jc w:val="left"/>
    </w:pPr>
    <w:rPr>
      <w:sz w:val="18"/>
      <w:szCs w:val="18"/>
    </w:rPr>
  </w:style>
  <w:style w:type="paragraph" w:styleId="29">
    <w:name w:val="header"/>
    <w:basedOn w:val="1"/>
    <w:link w:val="83"/>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1">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next w:val="1"/>
    <w:link w:val="84"/>
    <w:autoRedefine/>
    <w:qFormat/>
    <w:uiPriority w:val="99"/>
    <w:pPr>
      <w:spacing w:before="240" w:after="60" w:line="312" w:lineRule="auto"/>
      <w:jc w:val="center"/>
      <w:outlineLvl w:val="1"/>
    </w:pPr>
    <w:rPr>
      <w:rFonts w:ascii="Cambria" w:hAnsi="Cambria" w:cs="Cambria"/>
      <w:b/>
      <w:bCs/>
      <w:kern w:val="28"/>
      <w:sz w:val="32"/>
      <w:szCs w:val="32"/>
    </w:rPr>
  </w:style>
  <w:style w:type="paragraph" w:styleId="33">
    <w:name w:val="List"/>
    <w:basedOn w:val="1"/>
    <w:autoRedefine/>
    <w:qFormat/>
    <w:locked/>
    <w:uiPriority w:val="0"/>
    <w:pPr>
      <w:ind w:left="200" w:hanging="200" w:hangingChars="200"/>
    </w:pPr>
  </w:style>
  <w:style w:type="paragraph" w:styleId="34">
    <w:name w:val="footnote text"/>
    <w:basedOn w:val="1"/>
    <w:link w:val="85"/>
    <w:autoRedefine/>
    <w:semiHidden/>
    <w:qFormat/>
    <w:uiPriority w:val="99"/>
    <w:rPr>
      <w:sz w:val="20"/>
      <w:szCs w:val="20"/>
    </w:rPr>
  </w:style>
  <w:style w:type="paragraph" w:styleId="35">
    <w:name w:val="toc 6"/>
    <w:basedOn w:val="1"/>
    <w:next w:val="1"/>
    <w:autoRedefine/>
    <w:semiHidden/>
    <w:qFormat/>
    <w:uiPriority w:val="99"/>
    <w:pPr>
      <w:ind w:left="2100" w:leftChars="1000"/>
    </w:pPr>
    <w:rPr>
      <w:rFonts w:ascii="Calibri" w:hAnsi="Calibri" w:cs="Calibri"/>
    </w:rPr>
  </w:style>
  <w:style w:type="paragraph" w:styleId="36">
    <w:name w:val="Body Text Indent 3"/>
    <w:basedOn w:val="1"/>
    <w:link w:val="86"/>
    <w:autoRedefine/>
    <w:qFormat/>
    <w:uiPriority w:val="99"/>
    <w:pPr>
      <w:spacing w:after="120"/>
      <w:ind w:left="420" w:leftChars="200"/>
    </w:pPr>
    <w:rPr>
      <w:sz w:val="16"/>
      <w:szCs w:val="16"/>
    </w:rPr>
  </w:style>
  <w:style w:type="paragraph" w:styleId="37">
    <w:name w:val="table of figures"/>
    <w:basedOn w:val="1"/>
    <w:next w:val="1"/>
    <w:autoRedefine/>
    <w:semiHidden/>
    <w:qFormat/>
    <w:uiPriority w:val="99"/>
    <w:pPr>
      <w:ind w:left="200" w:leftChars="200" w:hanging="200" w:hangingChars="200"/>
    </w:pPr>
  </w:style>
  <w:style w:type="paragraph" w:styleId="38">
    <w:name w:val="toc 2"/>
    <w:basedOn w:val="1"/>
    <w:next w:val="1"/>
    <w:autoRedefine/>
    <w:semiHidden/>
    <w:qFormat/>
    <w:uiPriority w:val="99"/>
    <w:pPr>
      <w:ind w:left="420" w:leftChars="200"/>
    </w:pPr>
    <w:rPr>
      <w:rFonts w:ascii="宋体" w:cs="宋体"/>
      <w:b/>
      <w:bCs/>
      <w:sz w:val="28"/>
      <w:szCs w:val="28"/>
    </w:rPr>
  </w:style>
  <w:style w:type="paragraph" w:styleId="39">
    <w:name w:val="toc 9"/>
    <w:basedOn w:val="1"/>
    <w:next w:val="1"/>
    <w:autoRedefine/>
    <w:semiHidden/>
    <w:qFormat/>
    <w:uiPriority w:val="99"/>
    <w:pPr>
      <w:ind w:left="3360" w:leftChars="1600"/>
    </w:pPr>
    <w:rPr>
      <w:rFonts w:ascii="Calibri" w:hAnsi="Calibri" w:cs="Calibri"/>
    </w:rPr>
  </w:style>
  <w:style w:type="paragraph" w:styleId="40">
    <w:name w:val="Body Text 2"/>
    <w:basedOn w:val="1"/>
    <w:link w:val="87"/>
    <w:autoRedefine/>
    <w:qFormat/>
    <w:uiPriority w:val="99"/>
    <w:pPr>
      <w:spacing w:line="440" w:lineRule="exact"/>
    </w:pPr>
    <w:rPr>
      <w:sz w:val="28"/>
      <w:szCs w:val="28"/>
    </w:rPr>
  </w:style>
  <w:style w:type="paragraph" w:styleId="41">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autoRedefine/>
    <w:qFormat/>
    <w:uiPriority w:val="99"/>
    <w:pPr>
      <w:spacing w:before="240" w:after="60"/>
      <w:jc w:val="center"/>
      <w:outlineLvl w:val="0"/>
    </w:pPr>
    <w:rPr>
      <w:rFonts w:ascii="Cambria" w:hAnsi="Cambria" w:cs="Cambria"/>
      <w:b/>
      <w:bCs/>
      <w:sz w:val="32"/>
      <w:szCs w:val="32"/>
    </w:rPr>
  </w:style>
  <w:style w:type="paragraph" w:styleId="43">
    <w:name w:val="annotation subject"/>
    <w:basedOn w:val="14"/>
    <w:next w:val="14"/>
    <w:link w:val="89"/>
    <w:autoRedefine/>
    <w:semiHidden/>
    <w:qFormat/>
    <w:uiPriority w:val="99"/>
    <w:rPr>
      <w:rFonts w:ascii="宋体" w:cs="宋体"/>
      <w:b/>
      <w:bCs/>
      <w:kern w:val="0"/>
      <w:sz w:val="28"/>
      <w:szCs w:val="28"/>
    </w:rPr>
  </w:style>
  <w:style w:type="paragraph" w:styleId="44">
    <w:name w:val="Body Text First Indent 2"/>
    <w:basedOn w:val="17"/>
    <w:next w:val="1"/>
    <w:link w:val="90"/>
    <w:autoRedefine/>
    <w:qFormat/>
    <w:uiPriority w:val="99"/>
    <w:pPr>
      <w:ind w:firstLine="420" w:firstLineChars="200"/>
    </w:pPr>
  </w:style>
  <w:style w:type="table" w:styleId="46">
    <w:name w:val="Table Grid"/>
    <w:basedOn w:val="4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99"/>
    <w:rPr>
      <w:rFonts w:cs="Times New Roman"/>
      <w:b/>
      <w:bCs/>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auto"/>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monospace"/>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monospace"/>
      <w:sz w:val="20"/>
    </w:rPr>
  </w:style>
  <w:style w:type="character" w:styleId="58">
    <w:name w:val="annotation reference"/>
    <w:basedOn w:val="47"/>
    <w:autoRedefine/>
    <w:semiHidden/>
    <w:qFormat/>
    <w:uiPriority w:val="99"/>
    <w:rPr>
      <w:rFonts w:cs="Times New Roman"/>
      <w:sz w:val="21"/>
      <w:szCs w:val="21"/>
    </w:rPr>
  </w:style>
  <w:style w:type="character" w:styleId="59">
    <w:name w:val="HTML Cite"/>
    <w:basedOn w:val="47"/>
    <w:autoRedefine/>
    <w:qFormat/>
    <w:uiPriority w:val="99"/>
    <w:rPr>
      <w:rFonts w:cs="Times New Roman"/>
    </w:rPr>
  </w:style>
  <w:style w:type="character" w:styleId="60">
    <w:name w:val="footnote reference"/>
    <w:basedOn w:val="47"/>
    <w:autoRedefine/>
    <w:semiHidden/>
    <w:qFormat/>
    <w:uiPriority w:val="99"/>
    <w:rPr>
      <w:rFonts w:cs="Times New Roman"/>
      <w:vertAlign w:val="superscript"/>
    </w:rPr>
  </w:style>
  <w:style w:type="character" w:styleId="61">
    <w:name w:val="HTML Keyboard"/>
    <w:basedOn w:val="47"/>
    <w:autoRedefine/>
    <w:qFormat/>
    <w:uiPriority w:val="99"/>
    <w:rPr>
      <w:rFonts w:ascii="monospace" w:hAnsi="monospace" w:cs="monospace"/>
      <w:sz w:val="20"/>
    </w:rPr>
  </w:style>
  <w:style w:type="character" w:styleId="62">
    <w:name w:val="HTML Sample"/>
    <w:basedOn w:val="47"/>
    <w:autoRedefine/>
    <w:qFormat/>
    <w:uiPriority w:val="99"/>
    <w:rPr>
      <w:rFonts w:ascii="monospace" w:hAnsi="monospace" w:cs="monospace"/>
    </w:rPr>
  </w:style>
  <w:style w:type="paragraph" w:customStyle="1" w:styleId="63">
    <w:name w:val="Normal Indent1"/>
    <w:basedOn w:val="1"/>
    <w:autoRedefine/>
    <w:qFormat/>
    <w:uiPriority w:val="0"/>
    <w:pPr>
      <w:adjustRightInd w:val="0"/>
      <w:spacing w:line="360" w:lineRule="atLeast"/>
      <w:ind w:firstLine="482"/>
      <w:textAlignment w:val="baseline"/>
    </w:pPr>
    <w:rPr>
      <w:kern w:val="0"/>
      <w:sz w:val="24"/>
      <w:szCs w:val="24"/>
    </w:rPr>
  </w:style>
  <w:style w:type="character" w:customStyle="1" w:styleId="64">
    <w:name w:val="标题 1 字符"/>
    <w:basedOn w:val="47"/>
    <w:link w:val="2"/>
    <w:autoRedefine/>
    <w:qFormat/>
    <w:locked/>
    <w:uiPriority w:val="99"/>
    <w:rPr>
      <w:rFonts w:ascii="Times New Roman" w:hAnsi="Times New Roman" w:eastAsia="仿宋" w:cs="Times New Roman"/>
      <w:b/>
      <w:bCs/>
      <w:kern w:val="44"/>
      <w:sz w:val="44"/>
      <w:szCs w:val="44"/>
      <w:lang w:val="en-US" w:eastAsia="zh-CN"/>
    </w:rPr>
  </w:style>
  <w:style w:type="character" w:customStyle="1" w:styleId="65">
    <w:name w:val="标题 2 字符"/>
    <w:basedOn w:val="47"/>
    <w:link w:val="3"/>
    <w:autoRedefine/>
    <w:qFormat/>
    <w:locked/>
    <w:uiPriority w:val="99"/>
    <w:rPr>
      <w:rFonts w:ascii="Arial" w:hAnsi="Arial" w:eastAsia="黑体" w:cs="Arial"/>
      <w:b/>
      <w:bCs/>
      <w:kern w:val="2"/>
      <w:sz w:val="32"/>
      <w:szCs w:val="32"/>
      <w:lang w:val="en-US" w:eastAsia="zh-CN"/>
    </w:rPr>
  </w:style>
  <w:style w:type="character" w:customStyle="1" w:styleId="66">
    <w:name w:val="标题 3 字符"/>
    <w:basedOn w:val="47"/>
    <w:link w:val="4"/>
    <w:autoRedefine/>
    <w:qFormat/>
    <w:locked/>
    <w:uiPriority w:val="99"/>
    <w:rPr>
      <w:rFonts w:eastAsia="宋体" w:cs="Times New Roman"/>
      <w:b/>
      <w:bCs/>
      <w:kern w:val="2"/>
      <w:sz w:val="32"/>
      <w:szCs w:val="32"/>
      <w:lang w:val="en-US" w:eastAsia="zh-CN"/>
    </w:rPr>
  </w:style>
  <w:style w:type="character" w:customStyle="1" w:styleId="67">
    <w:name w:val="标题 4 字符"/>
    <w:basedOn w:val="47"/>
    <w:link w:val="5"/>
    <w:autoRedefine/>
    <w:qFormat/>
    <w:locked/>
    <w:uiPriority w:val="99"/>
    <w:rPr>
      <w:rFonts w:ascii="Cambria" w:hAnsi="Cambria" w:eastAsia="宋体" w:cs="Cambria"/>
      <w:b/>
      <w:bCs/>
      <w:kern w:val="2"/>
      <w:sz w:val="28"/>
      <w:szCs w:val="28"/>
      <w:lang w:val="en-US" w:eastAsia="zh-CN"/>
    </w:rPr>
  </w:style>
  <w:style w:type="character" w:customStyle="1" w:styleId="68">
    <w:name w:val="标题 5 字符"/>
    <w:basedOn w:val="47"/>
    <w:link w:val="6"/>
    <w:autoRedefine/>
    <w:qFormat/>
    <w:locked/>
    <w:uiPriority w:val="99"/>
    <w:rPr>
      <w:rFonts w:ascii="Calibri" w:hAnsi="Calibri" w:eastAsia="宋体" w:cs="Calibri"/>
      <w:b/>
      <w:bCs/>
      <w:kern w:val="2"/>
      <w:sz w:val="28"/>
      <w:szCs w:val="28"/>
      <w:lang w:val="en-US" w:eastAsia="zh-CN"/>
    </w:rPr>
  </w:style>
  <w:style w:type="character" w:customStyle="1" w:styleId="69">
    <w:name w:val="标题 6 字符"/>
    <w:basedOn w:val="47"/>
    <w:link w:val="7"/>
    <w:autoRedefine/>
    <w:qFormat/>
    <w:locked/>
    <w:uiPriority w:val="99"/>
    <w:rPr>
      <w:rFonts w:ascii="Cambria" w:hAnsi="Cambria" w:eastAsia="宋体" w:cs="Cambria"/>
      <w:b/>
      <w:bCs/>
      <w:kern w:val="2"/>
      <w:sz w:val="24"/>
      <w:szCs w:val="24"/>
      <w:lang w:val="en-US" w:eastAsia="zh-CN"/>
    </w:rPr>
  </w:style>
  <w:style w:type="character" w:customStyle="1" w:styleId="70">
    <w:name w:val="标题 7 字符"/>
    <w:basedOn w:val="47"/>
    <w:link w:val="8"/>
    <w:autoRedefine/>
    <w:qFormat/>
    <w:locked/>
    <w:uiPriority w:val="99"/>
    <w:rPr>
      <w:rFonts w:ascii="Calibri" w:hAnsi="Calibri" w:eastAsia="宋体" w:cs="Calibri"/>
      <w:b/>
      <w:bCs/>
      <w:kern w:val="2"/>
      <w:sz w:val="24"/>
      <w:szCs w:val="24"/>
      <w:lang w:val="en-US" w:eastAsia="zh-CN"/>
    </w:rPr>
  </w:style>
  <w:style w:type="character" w:customStyle="1" w:styleId="71">
    <w:name w:val="标题 8 字符"/>
    <w:basedOn w:val="47"/>
    <w:link w:val="9"/>
    <w:autoRedefine/>
    <w:qFormat/>
    <w:locked/>
    <w:uiPriority w:val="99"/>
    <w:rPr>
      <w:rFonts w:ascii="Cambria" w:hAnsi="Cambria" w:eastAsia="宋体" w:cs="Cambria"/>
      <w:kern w:val="2"/>
      <w:sz w:val="24"/>
      <w:szCs w:val="24"/>
      <w:lang w:val="en-US" w:eastAsia="zh-CN"/>
    </w:rPr>
  </w:style>
  <w:style w:type="character" w:customStyle="1" w:styleId="72">
    <w:name w:val="标题 9 字符"/>
    <w:basedOn w:val="47"/>
    <w:link w:val="10"/>
    <w:autoRedefine/>
    <w:qFormat/>
    <w:locked/>
    <w:uiPriority w:val="99"/>
    <w:rPr>
      <w:rFonts w:ascii="Cambria" w:hAnsi="Cambria" w:eastAsia="宋体" w:cs="Cambria"/>
      <w:kern w:val="2"/>
      <w:sz w:val="21"/>
      <w:szCs w:val="21"/>
      <w:lang w:val="en-US" w:eastAsia="zh-CN"/>
    </w:rPr>
  </w:style>
  <w:style w:type="character" w:customStyle="1" w:styleId="73">
    <w:name w:val="文档结构图 字符"/>
    <w:basedOn w:val="47"/>
    <w:link w:val="13"/>
    <w:autoRedefine/>
    <w:qFormat/>
    <w:locked/>
    <w:uiPriority w:val="99"/>
    <w:rPr>
      <w:rFonts w:cs="Times New Roman"/>
      <w:sz w:val="24"/>
      <w:szCs w:val="24"/>
      <w:shd w:val="clear" w:color="auto" w:fill="000080"/>
    </w:rPr>
  </w:style>
  <w:style w:type="character" w:customStyle="1" w:styleId="74">
    <w:name w:val="批注文字 字符"/>
    <w:basedOn w:val="47"/>
    <w:link w:val="14"/>
    <w:autoRedefine/>
    <w:qFormat/>
    <w:locked/>
    <w:uiPriority w:val="99"/>
    <w:rPr>
      <w:rFonts w:cs="Times New Roman"/>
      <w:kern w:val="2"/>
      <w:sz w:val="22"/>
      <w:szCs w:val="22"/>
    </w:rPr>
  </w:style>
  <w:style w:type="character" w:customStyle="1" w:styleId="75">
    <w:name w:val="正文文本 3 字符"/>
    <w:basedOn w:val="47"/>
    <w:link w:val="15"/>
    <w:autoRedefine/>
    <w:semiHidden/>
    <w:qFormat/>
    <w:locked/>
    <w:uiPriority w:val="99"/>
    <w:rPr>
      <w:rFonts w:cs="Times New Roman"/>
      <w:sz w:val="16"/>
      <w:szCs w:val="16"/>
    </w:rPr>
  </w:style>
  <w:style w:type="character" w:customStyle="1" w:styleId="76">
    <w:name w:val="正文文本 字符"/>
    <w:basedOn w:val="47"/>
    <w:link w:val="16"/>
    <w:autoRedefine/>
    <w:qFormat/>
    <w:locked/>
    <w:uiPriority w:val="99"/>
    <w:rPr>
      <w:rFonts w:eastAsia="宋体" w:cs="Times New Roman"/>
      <w:b/>
      <w:bCs/>
      <w:kern w:val="2"/>
      <w:sz w:val="44"/>
      <w:szCs w:val="44"/>
      <w:lang w:val="en-US" w:eastAsia="zh-CN"/>
    </w:rPr>
  </w:style>
  <w:style w:type="character" w:customStyle="1" w:styleId="77">
    <w:name w:val="正文文本缩进 字符"/>
    <w:basedOn w:val="47"/>
    <w:link w:val="17"/>
    <w:autoRedefine/>
    <w:semiHidden/>
    <w:qFormat/>
    <w:locked/>
    <w:uiPriority w:val="99"/>
    <w:rPr>
      <w:rFonts w:cs="Times New Roman"/>
      <w:sz w:val="21"/>
      <w:szCs w:val="21"/>
    </w:rPr>
  </w:style>
  <w:style w:type="character" w:customStyle="1" w:styleId="78">
    <w:name w:val="纯文本 字符"/>
    <w:basedOn w:val="47"/>
    <w:link w:val="23"/>
    <w:autoRedefine/>
    <w:semiHidden/>
    <w:qFormat/>
    <w:locked/>
    <w:uiPriority w:val="99"/>
    <w:rPr>
      <w:rFonts w:ascii="宋体" w:hAnsi="Courier New" w:cs="Courier New"/>
      <w:sz w:val="21"/>
      <w:szCs w:val="21"/>
    </w:rPr>
  </w:style>
  <w:style w:type="character" w:customStyle="1" w:styleId="79">
    <w:name w:val="日期 字符"/>
    <w:basedOn w:val="47"/>
    <w:link w:val="25"/>
    <w:autoRedefine/>
    <w:qFormat/>
    <w:locked/>
    <w:uiPriority w:val="99"/>
    <w:rPr>
      <w:rFonts w:ascii="仿宋_GB2312" w:eastAsia="仿宋_GB2312" w:cs="仿宋_GB2312"/>
      <w:kern w:val="2"/>
      <w:sz w:val="30"/>
      <w:szCs w:val="30"/>
      <w:lang w:val="en-US" w:eastAsia="zh-CN"/>
    </w:rPr>
  </w:style>
  <w:style w:type="character" w:customStyle="1" w:styleId="80">
    <w:name w:val="正文文本缩进 2 字符"/>
    <w:basedOn w:val="47"/>
    <w:link w:val="26"/>
    <w:autoRedefine/>
    <w:semiHidden/>
    <w:qFormat/>
    <w:locked/>
    <w:uiPriority w:val="99"/>
    <w:rPr>
      <w:rFonts w:cs="Times New Roman"/>
      <w:sz w:val="21"/>
      <w:szCs w:val="21"/>
    </w:rPr>
  </w:style>
  <w:style w:type="character" w:customStyle="1" w:styleId="81">
    <w:name w:val="批注框文本 字符"/>
    <w:basedOn w:val="47"/>
    <w:link w:val="27"/>
    <w:autoRedefine/>
    <w:semiHidden/>
    <w:qFormat/>
    <w:locked/>
    <w:uiPriority w:val="99"/>
    <w:rPr>
      <w:rFonts w:cs="Times New Roman"/>
      <w:sz w:val="2"/>
    </w:rPr>
  </w:style>
  <w:style w:type="character" w:customStyle="1" w:styleId="82">
    <w:name w:val="页脚 字符"/>
    <w:basedOn w:val="47"/>
    <w:link w:val="28"/>
    <w:autoRedefine/>
    <w:qFormat/>
    <w:locked/>
    <w:uiPriority w:val="99"/>
    <w:rPr>
      <w:rFonts w:eastAsia="宋体" w:cs="Times New Roman"/>
      <w:kern w:val="2"/>
      <w:sz w:val="18"/>
      <w:szCs w:val="18"/>
      <w:lang w:val="en-US" w:eastAsia="zh-CN"/>
    </w:rPr>
  </w:style>
  <w:style w:type="character" w:customStyle="1" w:styleId="83">
    <w:name w:val="页眉 字符"/>
    <w:basedOn w:val="47"/>
    <w:link w:val="29"/>
    <w:autoRedefine/>
    <w:qFormat/>
    <w:locked/>
    <w:uiPriority w:val="99"/>
    <w:rPr>
      <w:rFonts w:eastAsia="宋体" w:cs="Times New Roman"/>
      <w:kern w:val="2"/>
      <w:sz w:val="18"/>
      <w:szCs w:val="18"/>
      <w:lang w:val="en-US" w:eastAsia="zh-CN"/>
    </w:rPr>
  </w:style>
  <w:style w:type="character" w:customStyle="1" w:styleId="84">
    <w:name w:val="副标题 字符"/>
    <w:basedOn w:val="47"/>
    <w:link w:val="32"/>
    <w:autoRedefine/>
    <w:qFormat/>
    <w:locked/>
    <w:uiPriority w:val="99"/>
    <w:rPr>
      <w:rFonts w:ascii="Cambria" w:hAnsi="Cambria" w:cs="Cambria"/>
      <w:b/>
      <w:bCs/>
      <w:kern w:val="28"/>
      <w:sz w:val="32"/>
      <w:szCs w:val="32"/>
    </w:rPr>
  </w:style>
  <w:style w:type="character" w:customStyle="1" w:styleId="85">
    <w:name w:val="脚注文本 字符"/>
    <w:basedOn w:val="47"/>
    <w:link w:val="34"/>
    <w:autoRedefine/>
    <w:semiHidden/>
    <w:qFormat/>
    <w:locked/>
    <w:uiPriority w:val="99"/>
    <w:rPr>
      <w:rFonts w:cs="Times New Roman"/>
      <w:sz w:val="18"/>
      <w:szCs w:val="18"/>
    </w:rPr>
  </w:style>
  <w:style w:type="character" w:customStyle="1" w:styleId="86">
    <w:name w:val="正文文本缩进 3 字符"/>
    <w:basedOn w:val="47"/>
    <w:link w:val="36"/>
    <w:autoRedefine/>
    <w:semiHidden/>
    <w:qFormat/>
    <w:locked/>
    <w:uiPriority w:val="99"/>
    <w:rPr>
      <w:rFonts w:cs="Times New Roman"/>
      <w:sz w:val="16"/>
      <w:szCs w:val="16"/>
    </w:rPr>
  </w:style>
  <w:style w:type="character" w:customStyle="1" w:styleId="87">
    <w:name w:val="正文文本 2 字符"/>
    <w:basedOn w:val="47"/>
    <w:link w:val="40"/>
    <w:autoRedefine/>
    <w:semiHidden/>
    <w:qFormat/>
    <w:locked/>
    <w:uiPriority w:val="99"/>
    <w:rPr>
      <w:rFonts w:cs="Times New Roman"/>
      <w:sz w:val="21"/>
      <w:szCs w:val="21"/>
    </w:rPr>
  </w:style>
  <w:style w:type="character" w:customStyle="1" w:styleId="88">
    <w:name w:val="标题 字符"/>
    <w:basedOn w:val="47"/>
    <w:link w:val="42"/>
    <w:autoRedefine/>
    <w:qFormat/>
    <w:locked/>
    <w:uiPriority w:val="99"/>
    <w:rPr>
      <w:rFonts w:ascii="Cambria" w:hAnsi="Cambria" w:cs="Cambria"/>
      <w:b/>
      <w:bCs/>
      <w:kern w:val="2"/>
      <w:sz w:val="32"/>
      <w:szCs w:val="32"/>
    </w:rPr>
  </w:style>
  <w:style w:type="character" w:customStyle="1" w:styleId="89">
    <w:name w:val="批注主题 字符"/>
    <w:basedOn w:val="74"/>
    <w:link w:val="43"/>
    <w:autoRedefine/>
    <w:qFormat/>
    <w:locked/>
    <w:uiPriority w:val="99"/>
    <w:rPr>
      <w:rFonts w:ascii="宋体" w:cs="宋体"/>
      <w:b/>
      <w:bCs/>
      <w:kern w:val="2"/>
      <w:sz w:val="28"/>
      <w:szCs w:val="28"/>
    </w:rPr>
  </w:style>
  <w:style w:type="character" w:customStyle="1" w:styleId="90">
    <w:name w:val="正文文本首行缩进 2 字符"/>
    <w:basedOn w:val="77"/>
    <w:link w:val="44"/>
    <w:autoRedefine/>
    <w:semiHidden/>
    <w:qFormat/>
    <w:locked/>
    <w:uiPriority w:val="99"/>
    <w:rPr>
      <w:rFonts w:cs="Times New Roman"/>
      <w:sz w:val="21"/>
      <w:szCs w:val="21"/>
    </w:rPr>
  </w:style>
  <w:style w:type="character" w:customStyle="1" w:styleId="91">
    <w:name w:val="批注文字 Char Char"/>
    <w:autoRedefine/>
    <w:qFormat/>
    <w:uiPriority w:val="99"/>
    <w:rPr>
      <w:rFonts w:ascii="宋体" w:hAnsi="Times New Roman" w:eastAsia="宋体"/>
      <w:sz w:val="20"/>
    </w:rPr>
  </w:style>
  <w:style w:type="character" w:customStyle="1" w:styleId="92">
    <w:name w:val="标题 1 Char Char"/>
    <w:autoRedefine/>
    <w:qFormat/>
    <w:locked/>
    <w:uiPriority w:val="99"/>
    <w:rPr>
      <w:rFonts w:eastAsia="宋体"/>
      <w:b/>
      <w:kern w:val="44"/>
      <w:sz w:val="44"/>
      <w:lang w:val="en-US" w:eastAsia="zh-CN"/>
    </w:rPr>
  </w:style>
  <w:style w:type="character" w:customStyle="1" w:styleId="93">
    <w:name w:val="Char Char"/>
    <w:autoRedefine/>
    <w:qFormat/>
    <w:uiPriority w:val="99"/>
    <w:rPr>
      <w:rFonts w:ascii="Arial" w:hAnsi="Arial" w:eastAsia="黑体"/>
      <w:b/>
      <w:kern w:val="2"/>
      <w:sz w:val="32"/>
      <w:lang w:val="en-US" w:eastAsia="zh-CN"/>
    </w:rPr>
  </w:style>
  <w:style w:type="character" w:customStyle="1" w:styleId="94">
    <w:name w:val="明显参考1"/>
    <w:autoRedefine/>
    <w:qFormat/>
    <w:uiPriority w:val="99"/>
    <w:rPr>
      <w:b/>
      <w:smallCaps/>
      <w:color w:val="auto"/>
      <w:spacing w:val="5"/>
      <w:u w:val="single"/>
    </w:rPr>
  </w:style>
  <w:style w:type="character" w:customStyle="1" w:styleId="95">
    <w:name w:val="明显强调1"/>
    <w:autoRedefine/>
    <w:qFormat/>
    <w:uiPriority w:val="99"/>
    <w:rPr>
      <w:b/>
      <w:i/>
      <w:color w:val="4F81BD"/>
    </w:rPr>
  </w:style>
  <w:style w:type="character" w:customStyle="1" w:styleId="96">
    <w:name w:val="文档结构图 Char1"/>
    <w:autoRedefine/>
    <w:qFormat/>
    <w:uiPriority w:val="99"/>
    <w:rPr>
      <w:rFonts w:ascii="宋体"/>
      <w:kern w:val="2"/>
      <w:sz w:val="18"/>
    </w:rPr>
  </w:style>
  <w:style w:type="character" w:customStyle="1" w:styleId="97">
    <w:name w:val="日期 Char"/>
    <w:autoRedefine/>
    <w:qFormat/>
    <w:uiPriority w:val="99"/>
    <w:rPr>
      <w:rFonts w:ascii="仿宋_GB2312" w:eastAsia="仿宋_GB2312"/>
      <w:kern w:val="2"/>
      <w:sz w:val="30"/>
      <w:lang w:val="en-US" w:eastAsia="zh-CN"/>
    </w:rPr>
  </w:style>
  <w:style w:type="character" w:customStyle="1" w:styleId="98">
    <w:name w:val="textcontents"/>
    <w:autoRedefine/>
    <w:qFormat/>
    <w:uiPriority w:val="99"/>
  </w:style>
  <w:style w:type="character" w:customStyle="1" w:styleId="99">
    <w:name w:val="引用 Char"/>
    <w:link w:val="100"/>
    <w:autoRedefine/>
    <w:qFormat/>
    <w:locked/>
    <w:uiPriority w:val="99"/>
    <w:rPr>
      <w:i/>
      <w:color w:val="000000"/>
      <w:kern w:val="2"/>
      <w:sz w:val="22"/>
    </w:rPr>
  </w:style>
  <w:style w:type="paragraph" w:customStyle="1" w:styleId="100">
    <w:name w:val="引用1"/>
    <w:basedOn w:val="1"/>
    <w:next w:val="1"/>
    <w:link w:val="99"/>
    <w:autoRedefine/>
    <w:qFormat/>
    <w:uiPriority w:val="99"/>
    <w:rPr>
      <w:i/>
      <w:color w:val="000000"/>
      <w:sz w:val="22"/>
      <w:szCs w:val="20"/>
    </w:rPr>
  </w:style>
  <w:style w:type="character" w:customStyle="1" w:styleId="101">
    <w:name w:val="日期 Char1"/>
    <w:autoRedefine/>
    <w:qFormat/>
    <w:uiPriority w:val="99"/>
    <w:rPr>
      <w:kern w:val="2"/>
      <w:sz w:val="22"/>
    </w:rPr>
  </w:style>
  <w:style w:type="character" w:customStyle="1" w:styleId="102">
    <w:name w:val="不明显参考1"/>
    <w:autoRedefine/>
    <w:qFormat/>
    <w:uiPriority w:val="99"/>
    <w:rPr>
      <w:smallCaps/>
      <w:color w:val="auto"/>
      <w:u w:val="single"/>
    </w:rPr>
  </w:style>
  <w:style w:type="character" w:customStyle="1" w:styleId="103">
    <w:name w:val="批注框文本 Char1"/>
    <w:autoRedefine/>
    <w:qFormat/>
    <w:uiPriority w:val="99"/>
    <w:rPr>
      <w:kern w:val="2"/>
      <w:sz w:val="18"/>
    </w:rPr>
  </w:style>
  <w:style w:type="character" w:customStyle="1" w:styleId="104">
    <w:name w:val="不明显强调1"/>
    <w:autoRedefine/>
    <w:qFormat/>
    <w:uiPriority w:val="99"/>
    <w:rPr>
      <w:i/>
      <w:color w:val="808080"/>
    </w:rPr>
  </w:style>
  <w:style w:type="character" w:customStyle="1" w:styleId="105">
    <w:name w:val="标题4 Char Char"/>
    <w:link w:val="106"/>
    <w:autoRedefine/>
    <w:qFormat/>
    <w:locked/>
    <w:uiPriority w:val="99"/>
    <w:rPr>
      <w:rFonts w:ascii="Arial" w:hAnsi="Arial"/>
      <w:b/>
      <w:sz w:val="32"/>
    </w:rPr>
  </w:style>
  <w:style w:type="paragraph" w:customStyle="1" w:styleId="106">
    <w:name w:val="标题4"/>
    <w:basedOn w:val="3"/>
    <w:next w:val="20"/>
    <w:link w:val="105"/>
    <w:autoRedefine/>
    <w:qFormat/>
    <w:uiPriority w:val="99"/>
    <w:pPr>
      <w:spacing w:line="413" w:lineRule="auto"/>
    </w:pPr>
    <w:rPr>
      <w:rFonts w:eastAsia="宋体" w:cs="Times New Roman"/>
      <w:bCs w:val="0"/>
      <w:kern w:val="0"/>
      <w:szCs w:val="20"/>
    </w:rPr>
  </w:style>
  <w:style w:type="character" w:customStyle="1" w:styleId="107">
    <w:name w:val="书籍标题1"/>
    <w:autoRedefine/>
    <w:qFormat/>
    <w:uiPriority w:val="99"/>
    <w:rPr>
      <w:b/>
      <w:smallCaps/>
      <w:spacing w:val="5"/>
    </w:rPr>
  </w:style>
  <w:style w:type="character" w:customStyle="1" w:styleId="108">
    <w:name w:val="bigfont"/>
    <w:basedOn w:val="47"/>
    <w:autoRedefine/>
    <w:qFormat/>
    <w:uiPriority w:val="99"/>
    <w:rPr>
      <w:rFonts w:cs="Times New Roman"/>
    </w:rPr>
  </w:style>
  <w:style w:type="character" w:customStyle="1" w:styleId="109">
    <w:name w:val="news_title1"/>
    <w:autoRedefine/>
    <w:qFormat/>
    <w:uiPriority w:val="99"/>
    <w:rPr>
      <w:rFonts w:ascii="宋体" w:hAnsi="宋体" w:eastAsia="宋体"/>
      <w:b/>
      <w:color w:val="000000"/>
      <w:sz w:val="36"/>
      <w:u w:val="none"/>
    </w:rPr>
  </w:style>
  <w:style w:type="character" w:customStyle="1" w:styleId="110">
    <w:name w:val="标题5 Char Char"/>
    <w:link w:val="111"/>
    <w:autoRedefine/>
    <w:qFormat/>
    <w:locked/>
    <w:uiPriority w:val="99"/>
    <w:rPr>
      <w:rFonts w:ascii="Arial" w:hAnsi="Arial"/>
      <w:b/>
      <w:sz w:val="32"/>
    </w:rPr>
  </w:style>
  <w:style w:type="paragraph" w:customStyle="1" w:styleId="111">
    <w:name w:val="标题5"/>
    <w:basedOn w:val="4"/>
    <w:link w:val="110"/>
    <w:autoRedefine/>
    <w:qFormat/>
    <w:uiPriority w:val="99"/>
    <w:pPr>
      <w:spacing w:line="413" w:lineRule="auto"/>
    </w:pPr>
    <w:rPr>
      <w:rFonts w:ascii="Arial" w:hAnsi="Arial"/>
      <w:bCs w:val="0"/>
      <w:kern w:val="0"/>
      <w:szCs w:val="20"/>
    </w:rPr>
  </w:style>
  <w:style w:type="character" w:customStyle="1" w:styleId="112">
    <w:name w:val="font161"/>
    <w:autoRedefine/>
    <w:qFormat/>
    <w:uiPriority w:val="99"/>
    <w:rPr>
      <w:b/>
      <w:sz w:val="32"/>
    </w:rPr>
  </w:style>
  <w:style w:type="character" w:customStyle="1" w:styleId="113">
    <w:name w:val="标题 2 Char Char"/>
    <w:autoRedefine/>
    <w:qFormat/>
    <w:locked/>
    <w:uiPriority w:val="99"/>
    <w:rPr>
      <w:rFonts w:ascii="Arial" w:hAnsi="Arial" w:eastAsia="黑体"/>
      <w:b/>
      <w:kern w:val="2"/>
      <w:sz w:val="32"/>
      <w:lang w:val="en-US" w:eastAsia="zh-CN"/>
    </w:rPr>
  </w:style>
  <w:style w:type="character" w:customStyle="1" w:styleId="114">
    <w:name w:val="Char Char1"/>
    <w:autoRedefine/>
    <w:qFormat/>
    <w:uiPriority w:val="99"/>
    <w:rPr>
      <w:rFonts w:ascii="宋体" w:hAnsi="Times New Roman"/>
      <w:sz w:val="28"/>
    </w:rPr>
  </w:style>
  <w:style w:type="character" w:customStyle="1" w:styleId="115">
    <w:name w:val="明显引用 Char"/>
    <w:link w:val="116"/>
    <w:autoRedefine/>
    <w:qFormat/>
    <w:locked/>
    <w:uiPriority w:val="99"/>
    <w:rPr>
      <w:b/>
      <w:i/>
      <w:color w:val="4F81BD"/>
      <w:kern w:val="2"/>
      <w:sz w:val="22"/>
    </w:rPr>
  </w:style>
  <w:style w:type="paragraph" w:customStyle="1" w:styleId="116">
    <w:name w:val="明显引用1"/>
    <w:basedOn w:val="1"/>
    <w:next w:val="1"/>
    <w:link w:val="115"/>
    <w:autoRedefine/>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autoRedefine/>
    <w:qFormat/>
    <w:uiPriority w:val="99"/>
    <w:rPr>
      <w:b/>
      <w:kern w:val="2"/>
      <w:sz w:val="22"/>
    </w:rPr>
  </w:style>
  <w:style w:type="character" w:customStyle="1" w:styleId="118">
    <w:name w:val="正文文本 Char1"/>
    <w:autoRedefine/>
    <w:qFormat/>
    <w:uiPriority w:val="99"/>
    <w:rPr>
      <w:kern w:val="2"/>
      <w:sz w:val="22"/>
    </w:rPr>
  </w:style>
  <w:style w:type="paragraph" w:customStyle="1" w:styleId="119">
    <w:name w:val="默认段落字体 Para Char Char Char Char"/>
    <w:basedOn w:val="1"/>
    <w:autoRedefine/>
    <w:qFormat/>
    <w:uiPriority w:val="99"/>
  </w:style>
  <w:style w:type="paragraph" w:customStyle="1" w:styleId="120">
    <w:name w:val="Char Char Char Char Char Char Char Char Char Char Char Char Char"/>
    <w:basedOn w:val="1"/>
    <w:autoRedefine/>
    <w:qFormat/>
    <w:uiPriority w:val="99"/>
  </w:style>
  <w:style w:type="paragraph" w:customStyle="1" w:styleId="121">
    <w:name w:val="样式 标题 3 + (中文) 黑体 小四 非加粗 段前: 7.8 磅 段后: 0 磅 行距: 固定值 20 磅"/>
    <w:basedOn w:val="4"/>
    <w:autoRedefine/>
    <w:qFormat/>
    <w:uiPriority w:val="99"/>
    <w:pPr>
      <w:spacing w:before="0" w:after="0" w:line="400" w:lineRule="exact"/>
    </w:pPr>
    <w:rPr>
      <w:rFonts w:eastAsia="黑体"/>
      <w:b w:val="0"/>
      <w:bCs w:val="0"/>
      <w:sz w:val="24"/>
      <w:szCs w:val="24"/>
    </w:rPr>
  </w:style>
  <w:style w:type="paragraph" w:customStyle="1" w:styleId="122">
    <w:name w:val="表格文字"/>
    <w:basedOn w:val="1"/>
    <w:autoRedefine/>
    <w:qFormat/>
    <w:uiPriority w:val="99"/>
    <w:pPr>
      <w:adjustRightInd w:val="0"/>
      <w:spacing w:line="420" w:lineRule="atLeast"/>
      <w:jc w:val="left"/>
      <w:textAlignment w:val="baseline"/>
    </w:pPr>
    <w:rPr>
      <w:kern w:val="0"/>
    </w:rPr>
  </w:style>
  <w:style w:type="paragraph" w:customStyle="1" w:styleId="123">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autoRedefine/>
    <w:qFormat/>
    <w:uiPriority w:val="99"/>
    <w:pPr>
      <w:widowControl/>
      <w:spacing w:line="360" w:lineRule="auto"/>
      <w:jc w:val="left"/>
    </w:pPr>
    <w:rPr>
      <w:kern w:val="0"/>
      <w:lang w:eastAsia="en-US"/>
    </w:rPr>
  </w:style>
  <w:style w:type="paragraph" w:customStyle="1" w:styleId="125">
    <w:name w:val="样式2"/>
    <w:basedOn w:val="4"/>
    <w:autoRedefine/>
    <w:qFormat/>
    <w:uiPriority w:val="99"/>
    <w:pPr>
      <w:spacing w:line="413" w:lineRule="auto"/>
    </w:pPr>
  </w:style>
  <w:style w:type="paragraph" w:customStyle="1" w:styleId="126">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autoRedefine/>
    <w:qFormat/>
    <w:uiPriority w:val="99"/>
    <w:pPr>
      <w:jc w:val="center"/>
      <w:textAlignment w:val="center"/>
    </w:pPr>
    <w:rPr>
      <w:rFonts w:ascii="华文细黑" w:hAnsi="华文细黑" w:cs="华文细黑"/>
      <w:kern w:val="0"/>
    </w:rPr>
  </w:style>
  <w:style w:type="paragraph" w:customStyle="1" w:styleId="128">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autoRedefine/>
    <w:qFormat/>
    <w:uiPriority w:val="99"/>
  </w:style>
  <w:style w:type="paragraph" w:customStyle="1" w:styleId="130">
    <w:name w:val="样式1"/>
    <w:basedOn w:val="4"/>
    <w:autoRedefine/>
    <w:qFormat/>
    <w:uiPriority w:val="99"/>
    <w:pPr>
      <w:spacing w:line="413" w:lineRule="auto"/>
    </w:pPr>
  </w:style>
  <w:style w:type="paragraph" w:customStyle="1" w:styleId="131">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autoRedefine/>
    <w:qFormat/>
    <w:uiPriority w:val="99"/>
    <w:pPr>
      <w:spacing w:line="413" w:lineRule="auto"/>
    </w:pPr>
  </w:style>
  <w:style w:type="paragraph" w:customStyle="1" w:styleId="134">
    <w:name w:val="TOC 标题1"/>
    <w:basedOn w:val="2"/>
    <w:next w:val="1"/>
    <w:autoRedefine/>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autoRedefine/>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3"/>
    <w:autoRedefine/>
    <w:qFormat/>
    <w:uiPriority w:val="99"/>
    <w:rPr>
      <w:rFonts w:ascii="Tahoma" w:hAnsi="Tahoma" w:cs="Tahoma"/>
      <w:sz w:val="24"/>
      <w:szCs w:val="24"/>
      <w:shd w:val="clear" w:color="auto" w:fill="auto"/>
    </w:rPr>
  </w:style>
  <w:style w:type="paragraph" w:customStyle="1" w:styleId="138">
    <w:name w:val="列出段落1"/>
    <w:basedOn w:val="1"/>
    <w:autoRedefine/>
    <w:qFormat/>
    <w:uiPriority w:val="99"/>
    <w:pPr>
      <w:ind w:firstLine="420" w:firstLineChars="200"/>
    </w:pPr>
    <w:rPr>
      <w:rFonts w:ascii="Calibri" w:hAnsi="Calibri" w:cs="Calibri"/>
    </w:rPr>
  </w:style>
  <w:style w:type="paragraph" w:customStyle="1" w:styleId="139">
    <w:name w:val="Char1"/>
    <w:basedOn w:val="1"/>
    <w:autoRedefine/>
    <w:qFormat/>
    <w:uiPriority w:val="99"/>
    <w:rPr>
      <w:rFonts w:ascii="Tahoma" w:hAnsi="Tahoma" w:cs="Tahoma"/>
      <w:sz w:val="24"/>
      <w:szCs w:val="24"/>
    </w:rPr>
  </w:style>
  <w:style w:type="paragraph" w:customStyle="1" w:styleId="14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autoRedefine/>
    <w:qFormat/>
    <w:uiPriority w:val="99"/>
    <w:pPr>
      <w:spacing w:line="413" w:lineRule="auto"/>
    </w:pPr>
  </w:style>
  <w:style w:type="paragraph" w:customStyle="1" w:styleId="142">
    <w:name w:val="正文1"/>
    <w:autoRedefine/>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列出段落2"/>
    <w:basedOn w:val="1"/>
    <w:autoRedefine/>
    <w:qFormat/>
    <w:uiPriority w:val="99"/>
    <w:pPr>
      <w:ind w:firstLine="200" w:firstLineChars="200"/>
    </w:pPr>
  </w:style>
  <w:style w:type="paragraph" w:customStyle="1" w:styleId="144">
    <w:name w:val="p0"/>
    <w:basedOn w:val="1"/>
    <w:autoRedefine/>
    <w:qFormat/>
    <w:uiPriority w:val="99"/>
    <w:pPr>
      <w:widowControl/>
    </w:pPr>
    <w:rPr>
      <w:kern w:val="0"/>
    </w:rPr>
  </w:style>
  <w:style w:type="paragraph" w:customStyle="1" w:styleId="145">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autoRedefine/>
    <w:qFormat/>
    <w:uiPriority w:val="99"/>
    <w:rPr>
      <w:rFonts w:ascii="Times New Roman" w:hAnsi="Times New Roman" w:eastAsia="宋体" w:cs="Times New Roman"/>
      <w:lang w:val="en-US" w:eastAsia="zh-CN" w:bidi="ar-SA"/>
    </w:rPr>
  </w:style>
  <w:style w:type="paragraph" w:customStyle="1" w:styleId="147">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48">
    <w:name w:val="WPSOffice手动目录 3"/>
    <w:autoRedefine/>
    <w:qFormat/>
    <w:uiPriority w:val="99"/>
    <w:pPr>
      <w:ind w:left="400" w:leftChars="400"/>
    </w:pPr>
    <w:rPr>
      <w:rFonts w:ascii="Times New Roman" w:hAnsi="Times New Roman" w:eastAsia="宋体" w:cs="Times New Roman"/>
      <w:lang w:val="en-US" w:eastAsia="zh-CN" w:bidi="ar-SA"/>
    </w:rPr>
  </w:style>
  <w:style w:type="character" w:customStyle="1" w:styleId="149">
    <w:name w:val="c-icon26"/>
    <w:basedOn w:val="47"/>
    <w:autoRedefine/>
    <w:qFormat/>
    <w:uiPriority w:val="0"/>
  </w:style>
  <w:style w:type="character" w:customStyle="1" w:styleId="150">
    <w:name w:val="hover28"/>
    <w:basedOn w:val="47"/>
    <w:autoRedefine/>
    <w:qFormat/>
    <w:uiPriority w:val="0"/>
  </w:style>
  <w:style w:type="character" w:customStyle="1" w:styleId="151">
    <w:name w:val="hover29"/>
    <w:basedOn w:val="47"/>
    <w:autoRedefine/>
    <w:qFormat/>
    <w:uiPriority w:val="0"/>
    <w:rPr>
      <w:color w:val="315EFB"/>
    </w:rPr>
  </w:style>
  <w:style w:type="character" w:customStyle="1" w:styleId="152">
    <w:name w:val="hover30"/>
    <w:basedOn w:val="47"/>
    <w:autoRedefine/>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6837</Words>
  <Characters>7444</Characters>
  <Lines>1</Lines>
  <Paragraphs>1</Paragraphs>
  <TotalTime>5</TotalTime>
  <ScaleCrop>false</ScaleCrop>
  <LinksUpToDate>false</LinksUpToDate>
  <CharactersWithSpaces>7694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陈倩倩</cp:lastModifiedBy>
  <cp:lastPrinted>2024-11-13T06:32:00Z</cp:lastPrinted>
  <dcterms:modified xsi:type="dcterms:W3CDTF">2024-12-20T08:06:19Z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0C818D00D3B647ABAB376C1583D28D22_13</vt:lpwstr>
  </property>
</Properties>
</file>