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bookmarkStart w:id="113" w:name="_GoBack"/>
      <w:bookmarkEnd w:id="113"/>
    </w:p>
    <w:p>
      <w:pPr>
        <w:pStyle w:val="2"/>
        <w:ind w:left="0" w:leftChars="0" w:firstLine="0" w:firstLineChars="0"/>
        <w:jc w:val="center"/>
        <w:rPr>
          <w:rFonts w:hint="default"/>
          <w:color w:val="auto"/>
          <w:sz w:val="24"/>
          <w:szCs w:val="24"/>
          <w:highlight w:val="none"/>
          <w:lang w:val="en-US" w:eastAsia="zh-CN"/>
        </w:rPr>
      </w:pPr>
      <w:r>
        <w:rPr>
          <w:rFonts w:hint="eastAsia" w:cs="宋体"/>
          <w:b/>
          <w:bCs w:val="0"/>
          <w:color w:val="auto"/>
          <w:kern w:val="0"/>
          <w:sz w:val="56"/>
          <w:szCs w:val="36"/>
          <w:highlight w:val="none"/>
          <w:u w:color="000000"/>
          <w:lang w:val="en-US" w:eastAsia="zh-CN" w:bidi="ar"/>
        </w:rPr>
        <w:t>滁州市兴全矿业投资有限公司挖掘机零件采购供应服务单位招标项目</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32"/>
          <w:szCs w:val="32"/>
          <w:highlight w:val="none"/>
          <w:lang w:val="en-US"/>
        </w:rPr>
      </w:pPr>
      <w:r>
        <w:rPr>
          <w:rFonts w:hint="eastAsia" w:ascii="宋体" w:hAnsi="宋体" w:eastAsia="宋体" w:cs="宋体"/>
          <w:b/>
          <w:bCs w:val="0"/>
          <w:color w:val="auto"/>
          <w:kern w:val="0"/>
          <w:sz w:val="96"/>
          <w:szCs w:val="96"/>
          <w:highlight w:val="none"/>
          <w:u w:color="000000"/>
          <w:lang w:val="en-US" w:eastAsia="zh-CN" w:bidi="ar"/>
        </w:rPr>
        <w:t>招 标 文 件</w:t>
      </w:r>
    </w:p>
    <w:p>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 xml:space="preserve">项目编号：HXJY1110001040613001001 </w:t>
      </w:r>
    </w:p>
    <w:p>
      <w:pPr>
        <w:pStyle w:val="6"/>
        <w:widowControl/>
        <w:rPr>
          <w:color w:val="auto"/>
          <w:highlight w:val="none"/>
          <w:lang w:val="en-US"/>
        </w:rPr>
      </w:pPr>
    </w:p>
    <w:p>
      <w:pPr>
        <w:pStyle w:val="6"/>
        <w:widowControl/>
        <w:rPr>
          <w:color w:val="auto"/>
          <w:highlight w:val="none"/>
          <w:lang w:val="en-US"/>
        </w:rPr>
      </w:pPr>
      <w:r>
        <w:rPr>
          <w:color w:val="auto"/>
          <w:highlight w:val="none"/>
          <w:lang w:val="en-US"/>
        </w:rPr>
        <w:t xml:space="preserve"> </w:t>
      </w:r>
    </w:p>
    <w:p>
      <w:pPr>
        <w:pStyle w:val="6"/>
        <w:widowControl/>
        <w:rPr>
          <w:color w:val="auto"/>
          <w:highlight w:val="none"/>
          <w:lang w:val="en-US"/>
        </w:rPr>
      </w:pPr>
      <w:r>
        <w:rPr>
          <w:color w:val="auto"/>
          <w:highlight w:val="none"/>
          <w:lang w:val="en-US"/>
        </w:rPr>
        <w:t xml:space="preserve">  </w:t>
      </w:r>
    </w:p>
    <w:p>
      <w:pPr>
        <w:pStyle w:val="6"/>
        <w:widowControl/>
        <w:rPr>
          <w:color w:val="auto"/>
          <w:highlight w:val="none"/>
          <w:lang w:val="en-US"/>
        </w:rPr>
      </w:pPr>
      <w:r>
        <w:rPr>
          <w:color w:val="auto"/>
          <w:highlight w:val="none"/>
          <w:lang w:val="en-US"/>
        </w:rPr>
        <w:t xml:space="preserve"> </w:t>
      </w:r>
    </w:p>
    <w:p>
      <w:pPr>
        <w:rPr>
          <w:rFonts w:hint="eastAsia" w:eastAsiaTheme="minorEastAsia"/>
          <w:color w:val="auto"/>
          <w:highlight w:val="none"/>
          <w:lang w:val="en-US" w:eastAsia="zh-CN"/>
        </w:rPr>
      </w:pPr>
    </w:p>
    <w:p>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滁州市兴全矿业投资有限公司      </w:t>
      </w:r>
      <w:r>
        <w:rPr>
          <w:rFonts w:hint="eastAsia" w:ascii="宋体" w:hAnsi="宋体"/>
          <w:b/>
          <w:color w:val="auto"/>
          <w:sz w:val="32"/>
          <w:highlight w:val="none"/>
          <w:u w:val="thick"/>
        </w:rPr>
        <w:t xml:space="preserve"> </w:t>
      </w:r>
    </w:p>
    <w:p>
      <w:pPr>
        <w:adjustRightInd w:val="0"/>
        <w:snapToGrid w:val="0"/>
        <w:ind w:firstLine="302" w:firstLineChars="94"/>
        <w:rPr>
          <w:rFonts w:hint="eastAsia" w:ascii="宋体" w:hAnsi="宋体"/>
          <w:b/>
          <w:color w:val="auto"/>
          <w:sz w:val="32"/>
          <w:highlight w:val="none"/>
          <w:u w:val="thick"/>
        </w:rPr>
      </w:pPr>
    </w:p>
    <w:p>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pPr>
        <w:adjustRightInd w:val="0"/>
        <w:snapToGrid w:val="0"/>
        <w:rPr>
          <w:rFonts w:hint="eastAsia" w:ascii="宋体" w:hAnsi="宋体"/>
          <w:color w:val="auto"/>
          <w:spacing w:val="20"/>
          <w:sz w:val="32"/>
          <w:highlight w:val="none"/>
          <w:u w:val="single"/>
        </w:rPr>
      </w:pPr>
    </w:p>
    <w:p>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202</w:t>
      </w:r>
      <w:r>
        <w:rPr>
          <w:rFonts w:hint="eastAsia" w:ascii="宋体" w:hAnsi="宋体"/>
          <w:b/>
          <w:color w:val="auto"/>
          <w:sz w:val="32"/>
          <w:highlight w:val="none"/>
          <w:u w:val="thick"/>
          <w:lang w:val="en-US" w:eastAsia="zh-CN"/>
        </w:rPr>
        <w:t>5</w:t>
      </w:r>
      <w:r>
        <w:rPr>
          <w:rFonts w:hint="eastAsia" w:ascii="宋体" w:hAnsi="宋体"/>
          <w:b/>
          <w:color w:val="auto"/>
          <w:sz w:val="32"/>
          <w:highlight w:val="none"/>
          <w:u w:val="thick"/>
        </w:rPr>
        <w:t>年</w:t>
      </w:r>
      <w:r>
        <w:rPr>
          <w:rFonts w:hint="eastAsia" w:ascii="宋体" w:hAnsi="宋体"/>
          <w:b/>
          <w:color w:val="auto"/>
          <w:sz w:val="32"/>
          <w:highlight w:val="none"/>
          <w:u w:val="thick"/>
          <w:lang w:val="en-US" w:eastAsia="zh-CN"/>
        </w:rPr>
        <w:t>8</w:t>
      </w:r>
      <w:r>
        <w:rPr>
          <w:rFonts w:hint="eastAsia" w:ascii="宋体" w:hAnsi="宋体"/>
          <w:b/>
          <w:color w:val="auto"/>
          <w:sz w:val="32"/>
          <w:highlight w:val="none"/>
          <w:u w:val="thick"/>
        </w:rPr>
        <w:t>月</w:t>
      </w:r>
      <w:r>
        <w:rPr>
          <w:rFonts w:hint="eastAsia" w:ascii="宋体" w:hAnsi="宋体"/>
          <w:b/>
          <w:color w:val="auto"/>
          <w:sz w:val="32"/>
          <w:highlight w:val="none"/>
          <w:u w:val="thick"/>
          <w:lang w:val="en-US" w:eastAsia="zh-CN"/>
        </w:rPr>
        <w:t>5日</w:t>
      </w:r>
      <w:r>
        <w:rPr>
          <w:rFonts w:hint="eastAsia" w:ascii="宋体" w:hAnsi="宋体"/>
          <w:b/>
          <w:color w:val="auto"/>
          <w:sz w:val="32"/>
          <w:highlight w:val="none"/>
          <w:u w:val="thick"/>
        </w:rPr>
        <w:t xml:space="preserve">            </w:t>
      </w:r>
    </w:p>
    <w:p>
      <w:pPr>
        <w:pStyle w:val="2"/>
        <w:widowControl/>
        <w:spacing w:before="0" w:beforeAutospacing="0" w:after="120" w:afterAutospacing="0"/>
        <w:ind w:leftChars="200" w:right="0"/>
        <w:rPr>
          <w:color w:val="auto"/>
          <w:highlight w:val="none"/>
          <w:lang w:val="en-US"/>
        </w:rPr>
      </w:pPr>
      <w:r>
        <w:rPr>
          <w:color w:val="auto"/>
          <w:highlight w:val="none"/>
          <w:lang w:val="en-US"/>
        </w:rPr>
        <w:t xml:space="preserve"> </w:t>
      </w:r>
    </w:p>
    <w:p>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pPr>
        <w:jc w:val="center"/>
        <w:rPr>
          <w:rFonts w:hint="eastAsia" w:ascii="宋体" w:hAnsi="宋体" w:eastAsia="宋体" w:cs="宋体"/>
          <w:b/>
          <w:bCs w:val="0"/>
          <w:color w:val="auto"/>
          <w:kern w:val="0"/>
          <w:sz w:val="36"/>
          <w:szCs w:val="36"/>
          <w:highlight w:val="none"/>
          <w:u w:color="000000"/>
          <w:lang w:val="en-US" w:eastAsia="zh-CN" w:bidi="ar"/>
        </w:rPr>
        <w:sectPr>
          <w:pgSz w:w="11906" w:h="16838"/>
          <w:pgMar w:top="1440" w:right="1800" w:bottom="1440" w:left="1800" w:header="851" w:footer="992" w:gutter="0"/>
          <w:pgNumType w:fmt="decimal" w:start="1"/>
          <w:cols w:space="425" w:num="1"/>
          <w:docGrid w:type="lines" w:linePitch="312" w:charSpace="0"/>
        </w:sectPr>
      </w:pPr>
    </w:p>
    <w:p>
      <w:pPr>
        <w:pStyle w:val="2"/>
        <w:rPr>
          <w:rFonts w:hint="eastAsia"/>
          <w:color w:val="auto"/>
          <w:highlight w:val="none"/>
          <w:lang w:val="en-US" w:eastAsia="zh-CN"/>
        </w:rPr>
      </w:pPr>
    </w:p>
    <w:p>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第一章  招标公告</w:t>
      </w:r>
      <w:bookmarkStart w:id="0" w:name="OLE_LINK4"/>
      <w:r>
        <w:rPr>
          <w:rFonts w:hint="eastAsia" w:ascii="宋体" w:hAnsi="宋体" w:eastAsia="宋体" w:cs="宋体"/>
          <w:color w:val="auto"/>
          <w:kern w:val="0"/>
          <w:sz w:val="24"/>
          <w:szCs w:val="24"/>
          <w:highlight w:val="none"/>
          <w:u w:color="000000"/>
          <w:lang w:val="en-US" w:eastAsia="zh-CN" w:bidi="ar"/>
        </w:rPr>
        <w:t xml:space="preserve"> …………………………………………………………………</w:t>
      </w:r>
      <w:bookmarkEnd w:id="0"/>
      <w:r>
        <w:rPr>
          <w:rFonts w:hint="eastAsia" w:ascii="宋体" w:hAnsi="宋体" w:eastAsia="宋体" w:cs="宋体"/>
          <w:color w:val="auto"/>
          <w:kern w:val="0"/>
          <w:sz w:val="24"/>
          <w:szCs w:val="24"/>
          <w:highlight w:val="none"/>
          <w:u w:color="000000"/>
          <w:lang w:val="en-US" w:eastAsia="zh-CN" w:bidi="ar"/>
        </w:rPr>
        <w:t>1</w:t>
      </w:r>
    </w:p>
    <w:p>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第二章  投标人须知 ………………………………………………………………3</w:t>
      </w:r>
    </w:p>
    <w:p>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第三章  资格审查办法  …………………………………………………………16</w:t>
      </w:r>
    </w:p>
    <w:p>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第四章  评标办法…………………………………………………………………17</w:t>
      </w:r>
    </w:p>
    <w:p>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第五章  采购需求…………………………………………………………………21</w:t>
      </w:r>
    </w:p>
    <w:p>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第六章  合同条款及格式…………………………………………………………25</w:t>
      </w:r>
    </w:p>
    <w:p>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第七章  投标文件格式……………………………………………………………31</w:t>
      </w:r>
    </w:p>
    <w:p>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第八章  招标人、招标代理机构对本招标文件的确认…………………………40</w:t>
      </w:r>
    </w:p>
    <w:p>
      <w:pPr>
        <w:rPr>
          <w:rFonts w:hint="eastAsia" w:ascii="宋体" w:hAnsi="宋体" w:eastAsia="宋体" w:cs="宋体"/>
          <w:color w:val="auto"/>
          <w:sz w:val="24"/>
          <w:szCs w:val="24"/>
          <w:highlight w:val="none"/>
          <w:lang w:val="en-US" w:eastAsia="zh-CN" w:bidi="ar"/>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6"/>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color w:val="auto"/>
          <w:highlight w:val="none"/>
          <w:lang w:val="en-US"/>
        </w:rPr>
      </w:pPr>
      <w:bookmarkStart w:id="1" w:name="_Toc29214"/>
      <w:bookmarkEnd w:id="1"/>
      <w:bookmarkStart w:id="2" w:name="_Toc23741_WPSOffice_Level1"/>
      <w:bookmarkEnd w:id="2"/>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color w:val="auto"/>
          <w:highlight w:val="none"/>
          <w:lang w:eastAsia="zh-CN"/>
        </w:rPr>
        <w:t>招标公告</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5" w:name="_Toc35393621"/>
      <w:bookmarkEnd w:id="5"/>
      <w:bookmarkStart w:id="6" w:name="_Toc28359079"/>
      <w:bookmarkEnd w:id="6"/>
      <w:bookmarkStart w:id="7" w:name="_Toc28359002"/>
      <w:bookmarkEnd w:id="7"/>
      <w:bookmarkStart w:id="8" w:name="_Toc58430305"/>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滁州市兴全矿业投资有限公司挖掘机零件采购供应服务单位招标项目的潜在投标人应在滁州市城投工程咨询管理有限公司网站（https://www.czctgczx.com/）、滁州市兴滁矿业投资集团有限公司网站（http://www.xckytz.com/index.html）获取招标文件，并于2025年8月11日15时00分（北京时间）前递交投标文件。</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pPr>
        <w:pStyle w:val="2"/>
        <w:ind w:left="0" w:leftChars="0" w:firstLine="0" w:firstLineChars="0"/>
        <w:jc w:val="left"/>
        <w:rPr>
          <w:rFonts w:hint="default" w:ascii="宋体" w:hAnsi="宋体" w:eastAsia="宋体" w:cs="宋体"/>
          <w:color w:val="auto"/>
          <w:kern w:val="0"/>
          <w:sz w:val="24"/>
          <w:szCs w:val="24"/>
          <w:highlight w:val="none"/>
          <w:u w:color="000000"/>
          <w:lang w:val="en-US" w:eastAsia="zh-CN" w:bidi="ar"/>
        </w:rPr>
      </w:pPr>
      <w:r>
        <w:rPr>
          <w:rFonts w:hint="eastAsia" w:ascii="宋体" w:hAnsi="宋体" w:cs="宋体"/>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项目名称：滁州市兴全矿业投资有限公司挖掘机零件采购供应服务单位招标项目</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预算金额：25.35万元</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最高限价：本项目总价最高限价为253500.00元，单价最高限价见《采购需求》，投标人的报价不得高于总价或单价最高限价，否则按无效标处理。</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采购需求：挖掘机零件采购，详见《采购需求》</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期：一年。每季度招标人对中标单位供货服务及产品质量、送货时效量化考核。季度考核80分以下为不合格（满分100分，扣分制），当季不予请款，直至整改合格后方可请款。累计两次考核不合格（80分以下）招标人有权终止合同。</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本项目不接受联合体投标</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二、申请人的资格要求</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1.供应商须为具有相应供货能力的生产厂家或经销商（代理商）。</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2" w:firstLineChars="200"/>
        <w:jc w:val="left"/>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u w:val="single"/>
          <w:lang w:val="en-US"/>
        </w:rPr>
      </w:pPr>
      <w:bookmarkStart w:id="10" w:name="_Toc28359082"/>
      <w:bookmarkEnd w:id="10"/>
      <w:bookmarkStart w:id="11" w:name="_Toc35393793"/>
      <w:bookmarkEnd w:id="11"/>
      <w:bookmarkStart w:id="12" w:name="_Toc28359005"/>
      <w:bookmarkEnd w:id="12"/>
      <w:bookmarkStart w:id="13" w:name="_Toc58430308"/>
      <w:bookmarkEnd w:id="13"/>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2025年8月5日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2025年8月11日</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地点：请于公告发布之日起从滁州市城投工程咨询管理有限公司网站（https://www.czctgczx.com/）下载。</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（2）投标人登录新点电子交易平台【滁州专区】获取招标文件及其它资料（含澄清和补充说明等）。如在招标文件获取过程中遇到系统问题，请拨打技术支持服务热线4009280095或者网站首页在线客服。</w:t>
      </w:r>
    </w:p>
    <w:p>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80" w:lineRule="exact"/>
        <w:ind w:left="540" w:leftChars="0" w:right="0" w:rightChars="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售价：0元</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截止时间：</w:t>
      </w:r>
      <w:r>
        <w:rPr>
          <w:rFonts w:hint="eastAsia" w:ascii="宋体" w:hAnsi="宋体" w:eastAsia="宋体" w:cs="宋体"/>
          <w:bCs/>
          <w:color w:val="auto"/>
          <w:kern w:val="0"/>
          <w:sz w:val="24"/>
          <w:szCs w:val="24"/>
          <w:highlight w:val="none"/>
          <w:u w:val="single" w:color="000000"/>
          <w:lang w:val="en-US" w:eastAsia="zh-CN" w:bidi="ar"/>
        </w:rPr>
        <w:t>2025年8月11日15时00分</w:t>
      </w:r>
      <w:r>
        <w:rPr>
          <w:rFonts w:hint="eastAsia" w:ascii="宋体" w:hAnsi="宋体" w:eastAsia="宋体" w:cs="宋体"/>
          <w:bCs/>
          <w:color w:val="auto"/>
          <w:kern w:val="0"/>
          <w:sz w:val="24"/>
          <w:szCs w:val="24"/>
          <w:highlight w:val="none"/>
          <w:u w:color="000000"/>
          <w:lang w:val="en-US" w:eastAsia="zh-CN" w:bidi="ar"/>
        </w:rPr>
        <w:t>（北京时间）</w:t>
      </w:r>
    </w:p>
    <w:p>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投标文件递交方式：本项目仅接受投标人在投标截止时间前登录新点电子交易平台【滁州专区】（https://www.etrading.cn/BREpointSSO/login/oauth2login?regioncode=DQ_ChuZhou）交易系统递交的加密电子投标文件。</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u w:val="single"/>
          <w:lang w:val="en-US"/>
        </w:rPr>
      </w:pPr>
      <w:r>
        <w:rPr>
          <w:rFonts w:hint="eastAsia" w:ascii="宋体" w:hAnsi="宋体" w:eastAsia="宋体" w:cs="宋体"/>
          <w:bCs/>
          <w:color w:val="auto"/>
          <w:kern w:val="0"/>
          <w:sz w:val="24"/>
          <w:szCs w:val="24"/>
          <w:highlight w:val="none"/>
          <w:u w:color="000000"/>
          <w:lang w:val="en-US" w:eastAsia="zh-CN" w:bidi="ar"/>
        </w:rPr>
        <w:t>1.本项目不要求投标人提交投标保证金。</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1.招标人信息</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bookmarkStart w:id="14" w:name="_Toc28359087"/>
      <w:r>
        <w:rPr>
          <w:rFonts w:hint="eastAsia" w:ascii="宋体" w:hAnsi="宋体" w:eastAsia="宋体" w:cs="宋体"/>
          <w:bCs/>
          <w:color w:val="auto"/>
          <w:kern w:val="0"/>
          <w:sz w:val="24"/>
          <w:szCs w:val="24"/>
          <w:highlight w:val="none"/>
          <w:u w:color="000000"/>
          <w:lang w:val="en-US" w:eastAsia="zh-CN" w:bidi="ar"/>
        </w:rPr>
        <w:t xml:space="preserve">名称：滁州市兴全矿业投资有限公司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地址：安徽省滁州市全椒县六镇镇孙家村神山人家安置小区888栋1楼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联系方式：</w:t>
      </w:r>
      <w:bookmarkStart w:id="15" w:name="_Toc28359009"/>
      <w:bookmarkStart w:id="16" w:name="_Toc28359086"/>
      <w:r>
        <w:rPr>
          <w:rFonts w:hint="eastAsia" w:ascii="宋体" w:hAnsi="宋体" w:eastAsia="宋体" w:cs="宋体"/>
          <w:bCs/>
          <w:color w:val="auto"/>
          <w:kern w:val="0"/>
          <w:sz w:val="24"/>
          <w:szCs w:val="24"/>
          <w:highlight w:val="none"/>
          <w:u w:color="000000"/>
          <w:lang w:val="en-US" w:eastAsia="zh-CN" w:bidi="ar"/>
        </w:rPr>
        <w:t>18455050797</w:t>
      </w:r>
    </w:p>
    <w:bookmarkEnd w:id="15"/>
    <w:bookmarkEnd w:id="16"/>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2.</w:t>
      </w:r>
      <w:bookmarkEnd w:id="14"/>
      <w:r>
        <w:rPr>
          <w:rFonts w:hint="eastAsia" w:ascii="宋体" w:hAnsi="宋体" w:eastAsia="宋体" w:cs="宋体"/>
          <w:bCs/>
          <w:color w:val="auto"/>
          <w:kern w:val="0"/>
          <w:sz w:val="24"/>
          <w:szCs w:val="24"/>
          <w:highlight w:val="none"/>
          <w:u w:color="000000"/>
          <w:lang w:val="en-US" w:eastAsia="zh-CN" w:bidi="ar"/>
        </w:rPr>
        <w:t>代理机构信息</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名称：滁州市城投工程咨询管理有限公司</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地址：滁州市龙蟠大道109号房产大厦6楼605室</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联系方式：0550-3519519、18955055067</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3.项目联系方式</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项目联系人：周洋、王芳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电话：18455050797、0550-3519519、18955055067</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17" w:name="_Toc9559"/>
      <w:bookmarkEnd w:id="17"/>
      <w:bookmarkStart w:id="18" w:name="_Toc28003_WPSOffice_Level2"/>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18"/>
    </w:p>
    <w:tbl>
      <w:tblPr>
        <w:tblStyle w:val="22"/>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794"/>
        <w:gridCol w:w="2043"/>
        <w:gridCol w:w="697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794" w:type="dxa"/>
            <w:tcBorders>
              <w:top w:val="single" w:color="auto" w:sz="12"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2043" w:type="dxa"/>
            <w:tcBorders>
              <w:top w:val="single" w:color="auto" w:sz="12"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color w:val="auto"/>
                <w:sz w:val="24"/>
                <w:szCs w:val="24"/>
                <w:highlight w:val="none"/>
                <w:lang w:val="en-US" w:eastAsia="zh-CN"/>
              </w:rPr>
              <w:t>条款名称</w:t>
            </w:r>
          </w:p>
        </w:tc>
        <w:tc>
          <w:tcPr>
            <w:tcW w:w="6972" w:type="dxa"/>
            <w:tcBorders>
              <w:top w:val="single" w:color="auto" w:sz="12"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4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项目名称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滁州市兴全矿业投资有限公司挖掘机零件采购供应服务单位招标项目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详见第一章“招标公告”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招标人指定地点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周洋  18455050797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6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采购代理机构联系人及电话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王芳  0550-3519519  18955055067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5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val="en-US"/>
              </w:rPr>
              <w:t xml:space="preserve">                                                                                                                                                                 </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项目预算</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25.35万元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4"/>
                <w:szCs w:val="24"/>
                <w:highlight w:val="none"/>
                <w:u w:color="auto"/>
                <w:lang w:val="en-US" w:eastAsia="zh-CN" w:bidi="ar"/>
              </w:rPr>
            </w:pPr>
            <w:r>
              <w:rPr>
                <w:rFonts w:hint="eastAsia" w:ascii="宋体" w:hAnsi="宋体" w:eastAsia="宋体" w:cs="宋体"/>
                <w:bCs/>
                <w:color w:val="auto"/>
                <w:kern w:val="2"/>
                <w:sz w:val="24"/>
                <w:szCs w:val="24"/>
                <w:highlight w:val="none"/>
                <w:u w:color="auto"/>
                <w:lang w:val="en-US" w:eastAsia="zh-CN" w:bidi="ar"/>
              </w:rPr>
              <w:t>本项目总价最高限价为</w:t>
            </w:r>
            <w:r>
              <w:rPr>
                <w:rFonts w:hint="eastAsia" w:ascii="宋体" w:hAnsi="宋体" w:eastAsia="宋体" w:cs="宋体"/>
                <w:color w:val="auto"/>
                <w:kern w:val="0"/>
                <w:sz w:val="24"/>
                <w:szCs w:val="24"/>
                <w:highlight w:val="none"/>
                <w:u w:color="000000"/>
                <w:lang w:val="en-US" w:eastAsia="zh-CN" w:bidi="ar"/>
              </w:rPr>
              <w:t>253500.00元</w:t>
            </w:r>
            <w:r>
              <w:rPr>
                <w:rFonts w:hint="eastAsia" w:ascii="宋体" w:hAnsi="宋体" w:eastAsia="宋体" w:cs="宋体"/>
                <w:bCs/>
                <w:color w:val="auto"/>
                <w:kern w:val="2"/>
                <w:sz w:val="24"/>
                <w:szCs w:val="24"/>
                <w:highlight w:val="none"/>
                <w:u w:color="auto"/>
                <w:lang w:val="en-US" w:eastAsia="zh-CN" w:bidi="ar"/>
              </w:rPr>
              <w:t>，单价最高限价见《采购需求》，投标人的报价不得高于总价或单价最高限价，否则按无效标处理。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采购内容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kern w:val="2"/>
                <w:sz w:val="24"/>
                <w:szCs w:val="24"/>
                <w:highlight w:val="none"/>
                <w:u w:color="auto"/>
                <w:lang w:val="en-US" w:eastAsia="zh-CN" w:bidi="ar"/>
              </w:rPr>
            </w:pPr>
            <w:r>
              <w:rPr>
                <w:rFonts w:hint="eastAsia" w:ascii="宋体" w:hAnsi="宋体" w:eastAsia="宋体" w:cs="宋体"/>
                <w:bCs/>
                <w:color w:val="auto"/>
                <w:kern w:val="2"/>
                <w:sz w:val="24"/>
                <w:szCs w:val="24"/>
                <w:highlight w:val="none"/>
                <w:u w:color="auto"/>
                <w:lang w:val="en-US" w:eastAsia="zh-CN" w:bidi="ar"/>
              </w:rPr>
              <w:t>详见《采购需求》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标包划分</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本项目划分为</w:t>
            </w:r>
            <w:r>
              <w:rPr>
                <w:rFonts w:hint="eastAsia" w:ascii="宋体" w:hAnsi="宋体" w:eastAsia="宋体" w:cs="宋体"/>
                <w:color w:val="auto"/>
                <w:sz w:val="24"/>
                <w:szCs w:val="24"/>
                <w:highlight w:val="none"/>
                <w:u w:val="single"/>
                <w:lang w:val="en-US"/>
              </w:rPr>
              <w:t xml:space="preserve"> 1 </w:t>
            </w:r>
            <w:r>
              <w:rPr>
                <w:rFonts w:hint="eastAsia" w:ascii="宋体" w:hAnsi="宋体" w:eastAsia="宋体" w:cs="宋体"/>
                <w:color w:val="auto"/>
                <w:sz w:val="24"/>
                <w:szCs w:val="24"/>
                <w:highlight w:val="none"/>
              </w:rPr>
              <w:t>个标</w:t>
            </w:r>
            <w:r>
              <w:rPr>
                <w:rFonts w:hint="eastAsia" w:ascii="宋体" w:hAnsi="宋体" w:eastAsia="宋体" w:cs="宋体"/>
                <w:color w:val="auto"/>
                <w:sz w:val="24"/>
                <w:szCs w:val="24"/>
                <w:highlight w:val="none"/>
                <w:lang w:val="en-US" w:eastAsia="zh-CN"/>
              </w:rPr>
              <w:t>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0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投标人资格条件及其他要求</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详见第一章“招标公告”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踏勘现场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投标人自行踏勘现场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投标预备会</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投标人提出</w:t>
            </w:r>
            <w:r>
              <w:rPr>
                <w:rFonts w:hint="eastAsia" w:ascii="宋体" w:hAnsi="宋体" w:eastAsia="宋体" w:cs="宋体"/>
                <w:color w:val="auto"/>
                <w:sz w:val="24"/>
                <w:szCs w:val="24"/>
                <w:highlight w:val="none"/>
                <w:u w:val="single"/>
              </w:rPr>
              <w:t>疑问</w:t>
            </w:r>
            <w:r>
              <w:rPr>
                <w:rFonts w:hint="eastAsia" w:ascii="宋体" w:hAnsi="宋体" w:eastAsia="宋体" w:cs="宋体"/>
                <w:color w:val="auto"/>
                <w:sz w:val="24"/>
                <w:szCs w:val="24"/>
                <w:highlight w:val="none"/>
              </w:rPr>
              <w:t>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color w:val="auto"/>
                <w:kern w:val="0"/>
                <w:sz w:val="24"/>
                <w:szCs w:val="24"/>
                <w:highlight w:val="none"/>
              </w:rPr>
              <w:t>如投标人对招标文件有疑问，请于202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日1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时前</w:t>
            </w:r>
            <w:r>
              <w:rPr>
                <w:rFonts w:hint="eastAsia" w:ascii="宋体" w:hAnsi="宋体" w:eastAsia="宋体" w:cs="宋体"/>
                <w:color w:val="auto"/>
                <w:sz w:val="24"/>
                <w:szCs w:val="24"/>
                <w:highlight w:val="none"/>
                <w:lang w:val="en-US" w:eastAsia="zh-CN"/>
              </w:rPr>
              <w:t>登录新点电子交易平台【滁州专区】线上提出</w:t>
            </w:r>
            <w:r>
              <w:rPr>
                <w:rFonts w:hint="eastAsia" w:ascii="宋体" w:hAnsi="宋体" w:eastAsia="宋体" w:cs="宋体"/>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招标人澄清的时间及方式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招标人将在2025年8月8日17时后以澄清公告形式在滁州市城投工程咨询管理有限公司网站（https://www.czctgczx.com/）、滁州市兴滁矿业投资集团有限公司网站（http://www.xckytz.com/index.html）发布，但不指明澄清问题的来源。如果澄清内容影响投标文件编制的，将相应延长投标截止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联合体投标</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本次招标不接受联合体投标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发布公告的媒介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滁州市兴滁矿业投资集团有限公司网站（http://www.xckytz.com/index.html）</w:t>
            </w:r>
          </w:p>
          <w:p>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滁州市城投工程咨询管理有限公司（https://www.czctgczx.com/）</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代理服务费及专家评审费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代理服务费金额：招标代理费3000元，不含专家评审费（专家评审费用以实际支付为准）。</w:t>
            </w:r>
          </w:p>
          <w:p>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代理服务费及专家评审费支付主体：中标单位，中标单位在获取中标通知书时一次性支付给代理机构。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投标人要求澄清招标文件的截止时间及方式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同表15条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投标有效期为</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rPr>
              <w:t xml:space="preserve">0 </w:t>
            </w:r>
            <w:r>
              <w:rPr>
                <w:rFonts w:hint="eastAsia" w:ascii="宋体" w:hAnsi="宋体" w:eastAsia="宋体" w:cs="宋体"/>
                <w:color w:val="auto"/>
                <w:sz w:val="24"/>
                <w:szCs w:val="24"/>
                <w:highlight w:val="none"/>
              </w:rPr>
              <w:t>日历天（从投标截止之日算起）。在此期限内，凡符合本招标文件要求的投标文件均保持有效。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投标保证金</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本项目不要求投标人提交投标保证金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份数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2"/>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本项目仅接受投标人在投标截止时间前登录新点电子交易平台【滁州专区】（https://www.etrading.cn/BREpointSSO/login/oauth2login?regioncode=DQ_ChuZhou）交易系统递交的加密电子投标文件。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kern w:val="0"/>
                <w:sz w:val="24"/>
                <w:szCs w:val="24"/>
                <w:highlight w:val="none"/>
                <w:u w:val="single"/>
              </w:rPr>
              <w:t>（投标人中标后须递交与网上电子投标文件完全一致的纸质版投标文件，并按要求加盖单位章；份数：正本1份，副本</w:t>
            </w:r>
            <w:r>
              <w:rPr>
                <w:rFonts w:hint="eastAsia" w:ascii="宋体" w:hAnsi="宋体" w:eastAsia="宋体" w:cs="宋体"/>
                <w:b/>
                <w:bCs/>
                <w:i w:val="0"/>
                <w:iCs w:val="0"/>
                <w:color w:val="auto"/>
                <w:kern w:val="0"/>
                <w:sz w:val="24"/>
                <w:szCs w:val="24"/>
                <w:highlight w:val="none"/>
                <w:u w:val="single"/>
                <w:lang w:val="en-US" w:eastAsia="zh-CN"/>
              </w:rPr>
              <w:t>2</w:t>
            </w:r>
            <w:r>
              <w:rPr>
                <w:rFonts w:hint="eastAsia" w:ascii="宋体" w:hAnsi="宋体" w:eastAsia="宋体" w:cs="宋体"/>
                <w:b/>
                <w:bCs/>
                <w:i w:val="0"/>
                <w:iCs w:val="0"/>
                <w:color w:val="auto"/>
                <w:kern w:val="0"/>
                <w:sz w:val="24"/>
                <w:szCs w:val="24"/>
                <w:highlight w:val="none"/>
                <w:u w:val="single"/>
              </w:rPr>
              <w:t>份；中标单位领取中标通知书时，一并递交给代理机构）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投标文件提交截止时间</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在202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时00分（北京时间）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是否退还投标文件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开标时间及地点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时00分</w:t>
            </w:r>
            <w:r>
              <w:rPr>
                <w:rFonts w:hint="eastAsia" w:ascii="宋体" w:hAnsi="宋体" w:eastAsia="宋体" w:cs="宋体"/>
                <w:color w:val="auto"/>
                <w:kern w:val="2"/>
                <w:sz w:val="24"/>
                <w:szCs w:val="24"/>
                <w:highlight w:val="none"/>
                <w:u w:color="000000"/>
                <w:lang w:val="en-US" w:eastAsia="zh-CN" w:bidi="ar"/>
              </w:rPr>
              <w:t>（北京时间）</w:t>
            </w:r>
          </w:p>
          <w:p>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方式：采用不见面开标，投标人登录滁州市城投工程咨询有限公司不见面开标系统参与网上开标（网址：</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"http://js.etrading.cn/EpointBidOpening/bidopeninghallaction/hall/login）。" </w:instrText>
            </w:r>
            <w:r>
              <w:rPr>
                <w:rFonts w:hint="eastAsia" w:ascii="宋体" w:hAnsi="宋体" w:eastAsia="宋体" w:cs="宋体"/>
                <w:color w:val="auto"/>
                <w:sz w:val="24"/>
                <w:szCs w:val="24"/>
                <w:highlight w:val="none"/>
                <w:lang w:val="en-US" w:eastAsia="zh-CN"/>
              </w:rPr>
              <w:fldChar w:fldCharType="separate"/>
            </w:r>
            <w:r>
              <w:rPr>
                <w:rStyle w:val="33"/>
                <w:rFonts w:hint="eastAsia" w:ascii="宋体" w:hAnsi="宋体" w:eastAsia="宋体" w:cs="宋体"/>
                <w:color w:val="auto"/>
                <w:sz w:val="24"/>
                <w:szCs w:val="24"/>
                <w:highlight w:val="none"/>
                <w:lang w:val="en-US" w:eastAsia="zh-CN"/>
              </w:rPr>
              <w:t>http://js.etrading.cn/EpointBidOpening/bidopeninghallaction/hall/login）。</w:t>
            </w:r>
            <w:r>
              <w:rPr>
                <w:rFonts w:hint="eastAsia" w:ascii="宋体" w:hAnsi="宋体" w:eastAsia="宋体" w:cs="宋体"/>
                <w:color w:val="auto"/>
                <w:sz w:val="24"/>
                <w:szCs w:val="24"/>
                <w:highlight w:val="none"/>
                <w:lang w:val="en-US" w:eastAsia="zh-CN"/>
              </w:rPr>
              <w:fldChar w:fldCharType="end"/>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解密时间：投标人须</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u w:val="single"/>
                <w:lang w:val="en-US" w:eastAsia="zh-CN"/>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0分</w:t>
            </w:r>
            <w:r>
              <w:rPr>
                <w:rFonts w:hint="eastAsia" w:ascii="宋体" w:hAnsi="宋体" w:eastAsia="宋体" w:cs="宋体"/>
                <w:color w:val="auto"/>
                <w:sz w:val="24"/>
                <w:szCs w:val="24"/>
                <w:highlight w:val="none"/>
                <w:u w:val="single"/>
                <w:lang w:val="en-US" w:eastAsia="zh-CN"/>
              </w:rPr>
              <w:t>解密；未在规定时间内完成解密的，退回其投标文件；如有因系统原因造成的故障，代理机构可申请延迟解密时间。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开标程序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pacing w:val="-4"/>
                <w:sz w:val="24"/>
                <w:szCs w:val="24"/>
                <w:highlight w:val="none"/>
                <w:lang w:val="en-US"/>
              </w:rPr>
            </w:pPr>
            <w:r>
              <w:rPr>
                <w:rFonts w:hint="eastAsia" w:ascii="宋体" w:hAnsi="宋体" w:eastAsia="宋体" w:cs="宋体"/>
                <w:b w:val="0"/>
                <w:bCs w:val="0"/>
                <w:color w:val="auto"/>
                <w:sz w:val="24"/>
                <w:szCs w:val="24"/>
                <w:highlight w:val="none"/>
                <w:lang w:val="en-US" w:eastAsia="zh-CN"/>
              </w:rPr>
              <w:t>由代理机构开启电子投标文件，报评标委员会评审。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评标委员会的组建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评标委员会由招标人依法组建。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 w:val="0"/>
                <w:bCs w:val="0"/>
                <w:color w:val="auto"/>
                <w:sz w:val="24"/>
                <w:szCs w:val="24"/>
                <w:highlight w:val="none"/>
              </w:rPr>
              <w:t>评标委员会确定中标候选人的人数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是，评标委员会推荐</w:t>
            </w:r>
            <w:r>
              <w:rPr>
                <w:rFonts w:hint="eastAsia" w:ascii="宋体" w:hAnsi="宋体" w:eastAsia="宋体" w:cs="宋体"/>
                <w:color w:val="auto"/>
                <w:sz w:val="24"/>
                <w:szCs w:val="24"/>
                <w:highlight w:val="none"/>
                <w:u w:val="none" w:color="auto"/>
              </w:rPr>
              <w:t>3</w:t>
            </w:r>
            <w:r>
              <w:rPr>
                <w:rFonts w:hint="eastAsia" w:ascii="宋体" w:hAnsi="宋体" w:eastAsia="宋体" w:cs="宋体"/>
                <w:color w:val="auto"/>
                <w:sz w:val="24"/>
                <w:szCs w:val="24"/>
                <w:highlight w:val="none"/>
              </w:rPr>
              <w:t>名中标候选人，并标明排序。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公示媒介：同招标公告发布媒介</w:t>
            </w:r>
          </w:p>
          <w:p>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公示期限：公示发布次日起3日（如公示第三日为休息日或节假日，则顺延至休息日或节假日后第一个工作日）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color="000000"/>
                <w:lang w:val="en-US" w:eastAsia="zh-CN" w:bidi="ar"/>
              </w:rPr>
              <w:t>中标通知书</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中标通知书须加盖</w:t>
            </w:r>
            <w:r>
              <w:rPr>
                <w:rFonts w:hint="eastAsia" w:ascii="宋体" w:hAnsi="宋体" w:eastAsia="宋体" w:cs="宋体"/>
                <w:color w:val="auto"/>
                <w:sz w:val="24"/>
                <w:szCs w:val="24"/>
                <w:highlight w:val="none"/>
                <w:lang w:val="en-US" w:eastAsia="zh-CN"/>
              </w:rPr>
              <w:t>招标人和代理机构公章</w:t>
            </w:r>
            <w:r>
              <w:rPr>
                <w:rFonts w:hint="eastAsia" w:ascii="宋体" w:hAnsi="宋体" w:eastAsia="宋体" w:cs="宋体"/>
                <w:color w:val="auto"/>
                <w:sz w:val="24"/>
                <w:szCs w:val="24"/>
                <w:highlight w:val="none"/>
              </w:rPr>
              <w:t>后方可发出。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履约担保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要求中标人提交履约</w:t>
            </w:r>
            <w:r>
              <w:rPr>
                <w:rFonts w:hint="eastAsia" w:ascii="宋体" w:hAnsi="宋体" w:eastAsia="宋体" w:cs="宋体"/>
                <w:color w:val="auto"/>
                <w:sz w:val="24"/>
                <w:szCs w:val="24"/>
                <w:highlight w:val="none"/>
                <w:lang w:val="en-US" w:eastAsia="zh-CN"/>
              </w:rPr>
              <w:t>担保</w:t>
            </w:r>
            <w:r>
              <w:rPr>
                <w:rFonts w:hint="eastAsia" w:ascii="宋体" w:hAnsi="宋体" w:eastAsia="宋体" w:cs="宋体"/>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付款方式、时间、条件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见合同协议书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lang w:val="en-US" w:eastAsia="zh-CN"/>
              </w:rPr>
              <w:t>签订合同</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中标通知书发出之日起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日内，应委派代表与招标人联系并商讨书面合同签订事宜。中标人和招标人应在投标有效期内以及中标通知书发出之日起30日内，根据招标文件和中标人的投标文件订立书面合同。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suppressLineNumbers w:val="0"/>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评标过程中的澄清、说明或补正</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）评标委员会通过</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系统将需要澄清、说明或补正的内容以询标函的形式发送给投标人，投标人应安排专人登录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系统并保持在线状态，以便及时接收评标委员会可能发出的询标函。</w:t>
            </w:r>
          </w:p>
          <w:p>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）因投标人未登录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解释权</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1、本招标文件前后条款若有不一致之处，在澄清答疑时又未作出明确规定时，各投标人的投标文件只要满足其中任一条款，均视为对本招标文件的响应。</w:t>
            </w:r>
          </w:p>
          <w:p>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2、系统中提供的表格与招标文件中不一致时，以招标文件中提供的表格格式为准。</w:t>
            </w:r>
          </w:p>
          <w:p>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3、本项目招标公告与本招标文件不一致之处，以本招标文件为准。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4、本文件的最终解释权归招标人、招标代理机构所有。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重要说明</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4.本项目采用不见面开标，投标人登录滁州市城投工程咨询有限公司不见面开标系统参与网上开标（网址：http://js.etrading.cn/EpointBidOpening/bidopeninghallaction/hall/login）。</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5.投标人应在投标截止时间之前，登录新点电子交易平台【滁州专区】上传投标文件。投标人逾期上传投标文件的，电子系统不予受理。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6.投标人的联系人电话(手机)、电子邮箱等通讯方式在开标过程中必须保持畅通，否则因上述原因造成的后果，责任自负。</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pPr>
        <w:rPr>
          <w:rFonts w:hint="eastAsia" w:ascii="宋体" w:hAnsi="宋体" w:eastAsia="宋体" w:cs="宋体"/>
          <w:b/>
          <w:bCs w:val="0"/>
          <w:color w:val="auto"/>
          <w:kern w:val="0"/>
          <w:sz w:val="28"/>
          <w:szCs w:val="28"/>
          <w:highlight w:val="none"/>
          <w:u w:color="000000"/>
          <w:lang w:val="en-US" w:eastAsia="zh-CN" w:bidi="ar"/>
        </w:rPr>
      </w:pPr>
      <w:bookmarkStart w:id="19" w:name="_Toc122"/>
      <w:bookmarkEnd w:id="19"/>
      <w:r>
        <w:rPr>
          <w:rFonts w:hint="eastAsia" w:ascii="宋体" w:hAnsi="宋体" w:eastAsia="宋体" w:cs="宋体"/>
          <w:b/>
          <w:bCs w:val="0"/>
          <w:color w:val="auto"/>
          <w:kern w:val="0"/>
          <w:sz w:val="28"/>
          <w:szCs w:val="28"/>
          <w:highlight w:val="none"/>
          <w:u w:color="000000"/>
          <w:lang w:val="en-US" w:eastAsia="zh-CN" w:bidi="ar"/>
        </w:rPr>
        <w:br w:type="page"/>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1"/>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供货期：见投标人须知前附表。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供货地点：见投标人须知前附表。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  </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szCs w:val="21"/>
          <w:highlight w:val="none"/>
          <w:u w:val="single"/>
          <w:lang w:val="en-US" w:eastAsia="zh-CN"/>
        </w:rPr>
        <w:t>经评审的最低价法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22" w:name="_Toc296602429"/>
      <w:bookmarkEnd w:id="22"/>
      <w:bookmarkStart w:id="23" w:name="_Toc152045539"/>
      <w:bookmarkEnd w:id="23"/>
      <w:bookmarkStart w:id="24" w:name="_Toc144974507"/>
      <w:bookmarkEnd w:id="24"/>
      <w:bookmarkStart w:id="25" w:name="_Toc152042315"/>
      <w:bookmarkEnd w:id="25"/>
      <w:bookmarkStart w:id="26" w:name="_Toc247527563"/>
      <w:bookmarkEnd w:id="26"/>
      <w:bookmarkStart w:id="27" w:name="_Toc247513962"/>
      <w:bookmarkEnd w:id="27"/>
      <w:bookmarkStart w:id="28"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28"/>
    </w:p>
    <w:p>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pPr>
        <w:spacing w:line="360" w:lineRule="auto"/>
        <w:ind w:firstLine="420" w:firstLineChars="200"/>
        <w:rPr>
          <w:rFonts w:hint="eastAsia" w:ascii="宋体"/>
          <w:color w:val="auto"/>
          <w:szCs w:val="21"/>
          <w:highlight w:val="none"/>
        </w:rPr>
      </w:pPr>
      <w:bookmarkStart w:id="29" w:name="_Toc10668_WPSOffice_Level3"/>
      <w:bookmarkEnd w:id="29"/>
      <w:bookmarkStart w:id="30" w:name="_Toc24655"/>
      <w:bookmarkEnd w:id="30"/>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pP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br w:type="page"/>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投标文件格式文本</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招标人、招标代理机构对本文件的确认</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17.招标文件的澄清</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 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color w:val="auto"/>
          <w:szCs w:val="21"/>
          <w:highlight w:val="none"/>
        </w:rPr>
        <w:t>要求招标人对招标文件予以澄清。</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 招标文件的澄清将在</w:t>
      </w:r>
      <w:r>
        <w:rPr>
          <w:rFonts w:hint="eastAsia" w:ascii="宋体" w:hAnsi="宋体" w:cs="宋体"/>
          <w:color w:val="auto"/>
          <w:szCs w:val="21"/>
          <w:highlight w:val="none"/>
          <w:lang w:val="en-US" w:eastAsia="zh-CN"/>
        </w:rPr>
        <w:t>滁州市城投工程咨询管理有限公司网站</w:t>
      </w:r>
      <w:r>
        <w:rPr>
          <w:rFonts w:hint="eastAsia" w:ascii="宋体" w:hAnsi="宋体" w:cs="宋体"/>
          <w:color w:val="auto"/>
          <w:szCs w:val="21"/>
          <w:highlight w:val="none"/>
        </w:rPr>
        <w:t>（https://www.czctgczx.com/）</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滁州市兴滁矿业投资集团有限公司网站（http://www.xckytz.com/index.html）</w:t>
      </w:r>
      <w:r>
        <w:rPr>
          <w:rFonts w:hint="eastAsia" w:ascii="宋体" w:hAnsi="宋体" w:cs="宋体"/>
          <w:color w:val="auto"/>
          <w:szCs w:val="21"/>
          <w:highlight w:val="none"/>
        </w:rPr>
        <w:t xml:space="preserve">发布，但不指明澄清问题的来源。如果澄清发出的时间距投标人须知前附表规定的投标截止时间不足15天，并且澄清内容影响投标文件编制的，将相应延长投标截止时间。 </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18.招标文件的修改</w:t>
      </w:r>
    </w:p>
    <w:p>
      <w:pPr>
        <w:spacing w:line="440" w:lineRule="exact"/>
        <w:ind w:firstLine="420" w:firstLineChars="200"/>
        <w:jc w:val="left"/>
        <w:rPr>
          <w:rFonts w:ascii="宋体" w:hAnsi="宋体" w:cs="宋体"/>
          <w:color w:val="auto"/>
          <w:szCs w:val="21"/>
          <w:highlight w:val="none"/>
        </w:rPr>
      </w:pPr>
      <w:bookmarkStart w:id="31" w:name="_Toc1549_WPSOffice_Level3"/>
      <w:bookmarkEnd w:id="31"/>
      <w:bookmarkStart w:id="32" w:name="_Toc9710"/>
      <w:r>
        <w:rPr>
          <w:rFonts w:hint="eastAsia" w:ascii="宋体" w:hAnsi="宋体" w:eastAsia="宋体" w:cs="宋体"/>
          <w:bCs/>
          <w:color w:val="auto"/>
          <w:kern w:val="0"/>
          <w:sz w:val="21"/>
          <w:szCs w:val="21"/>
          <w:highlight w:val="none"/>
          <w:u w:color="000000"/>
          <w:lang w:val="en-US" w:eastAsia="zh-CN" w:bidi="ar"/>
        </w:rPr>
        <w:t>18.1</w:t>
      </w:r>
      <w:r>
        <w:rPr>
          <w:rFonts w:hint="eastAsia" w:ascii="宋体" w:hAnsi="宋体" w:cs="宋体"/>
          <w:color w:val="auto"/>
          <w:szCs w:val="21"/>
          <w:highlight w:val="none"/>
        </w:rPr>
        <w:t>招标人可以修改招标文件，并以澄清的方式在</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滁州市兴滁矿业投资集团有限公司网站（http://www.xckytz.com/index.html）</w:t>
      </w:r>
      <w:r>
        <w:rPr>
          <w:rFonts w:hint="eastAsia" w:ascii="宋体" w:hAnsi="宋体" w:cs="宋体"/>
          <w:color w:val="auto"/>
          <w:szCs w:val="21"/>
          <w:highlight w:val="none"/>
        </w:rPr>
        <w:t>发布。但如果修改内容影响投标文件编制的，将相应延长投标截止时间。</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19.样品</w:t>
      </w:r>
      <w:bookmarkEnd w:id="32"/>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21.1投标文件的组成</w:t>
      </w:r>
    </w:p>
    <w:p>
      <w:pPr>
        <w:spacing w:line="440" w:lineRule="exact"/>
        <w:ind w:firstLine="420" w:firstLineChars="200"/>
        <w:jc w:val="left"/>
        <w:rPr>
          <w:rFonts w:hint="default"/>
          <w:color w:val="auto"/>
          <w:highlight w:val="none"/>
          <w:lang w:val="en-US" w:eastAsia="zh-CN"/>
        </w:rPr>
      </w:pPr>
      <w:r>
        <w:rPr>
          <w:rFonts w:hint="eastAsia" w:ascii="宋体" w:hAnsi="宋体" w:cs="宋体"/>
          <w:color w:val="auto"/>
          <w:szCs w:val="21"/>
          <w:highlight w:val="none"/>
        </w:rPr>
        <w:t>具体要求详见本招标文件第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21.2投标文件的编制</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投标文件应按第七章“投标文件格式”进行编写，如有必要，可以增加附页，作为投标文件的组成部分。</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pPr>
        <w:spacing w:line="400" w:lineRule="exact"/>
        <w:ind w:firstLine="403" w:firstLineChars="192"/>
        <w:rPr>
          <w:rFonts w:hint="eastAsia" w:ascii="宋体"/>
          <w:color w:val="auto"/>
          <w:szCs w:val="21"/>
          <w:highlight w:val="none"/>
        </w:rPr>
      </w:pPr>
      <w:r>
        <w:rPr>
          <w:rFonts w:hint="eastAsia" w:ascii="宋体"/>
          <w:color w:val="auto"/>
          <w:szCs w:val="21"/>
          <w:highlight w:val="none"/>
        </w:rPr>
        <w:t>22.1投标报价文件中的单价和总价全部采用人民币表示。投标人的报价应含有</w:t>
      </w:r>
      <w:r>
        <w:rPr>
          <w:rFonts w:hint="eastAsia" w:ascii="宋体"/>
          <w:color w:val="auto"/>
          <w:szCs w:val="21"/>
          <w:highlight w:val="none"/>
          <w:lang w:val="en-US" w:eastAsia="zh-CN"/>
        </w:rPr>
        <w:t>服务</w:t>
      </w:r>
      <w:r>
        <w:rPr>
          <w:rFonts w:hint="eastAsia" w:ascii="宋体"/>
          <w:color w:val="auto"/>
          <w:szCs w:val="21"/>
          <w:highlight w:val="none"/>
        </w:rPr>
        <w:t>、利润、</w:t>
      </w:r>
      <w:r>
        <w:rPr>
          <w:rFonts w:hint="eastAsia" w:ascii="宋体"/>
          <w:b/>
          <w:bCs/>
          <w:color w:val="auto"/>
          <w:szCs w:val="21"/>
          <w:highlight w:val="none"/>
        </w:rPr>
        <w:t>税金</w:t>
      </w:r>
      <w:r>
        <w:rPr>
          <w:rFonts w:hint="eastAsia" w:ascii="宋体"/>
          <w:color w:val="auto"/>
          <w:szCs w:val="21"/>
          <w:highlight w:val="none"/>
        </w:rPr>
        <w:t>、政策性文件规定及合同包含的所有风险、责任、义务等，即为完成招标文件要求的</w:t>
      </w:r>
      <w:r>
        <w:rPr>
          <w:rFonts w:hint="eastAsia" w:ascii="宋体"/>
          <w:color w:val="auto"/>
          <w:szCs w:val="21"/>
          <w:highlight w:val="none"/>
          <w:lang w:val="en-US" w:eastAsia="zh-CN"/>
        </w:rPr>
        <w:t>服务</w:t>
      </w:r>
      <w:r>
        <w:rPr>
          <w:rFonts w:hint="eastAsia" w:ascii="宋体"/>
          <w:color w:val="auto"/>
          <w:szCs w:val="21"/>
          <w:highlight w:val="none"/>
        </w:rPr>
        <w:t>内容所包含的一切应有费用，</w:t>
      </w:r>
      <w:r>
        <w:rPr>
          <w:rFonts w:hint="eastAsia" w:ascii="宋体" w:hAnsi="宋体" w:eastAsia="宋体" w:cs="Times New Roman"/>
          <w:color w:val="auto"/>
          <w:szCs w:val="21"/>
          <w:highlight w:val="none"/>
          <w:lang w:val="en-US" w:eastAsia="zh-CN"/>
        </w:rPr>
        <w:t>中标价格除合同约定调整内容以外的</w:t>
      </w:r>
      <w:r>
        <w:rPr>
          <w:rFonts w:hint="eastAsia" w:ascii="宋体" w:hAnsi="宋体" w:eastAsia="宋体" w:cs="Times New Roman"/>
          <w:color w:val="auto"/>
          <w:szCs w:val="21"/>
          <w:highlight w:val="none"/>
        </w:rPr>
        <w:t>今后将不作任何调整</w:t>
      </w:r>
      <w:r>
        <w:rPr>
          <w:rFonts w:hint="eastAsia" w:ascii="宋体" w:hAnsi="宋体" w:eastAsia="宋体" w:cs="Times New Roman"/>
          <w:color w:val="auto"/>
          <w:szCs w:val="21"/>
          <w:highlight w:val="none"/>
          <w:lang w:eastAsia="zh-CN"/>
        </w:rPr>
        <w:t>，</w:t>
      </w:r>
      <w:r>
        <w:rPr>
          <w:rFonts w:hint="eastAsia" w:ascii="宋体" w:eastAsia="宋体"/>
          <w:color w:val="auto"/>
          <w:szCs w:val="21"/>
          <w:highlight w:val="none"/>
          <w:lang w:val="en-US" w:eastAsia="zh-CN"/>
        </w:rPr>
        <w:t>招标人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pPr>
        <w:spacing w:line="440" w:lineRule="exact"/>
        <w:ind w:firstLine="420" w:firstLineChars="200"/>
        <w:rPr>
          <w:rFonts w:hint="eastAsia" w:ascii="宋体"/>
          <w:color w:val="auto"/>
          <w:szCs w:val="21"/>
          <w:highlight w:val="none"/>
        </w:rPr>
      </w:pPr>
      <w:r>
        <w:rPr>
          <w:rFonts w:hint="eastAsia" w:ascii="宋体"/>
          <w:color w:val="auto"/>
          <w:szCs w:val="21"/>
          <w:highlight w:val="none"/>
        </w:rPr>
        <w:t>22.2</w:t>
      </w:r>
      <w:r>
        <w:rPr>
          <w:rFonts w:hint="eastAsia" w:ascii="宋体"/>
          <w:color w:val="auto"/>
          <w:szCs w:val="21"/>
          <w:highlight w:val="none"/>
          <w:lang w:eastAsia="zh-CN"/>
        </w:rPr>
        <w:t>分项报价清单</w:t>
      </w:r>
      <w:r>
        <w:rPr>
          <w:rFonts w:hint="eastAsia" w:ascii="宋体"/>
          <w:color w:val="auto"/>
          <w:szCs w:val="21"/>
          <w:highlight w:val="none"/>
        </w:rPr>
        <w:t>上应清楚地标明投标人拟提供货物的名称、型号、生产厂家、数量、单价和总价。</w:t>
      </w:r>
    </w:p>
    <w:p>
      <w:pPr>
        <w:spacing w:line="440" w:lineRule="exact"/>
        <w:ind w:firstLine="420" w:firstLineChars="200"/>
        <w:rPr>
          <w:rFonts w:hint="eastAsia" w:ascii="宋体"/>
          <w:color w:val="auto"/>
          <w:szCs w:val="21"/>
          <w:highlight w:val="none"/>
        </w:rPr>
      </w:pPr>
      <w:r>
        <w:rPr>
          <w:rFonts w:hint="eastAsia" w:ascii="宋体"/>
          <w:color w:val="auto"/>
          <w:szCs w:val="21"/>
          <w:highlight w:val="none"/>
        </w:rPr>
        <w:t>22.3投标人只允许有一个方案、一个报价。</w:t>
      </w:r>
    </w:p>
    <w:p>
      <w:pPr>
        <w:spacing w:line="440" w:lineRule="exact"/>
        <w:ind w:firstLine="420" w:firstLineChars="200"/>
        <w:rPr>
          <w:rFonts w:hint="eastAsia" w:ascii="宋体"/>
          <w:color w:val="auto"/>
          <w:szCs w:val="21"/>
          <w:highlight w:val="none"/>
        </w:rPr>
      </w:pPr>
      <w:r>
        <w:rPr>
          <w:rFonts w:hint="eastAsia" w:ascii="宋体"/>
          <w:color w:val="auto"/>
          <w:szCs w:val="21"/>
          <w:highlight w:val="none"/>
        </w:rPr>
        <w:t>22.4投标人应按“采购</w:t>
      </w:r>
      <w:r>
        <w:rPr>
          <w:rFonts w:hint="eastAsia" w:ascii="宋体"/>
          <w:color w:val="auto"/>
          <w:szCs w:val="21"/>
          <w:highlight w:val="none"/>
          <w:lang w:val="en-US" w:eastAsia="zh-CN"/>
        </w:rPr>
        <w:t>清单</w:t>
      </w:r>
      <w:r>
        <w:rPr>
          <w:rFonts w:hint="eastAsia" w:ascii="宋体"/>
          <w:color w:val="auto"/>
          <w:szCs w:val="21"/>
          <w:highlight w:val="none"/>
        </w:rPr>
        <w:t>”所列货物逐项进行单价报价，并最终按货物总量乘以货物单价报总价，不得采用总价下浮的方式进行报价。</w:t>
      </w:r>
      <w:r>
        <w:rPr>
          <w:rFonts w:hint="eastAsia" w:ascii="宋体" w:hAnsi="宋体"/>
          <w:color w:val="auto"/>
          <w:szCs w:val="21"/>
          <w:highlight w:val="none"/>
          <w:lang w:val="en-US" w:eastAsia="zh-CN"/>
        </w:rPr>
        <w:t>投标报价</w:t>
      </w:r>
      <w:r>
        <w:rPr>
          <w:rFonts w:hint="eastAsia" w:ascii="宋体" w:hAnsi="宋体"/>
          <w:color w:val="auto"/>
          <w:szCs w:val="21"/>
          <w:highlight w:val="none"/>
        </w:rPr>
        <w:t>包括国家对中标单位征收的各种税费等所有一切费用，综合单价今后将不作任何调整。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w:t>
      </w:r>
      <w:r>
        <w:rPr>
          <w:rFonts w:hint="eastAsia" w:ascii="宋体" w:hAnsi="宋体"/>
          <w:color w:val="auto"/>
          <w:szCs w:val="21"/>
          <w:highlight w:val="none"/>
          <w:lang w:val="en-US" w:eastAsia="zh-CN"/>
        </w:rPr>
        <w:t>招标人</w:t>
      </w:r>
      <w:r>
        <w:rPr>
          <w:rFonts w:hint="eastAsia" w:ascii="宋体" w:hAnsi="宋体"/>
          <w:color w:val="auto"/>
          <w:szCs w:val="21"/>
          <w:highlight w:val="none"/>
        </w:rPr>
        <w:t>的单价进行认价。</w:t>
      </w:r>
    </w:p>
    <w:p>
      <w:pPr>
        <w:spacing w:line="440" w:lineRule="exact"/>
        <w:ind w:firstLine="420" w:firstLineChars="200"/>
        <w:rPr>
          <w:rFonts w:hint="eastAsia" w:ascii="宋体"/>
          <w:color w:val="auto"/>
          <w:szCs w:val="21"/>
          <w:highlight w:val="none"/>
        </w:rPr>
      </w:pPr>
      <w:r>
        <w:rPr>
          <w:rFonts w:hint="eastAsia" w:ascii="宋体"/>
          <w:color w:val="auto"/>
          <w:szCs w:val="21"/>
          <w:highlight w:val="none"/>
        </w:rPr>
        <w:t>22.5投标报价的价格是完成项目全部内容（包括后期的相关服务）交付验收的价格，其</w:t>
      </w:r>
      <w:r>
        <w:rPr>
          <w:rFonts w:hint="eastAsia" w:ascii="宋体"/>
          <w:color w:val="auto"/>
          <w:szCs w:val="21"/>
          <w:highlight w:val="none"/>
          <w:lang w:val="en-US" w:eastAsia="zh-CN"/>
        </w:rPr>
        <w:t>单</w:t>
      </w:r>
      <w:r>
        <w:rPr>
          <w:rFonts w:hint="eastAsia" w:ascii="宋体"/>
          <w:color w:val="auto"/>
          <w:szCs w:val="21"/>
          <w:highlight w:val="none"/>
        </w:rPr>
        <w:t>价即为履行合同的固定</w:t>
      </w:r>
      <w:r>
        <w:rPr>
          <w:rFonts w:hint="eastAsia" w:ascii="宋体"/>
          <w:color w:val="auto"/>
          <w:szCs w:val="21"/>
          <w:highlight w:val="none"/>
          <w:lang w:val="en-US" w:eastAsia="zh-CN"/>
        </w:rPr>
        <w:t>单</w:t>
      </w:r>
      <w:r>
        <w:rPr>
          <w:rFonts w:hint="eastAsia" w:ascii="宋体"/>
          <w:color w:val="auto"/>
          <w:szCs w:val="21"/>
          <w:highlight w:val="none"/>
        </w:rPr>
        <w:t>价。</w:t>
      </w:r>
    </w:p>
    <w:p>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auto"/>
          <w:highlight w:val="none"/>
        </w:rPr>
      </w:pPr>
      <w:r>
        <w:rPr>
          <w:rFonts w:hint="eastAsia" w:ascii="宋体" w:hAnsi="Times New Roman" w:eastAsia="宋体" w:cs="Times New Roman"/>
          <w:color w:val="auto"/>
          <w:szCs w:val="21"/>
          <w:highlight w:val="none"/>
        </w:rPr>
        <w:t>22.6</w:t>
      </w:r>
      <w:r>
        <w:rPr>
          <w:rFonts w:hint="eastAsia" w:ascii="宋体"/>
          <w:color w:val="auto"/>
          <w:szCs w:val="21"/>
          <w:highlight w:val="none"/>
        </w:rPr>
        <w:t>技术要求中规定的安装、调试和培训费用应包括在投标价格中。投标文件报价为含税价，</w:t>
      </w:r>
      <w:r>
        <w:rPr>
          <w:rFonts w:hint="eastAsia" w:ascii="宋体"/>
          <w:color w:val="auto"/>
          <w:szCs w:val="21"/>
          <w:highlight w:val="none"/>
          <w:lang w:eastAsia="zh-CN"/>
        </w:rPr>
        <w:t>招标人</w:t>
      </w:r>
      <w:r>
        <w:rPr>
          <w:rFonts w:hint="eastAsia" w:ascii="宋体"/>
          <w:color w:val="auto"/>
          <w:szCs w:val="21"/>
          <w:highlight w:val="none"/>
        </w:rPr>
        <w:t>不再为此次招标支付任何费用。</w:t>
      </w:r>
    </w:p>
    <w:p>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22.7</w:t>
      </w:r>
      <w:r>
        <w:rPr>
          <w:rFonts w:hint="eastAsia" w:ascii="宋体"/>
          <w:color w:val="auto"/>
          <w:szCs w:val="21"/>
          <w:highlight w:val="none"/>
        </w:rPr>
        <w:t>投标报价应由法定代表人或被授权人签署。</w:t>
      </w:r>
    </w:p>
    <w:p>
      <w:pPr>
        <w:spacing w:line="440" w:lineRule="exact"/>
        <w:ind w:firstLine="420" w:firstLineChars="200"/>
        <w:rPr>
          <w:rFonts w:hint="eastAsia" w:ascii="宋体"/>
          <w:color w:val="auto"/>
          <w:szCs w:val="21"/>
          <w:highlight w:val="none"/>
        </w:rPr>
      </w:pPr>
      <w:r>
        <w:rPr>
          <w:rFonts w:hint="eastAsia" w:ascii="宋体"/>
          <w:color w:val="auto"/>
          <w:szCs w:val="21"/>
          <w:highlight w:val="none"/>
        </w:rPr>
        <w:t>22.8</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pPr>
        <w:spacing w:line="440" w:lineRule="exact"/>
        <w:ind w:firstLine="420" w:firstLineChars="200"/>
        <w:rPr>
          <w:rFonts w:hint="eastAsia" w:ascii="宋体"/>
          <w:color w:val="auto"/>
          <w:szCs w:val="21"/>
          <w:highlight w:val="none"/>
        </w:rPr>
      </w:pPr>
      <w:r>
        <w:rPr>
          <w:rFonts w:hint="eastAsia" w:ascii="宋体"/>
          <w:color w:val="auto"/>
          <w:szCs w:val="21"/>
          <w:highlight w:val="none"/>
        </w:rPr>
        <w:t>22.9如投标文件中未列明全面实现投标货物功能而必须配置的配套或辅助设施及相应技术措施的费用，这些费用将被视为已包含在总投标价中。</w:t>
      </w:r>
    </w:p>
    <w:p>
      <w:pPr>
        <w:spacing w:line="440" w:lineRule="exact"/>
        <w:ind w:firstLine="420" w:firstLineChars="200"/>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0</w:t>
      </w:r>
      <w:r>
        <w:rPr>
          <w:rFonts w:hint="eastAsia" w:ascii="宋体"/>
          <w:color w:val="auto"/>
          <w:szCs w:val="21"/>
          <w:highlight w:val="none"/>
        </w:rPr>
        <w:t>总投标价中不得包含招标文件要求以外的内容，否则，在评标时不予核减，但在授予合同时，采购人有权将这部分价格从其中标价格中扣除。</w:t>
      </w:r>
    </w:p>
    <w:p>
      <w:pPr>
        <w:spacing w:line="440" w:lineRule="exact"/>
        <w:ind w:firstLine="403" w:firstLineChars="192"/>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1</w:t>
      </w:r>
      <w:r>
        <w:rPr>
          <w:rFonts w:hint="eastAsia" w:ascii="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pPr>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w:t>
      </w:r>
      <w:r>
        <w:rPr>
          <w:rFonts w:hint="eastAsia" w:ascii="宋体"/>
          <w:color w:val="auto"/>
          <w:szCs w:val="21"/>
          <w:highlight w:val="none"/>
          <w:lang w:val="en-US" w:eastAsia="zh-CN"/>
        </w:rPr>
        <w:t>2</w:t>
      </w:r>
      <w:r>
        <w:rPr>
          <w:rFonts w:hint="eastAsia" w:ascii="宋体"/>
          <w:color w:val="auto"/>
          <w:szCs w:val="21"/>
          <w:highlight w:val="none"/>
        </w:rPr>
        <w:t>投标人不得对从第三方采购货物的随机备品、备件另行收费，否则在计算评标价时这部分费用将不予扣除，在授予合同时将从中标价格中扣除该部分费用。</w:t>
      </w:r>
    </w:p>
    <w:p>
      <w:pPr>
        <w:spacing w:line="440" w:lineRule="exact"/>
        <w:ind w:firstLine="403" w:firstLineChars="192"/>
        <w:rPr>
          <w:rFonts w:hint="eastAsia"/>
          <w:color w:val="auto"/>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.13投标人应根据</w:t>
      </w:r>
      <w:r>
        <w:rPr>
          <w:rFonts w:hint="eastAsia" w:ascii="宋体"/>
          <w:color w:val="auto"/>
          <w:szCs w:val="21"/>
          <w:highlight w:val="none"/>
          <w:lang w:eastAsia="zh-CN"/>
        </w:rPr>
        <w:t>货物</w:t>
      </w:r>
      <w:r>
        <w:rPr>
          <w:rFonts w:hint="eastAsia" w:ascii="宋体"/>
          <w:color w:val="auto"/>
          <w:szCs w:val="21"/>
          <w:highlight w:val="none"/>
        </w:rPr>
        <w:t>的状况列出随机备品备件的清单和数量，并将该备品备件价格计入总投标价，若所提供的产品无需备件，则应在投标文件中说明；无论投标人在报价中列明随机备品备件的数量及价格多少，在</w:t>
      </w:r>
      <w:r>
        <w:rPr>
          <w:rFonts w:hint="eastAsia" w:ascii="宋体"/>
          <w:color w:val="auto"/>
          <w:szCs w:val="21"/>
          <w:highlight w:val="none"/>
          <w:lang w:eastAsia="zh-CN"/>
        </w:rPr>
        <w:t>质保</w:t>
      </w:r>
      <w:r>
        <w:rPr>
          <w:rFonts w:hint="eastAsia" w:ascii="宋体"/>
          <w:color w:val="auto"/>
          <w:szCs w:val="21"/>
          <w:highlight w:val="none"/>
        </w:rPr>
        <w:t>期内采购人均无需为维护维修保养所需的专用工具和备品备件另行支付费用。</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3" w:name="_Toc6570_WPSOffice_Level3"/>
      <w:bookmarkEnd w:id="33"/>
      <w:bookmarkStart w:id="34"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34"/>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5" w:name="_Toc30407_WPSOffice_Level3"/>
      <w:bookmarkEnd w:id="35"/>
      <w:bookmarkStart w:id="36" w:name="_Toc490"/>
      <w:bookmarkEnd w:id="36"/>
      <w:r>
        <w:rPr>
          <w:rFonts w:hint="eastAsia" w:ascii="宋体" w:hAnsi="宋体" w:eastAsia="宋体" w:cs="宋体"/>
          <w:b/>
          <w:bCs w:val="0"/>
          <w:color w:val="auto"/>
          <w:kern w:val="0"/>
          <w:sz w:val="21"/>
          <w:szCs w:val="21"/>
          <w:highlight w:val="none"/>
          <w:u w:color="000000"/>
          <w:lang w:val="en-US" w:eastAsia="zh-CN" w:bidi="ar"/>
        </w:rPr>
        <w:t>25.投标文件的份数和签署</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一份电子加密文件。投标人中标后须递交与网上电子投标文件完全一致的纸质版投标文件，并按要求加盖公章；份数：正本1份，副本2份；中标单位领取中标通知书时，一并递交给招标代理机构。</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25.2按格式文件要求签字或盖章，否则经评委会一致认定且经过招标人同意后, 按照无效投标处理。</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26.投标文件的提交</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26.1</w:t>
      </w: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r>
        <w:rPr>
          <w:rFonts w:hint="eastAsia" w:ascii="宋体" w:hAnsi="宋体" w:eastAsia="宋体" w:cs="宋体"/>
          <w:color w:val="auto"/>
          <w:szCs w:val="21"/>
          <w:highlight w:val="none"/>
          <w:lang w:val="en-US" w:eastAsia="zh-CN"/>
        </w:rPr>
        <w:t>投标人逾期上传投标文件的，电子系统不予受理。</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27.投标文件的修改与撤回</w:t>
      </w:r>
    </w:p>
    <w:p>
      <w:pPr>
        <w:spacing w:line="4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27.1在规定的投标截止时间前，投标人可以自行从网上招投标系统撤回已递交的投标文件，并可修改后重新上传，开标时以投标截止时间前投标人最终上传的投标文件为准。</w:t>
      </w:r>
    </w:p>
    <w:p>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7" w:name="_Toc28864"/>
      <w:bookmarkEnd w:id="37"/>
      <w:bookmarkStart w:id="38" w:name="_Toc8453_WPSOffice_Level3"/>
      <w:r>
        <w:rPr>
          <w:rFonts w:hint="eastAsia" w:ascii="宋体" w:hAnsi="宋体" w:eastAsia="宋体" w:cs="宋体"/>
          <w:b/>
          <w:bCs w:val="0"/>
          <w:color w:val="auto"/>
          <w:kern w:val="0"/>
          <w:sz w:val="21"/>
          <w:szCs w:val="21"/>
          <w:highlight w:val="none"/>
          <w:u w:color="000000"/>
          <w:lang w:val="en-US" w:eastAsia="zh-CN" w:bidi="ar"/>
        </w:rPr>
        <w:t>28.开标</w:t>
      </w:r>
    </w:p>
    <w:p>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pPr>
        <w:spacing w:line="440" w:lineRule="exact"/>
        <w:ind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w:t>
      </w:r>
      <w:r>
        <w:rPr>
          <w:rFonts w:hint="eastAsia" w:ascii="宋体" w:hAnsi="宋体" w:cs="宋体"/>
          <w:color w:val="auto"/>
          <w:szCs w:val="21"/>
          <w:highlight w:val="none"/>
        </w:rPr>
        <w:t>招标人在投标人须知前附表规定的投标截止时间（开标时间）和地点公开开标。</w:t>
      </w:r>
    </w:p>
    <w:p>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28.2开标程序</w:t>
      </w:r>
    </w:p>
    <w:p>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（2）宣布采购人、代理机构主持人等有关人员姓名；</w:t>
      </w:r>
    </w:p>
    <w:p>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（3）公布投标人投标报价、服务期及其他内容，并记录在案；</w:t>
      </w:r>
    </w:p>
    <w:p>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（4）开标结束。</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29.开标异议</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30.评标委员会</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30.1评标委员会</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31.评标</w:t>
      </w:r>
    </w:p>
    <w:p>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39" w:name="_Toc5272_WPSOffice_Level3"/>
      <w:bookmarkEnd w:id="39"/>
      <w:r>
        <w:rPr>
          <w:rFonts w:hint="eastAsia" w:ascii="宋体" w:hAnsi="宋体" w:eastAsia="宋体" w:cs="宋体"/>
          <w:color w:val="auto"/>
          <w:kern w:val="0"/>
          <w:sz w:val="21"/>
          <w:szCs w:val="21"/>
          <w:highlight w:val="none"/>
          <w:u w:color="000000"/>
          <w:lang w:val="en-US" w:eastAsia="zh-CN" w:bidi="ar"/>
        </w:rPr>
        <w:t>31.3.1遵循公平、公正、科学和择优的原则。</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32.开评审异常情况处理</w:t>
      </w:r>
    </w:p>
    <w:p>
      <w:pPr>
        <w:keepNext w:val="0"/>
        <w:keepLines w:val="0"/>
        <w:pageBreakBefore w:val="0"/>
        <w:widowControl w:val="0"/>
        <w:tabs>
          <w:tab w:val="left" w:pos="720"/>
        </w:tabs>
        <w:kinsoku/>
        <w:overflowPunct/>
        <w:topLinePunct w:val="0"/>
        <w:autoSpaceDE/>
        <w:autoSpaceDN/>
        <w:bidi w:val="0"/>
        <w:spacing w:line="420" w:lineRule="exact"/>
        <w:ind w:firstLine="422" w:firstLineChars="200"/>
        <w:jc w:val="left"/>
        <w:textAlignment w:val="auto"/>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32.1.投标截止时间结束后提交投标文件的投标人少于3家或者对招标文件作出实质性响应的投标人不足3家的，招标人可采取竞争性谈判方式或单一来源采购进行项目发包。</w:t>
      </w:r>
    </w:p>
    <w:p>
      <w:pPr>
        <w:keepNext w:val="0"/>
        <w:keepLines w:val="0"/>
        <w:pageBreakBefore w:val="0"/>
        <w:widowControl w:val="0"/>
        <w:tabs>
          <w:tab w:val="left" w:pos="720"/>
        </w:tabs>
        <w:kinsoku/>
        <w:overflowPunct/>
        <w:topLinePunct w:val="0"/>
        <w:autoSpaceDE/>
        <w:autoSpaceDN/>
        <w:bidi w:val="0"/>
        <w:spacing w:line="420" w:lineRule="exact"/>
        <w:ind w:firstLine="422" w:firstLineChars="200"/>
        <w:jc w:val="left"/>
        <w:textAlignment w:val="auto"/>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32.2.参加竞争性谈判或单一来源采购的投标人必须符合下列条件：①投标资格符合招标文件要求；②对招标文件作出实质性响应。</w:t>
      </w:r>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33.重新招标 </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33.1有下列情形之一的，招标人将重新招标：</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u w:color="000000"/>
          <w:lang w:val="en-US" w:eastAsia="zh-CN" w:bidi="ar"/>
        </w:rPr>
        <w:t>；</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auto"/>
          <w:kern w:val="0"/>
          <w:sz w:val="21"/>
          <w:szCs w:val="21"/>
          <w:highlight w:val="none"/>
          <w:u w:color="000000"/>
          <w:lang w:val="en-US" w:eastAsia="zh-CN" w:bidi="ar"/>
        </w:rPr>
        <w:t>。</w:t>
      </w:r>
    </w:p>
    <w:p>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38"/>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34.中标公示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34.1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35.评标结果异议</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35.1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36.定标</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37.中标通知</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37.1在本招标文件规定的投标有效期内，招标人向中标人发出中标通知书，同时将中标结果通知未中标的投标人。</w:t>
      </w:r>
    </w:p>
    <w:p>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r>
        <w:rPr>
          <w:rFonts w:hint="eastAsia" w:ascii="宋体" w:hAnsi="宋体" w:eastAsia="宋体" w:cs="宋体"/>
          <w:b/>
          <w:bCs w:val="0"/>
          <w:color w:val="auto"/>
          <w:kern w:val="0"/>
          <w:sz w:val="21"/>
          <w:szCs w:val="21"/>
          <w:highlight w:val="none"/>
          <w:u w:color="000000"/>
          <w:lang w:val="en-US" w:eastAsia="zh-CN" w:bidi="ar"/>
        </w:rPr>
        <w:t xml:space="preserve"> </w:t>
      </w:r>
      <w:bookmarkStart w:id="40" w:name="_Toc7247"/>
      <w:bookmarkEnd w:id="40"/>
      <w:r>
        <w:rPr>
          <w:rFonts w:hint="eastAsia" w:ascii="宋体" w:hAnsi="宋体" w:eastAsia="宋体" w:cs="宋体"/>
          <w:b/>
          <w:bCs w:val="0"/>
          <w:color w:val="auto"/>
          <w:kern w:val="0"/>
          <w:sz w:val="21"/>
          <w:szCs w:val="21"/>
          <w:highlight w:val="none"/>
          <w:u w:color="000000"/>
          <w:lang w:val="en-US" w:eastAsia="zh-CN" w:bidi="ar"/>
        </w:rPr>
        <w:t>38.</w:t>
      </w:r>
      <w:bookmarkStart w:id="41" w:name="_Toc217446068"/>
      <w:r>
        <w:rPr>
          <w:rFonts w:hint="eastAsia" w:ascii="宋体" w:hAnsi="宋体" w:eastAsia="宋体" w:cs="宋体"/>
          <w:b/>
          <w:bCs w:val="0"/>
          <w:color w:val="auto"/>
          <w:kern w:val="0"/>
          <w:sz w:val="21"/>
          <w:szCs w:val="21"/>
          <w:highlight w:val="none"/>
          <w:u w:color="000000"/>
          <w:lang w:val="en-US" w:eastAsia="zh-CN" w:bidi="ar"/>
        </w:rPr>
        <w:t>履约保证金</w:t>
      </w:r>
      <w:bookmarkEnd w:id="41"/>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bookmarkStart w:id="42" w:name="_Toc316_WPSOffice_Level3"/>
      <w:bookmarkEnd w:id="42"/>
      <w:bookmarkStart w:id="43" w:name="_Toc23484"/>
      <w:r>
        <w:rPr>
          <w:rFonts w:hint="eastAsia" w:ascii="宋体" w:hAnsi="Times New Roman" w:eastAsia="宋体" w:cs="Times New Roman"/>
          <w:color w:val="auto"/>
          <w:spacing w:val="0"/>
          <w:sz w:val="21"/>
          <w:szCs w:val="21"/>
          <w:highlight w:val="none"/>
          <w:lang w:val="en-US" w:eastAsia="zh-CN"/>
        </w:rPr>
        <w:t>38.1</w:t>
      </w:r>
      <w:bookmarkEnd w:id="43"/>
      <w:r>
        <w:rPr>
          <w:rFonts w:hint="eastAsia" w:ascii="宋体" w:hAnsi="宋体" w:eastAsia="宋体" w:cs="宋体"/>
          <w:color w:val="auto"/>
          <w:kern w:val="0"/>
          <w:sz w:val="21"/>
          <w:szCs w:val="21"/>
          <w:highlight w:val="none"/>
          <w:u w:color="000000"/>
          <w:lang w:val="en-US" w:eastAsia="zh-CN" w:bidi="ar"/>
        </w:rPr>
        <w:t>本项目不要求投标人提交履约担保。</w:t>
      </w:r>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bookmarkStart w:id="44" w:name="_Toc179632588"/>
      <w:bookmarkStart w:id="45" w:name="_Toc35425096"/>
      <w:bookmarkStart w:id="46" w:name="_Toc152045570"/>
      <w:bookmarkStart w:id="47" w:name="_Toc247085728"/>
      <w:bookmarkStart w:id="48" w:name="_Toc506107308"/>
      <w:bookmarkStart w:id="49" w:name="_Toc246996957"/>
      <w:bookmarkStart w:id="50" w:name="_Toc11010"/>
      <w:bookmarkStart w:id="51" w:name="_Toc15058893"/>
      <w:bookmarkStart w:id="52" w:name="_Toc35424930"/>
      <w:bookmarkStart w:id="53" w:name="_Toc324404855"/>
      <w:bookmarkStart w:id="54" w:name="_Toc152042346"/>
      <w:bookmarkStart w:id="55" w:name="_Toc296602460"/>
      <w:bookmarkStart w:id="56" w:name="_Toc144974538"/>
      <w:bookmarkStart w:id="57" w:name="_Toc246996214"/>
      <w:bookmarkStart w:id="58" w:name="_Toc78803363"/>
      <w:r>
        <w:rPr>
          <w:rFonts w:hint="eastAsia" w:ascii="宋体" w:hAnsi="宋体" w:eastAsia="宋体" w:cs="宋体"/>
          <w:b/>
          <w:bCs w:val="0"/>
          <w:color w:val="auto"/>
          <w:kern w:val="0"/>
          <w:sz w:val="21"/>
          <w:szCs w:val="21"/>
          <w:highlight w:val="none"/>
          <w:u w:color="000000"/>
          <w:lang w:val="en-US" w:eastAsia="zh-CN" w:bidi="ar"/>
        </w:rPr>
        <w:t>39.签订合同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39.1本项目合同将授予按本须知第36款规定所确定的中标人。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39.2招标人和中标人应当自中标通知书发出之日起30天内，根据招标文件和中标人的投标文件订立书面合同。中标人无正当理由拒签合同的，在签订合同时向招标人提出附加条件，招标人取消其中标资格；给招标人造成损失的，中标人还应当予以赔偿。</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39.3发出中标通知书后，招标人无正当理由拒签合同的，给中标人造成损失的，还应当赔偿损失。</w:t>
      </w:r>
    </w:p>
    <w:p>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40.对招标人的纪律要求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40.1招标人不得泄露招标投标活动中应当保密的情况和资料，不得与投标人串通损害国家利益，社会公共利益或者他人合法权益。 </w:t>
      </w:r>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41.对投标人的纪律要求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41.1投标人不得相互串通投标或者与招标人串通投标，不得向招标人或者评标委员会成员行贿谋取中标，不得以他人名义投标或者以其他方式弄虚作假骗取中标；投标人不得以任何方式干扰、影响评标工作。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42.对评标委员会成员的纪律要求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42.1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43.对与评标活动有关的工作人员的纪律要求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p>
    <w:p>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（八）投诉</w:t>
      </w:r>
    </w:p>
    <w:p>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44.投诉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44.1投标人或者其他利害关系人认为招标投标活动违反法律、法规和规章规定的，有权向相关行政监督部门投诉。投诉应当有明确的请求和必要的证明材料。</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44.2投标人和其他利害关系人对招标文件、开标和评标结果事项投诉的，应当按照投标人须知的规定先向招标人提出异议。异议答复期间不计算在第44.1项规定的期限内。</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p>
    <w:p>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pPr>
        <w:rPr>
          <w:rFonts w:hint="eastAsia" w:ascii="宋体"/>
          <w:b/>
          <w:color w:val="auto"/>
          <w:sz w:val="32"/>
          <w:szCs w:val="32"/>
          <w:highlight w:val="none"/>
        </w:rPr>
      </w:pPr>
      <w:r>
        <w:rPr>
          <w:rFonts w:hint="eastAsia" w:ascii="宋体"/>
          <w:b/>
          <w:color w:val="auto"/>
          <w:sz w:val="32"/>
          <w:szCs w:val="32"/>
          <w:highlight w:val="none"/>
        </w:rPr>
        <w:br w:type="page"/>
      </w:r>
    </w:p>
    <w:p>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pPr>
        <w:spacing w:before="156" w:beforeLines="50" w:after="156" w:afterLines="50" w:line="440" w:lineRule="exact"/>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lang w:eastAsia="zh-CN"/>
        </w:rPr>
        <w:t>（</w:t>
      </w:r>
      <w:r>
        <w:rPr>
          <w:rFonts w:hint="eastAsia" w:ascii="宋体" w:hAnsi="Times New Roman" w:eastAsia="宋体" w:cs="Times New Roman"/>
          <w:b/>
          <w:color w:val="auto"/>
          <w:sz w:val="28"/>
          <w:szCs w:val="28"/>
          <w:highlight w:val="none"/>
          <w:lang w:val="en-US" w:eastAsia="zh-CN"/>
        </w:rPr>
        <w:t>一）</w:t>
      </w:r>
      <w:r>
        <w:rPr>
          <w:rFonts w:hint="eastAsia" w:ascii="宋体" w:hAnsi="Times New Roman" w:eastAsia="宋体" w:cs="Times New Roman"/>
          <w:b/>
          <w:color w:val="auto"/>
          <w:sz w:val="28"/>
          <w:szCs w:val="28"/>
          <w:highlight w:val="none"/>
        </w:rPr>
        <w:t>资格审查办法前附表</w:t>
      </w:r>
    </w:p>
    <w:tbl>
      <w:tblPr>
        <w:tblStyle w:val="2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noWrap w:val="0"/>
            <w:vAlign w:val="center"/>
          </w:tcPr>
          <w:p>
            <w:pPr>
              <w:keepNext w:val="0"/>
              <w:keepLines w:val="0"/>
              <w:suppressLineNumbers w:val="0"/>
              <w:spacing w:before="0" w:beforeAutospacing="0" w:after="0" w:afterAutospacing="0" w:line="440" w:lineRule="exact"/>
              <w:ind w:left="0" w:right="0"/>
              <w:jc w:val="center"/>
              <w:rPr>
                <w:rFonts w:hint="eastAsia"/>
                <w:color w:val="auto"/>
                <w:highlight w:val="none"/>
              </w:rPr>
            </w:pPr>
            <w:bookmarkStart w:id="59" w:name="_Toc15058909"/>
            <w:bookmarkStart w:id="60" w:name="_Toc60061492"/>
            <w:bookmarkStart w:id="61" w:name="_Toc95223395"/>
            <w:bookmarkStart w:id="62" w:name="_Toc506107320"/>
            <w:r>
              <w:rPr>
                <w:rFonts w:hint="eastAsia" w:ascii="黑体" w:eastAsia="黑体" w:cs="黑体"/>
                <w:b/>
                <w:bCs/>
                <w:color w:val="auto"/>
                <w:szCs w:val="21"/>
                <w:highlight w:val="none"/>
              </w:rPr>
              <w:t>序号</w:t>
            </w:r>
          </w:p>
        </w:tc>
        <w:tc>
          <w:tcPr>
            <w:tcW w:w="4243"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color w:val="auto"/>
                <w:highlight w:val="none"/>
              </w:rPr>
            </w:pPr>
            <w:r>
              <w:rPr>
                <w:rFonts w:hint="eastAsia" w:ascii="宋体" w:hAnsi="宋体"/>
                <w:color w:val="auto"/>
                <w:szCs w:val="21"/>
                <w:highlight w:val="none"/>
              </w:rPr>
              <w:t>评审因素</w:t>
            </w:r>
          </w:p>
        </w:tc>
        <w:tc>
          <w:tcPr>
            <w:tcW w:w="3929" w:type="dxa"/>
            <w:noWrap w:val="0"/>
            <w:vAlign w:val="center"/>
          </w:tcPr>
          <w:p>
            <w:pPr>
              <w:keepNext w:val="0"/>
              <w:keepLines w:val="0"/>
              <w:suppressLineNumbers w:val="0"/>
              <w:spacing w:before="0" w:beforeAutospacing="0" w:after="0" w:afterAutospacing="0" w:line="440" w:lineRule="exact"/>
              <w:ind w:left="0" w:right="0"/>
              <w:jc w:val="center"/>
              <w:rPr>
                <w:rFonts w:hint="eastAsia"/>
                <w:color w:val="auto"/>
                <w:highlight w:val="none"/>
              </w:rPr>
            </w:pPr>
            <w:r>
              <w:rPr>
                <w:rFonts w:hint="eastAsia" w:ascii="宋体" w:hAnsi="宋体"/>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2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3008" w:type="dxa"/>
            <w:noWrap w:val="0"/>
            <w:vAlign w:val="center"/>
          </w:tcPr>
          <w:p>
            <w:pPr>
              <w:keepNext w:val="0"/>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929" w:type="dxa"/>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olor w:val="auto"/>
                <w:szCs w:val="21"/>
                <w:highlight w:val="none"/>
              </w:rPr>
            </w:pPr>
            <w:r>
              <w:rPr>
                <w:rFonts w:hint="eastAsia"/>
                <w:color w:val="auto"/>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25" w:type="dxa"/>
            <w:vMerge w:val="restart"/>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pPr>
              <w:keepNext w:val="0"/>
              <w:keepLines w:val="0"/>
              <w:suppressLineNumbers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008" w:type="dxa"/>
            <w:noWrap w:val="0"/>
            <w:vAlign w:val="center"/>
          </w:tcPr>
          <w:p>
            <w:pPr>
              <w:keepNext w:val="0"/>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3929" w:type="dxa"/>
            <w:noWrap w:val="0"/>
            <w:vAlign w:val="center"/>
          </w:tcPr>
          <w:p>
            <w:pPr>
              <w:keepNext w:val="0"/>
              <w:keepLines w:val="0"/>
              <w:suppressLineNumbers w:val="0"/>
              <w:spacing w:before="0" w:beforeAutospacing="0" w:after="0" w:afterAutospacing="0" w:line="440" w:lineRule="exact"/>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pPr>
              <w:keepNext w:val="0"/>
              <w:keepLines w:val="0"/>
              <w:suppressLineNumbers w:val="0"/>
              <w:spacing w:before="0" w:beforeAutospacing="0" w:after="0" w:afterAutospacing="0" w:line="440" w:lineRule="exact"/>
              <w:ind w:left="0" w:right="0"/>
              <w:rPr>
                <w:rFonts w:hint="eastAsia" w:ascii="宋体" w:eastAsia="宋体"/>
                <w:color w:val="auto"/>
                <w:szCs w:val="21"/>
                <w:highlight w:val="none"/>
                <w:lang w:eastAsia="zh-CN"/>
              </w:rPr>
            </w:pPr>
            <w:r>
              <w:rPr>
                <w:rFonts w:hint="eastAsia" w:ascii="宋体" w:hAnsi="宋体" w:eastAsia="宋体" w:cs="宋体"/>
                <w:color w:val="auto"/>
                <w:highlight w:val="none"/>
              </w:rPr>
              <w:t>企业法人营业执照（或三证合一的有效证件），投标人是事业单位的，提供事业单位法人证书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25"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p>
        </w:tc>
        <w:tc>
          <w:tcPr>
            <w:tcW w:w="1235" w:type="dxa"/>
            <w:vMerge w:val="continue"/>
            <w:noWrap w:val="0"/>
            <w:vAlign w:val="center"/>
          </w:tcPr>
          <w:p>
            <w:pPr>
              <w:keepNext w:val="0"/>
              <w:keepLines w:val="0"/>
              <w:suppressLineNumbers w:val="0"/>
              <w:spacing w:before="0" w:beforeAutospacing="0" w:after="0" w:afterAutospacing="0" w:line="440" w:lineRule="exact"/>
              <w:ind w:left="0" w:right="0"/>
              <w:rPr>
                <w:rFonts w:hint="eastAsia" w:ascii="宋体" w:hAnsi="宋体"/>
                <w:color w:val="auto"/>
                <w:szCs w:val="21"/>
                <w:highlight w:val="none"/>
              </w:rPr>
            </w:pPr>
          </w:p>
        </w:tc>
        <w:tc>
          <w:tcPr>
            <w:tcW w:w="3008" w:type="dxa"/>
            <w:noWrap w:val="0"/>
            <w:vAlign w:val="center"/>
          </w:tcPr>
          <w:p>
            <w:pPr>
              <w:keepNext w:val="0"/>
              <w:keepLines w:val="0"/>
              <w:suppressLineNumbers w:val="0"/>
              <w:spacing w:before="0" w:beforeAutospacing="0" w:after="0" w:afterAutospacing="0" w:line="440" w:lineRule="exact"/>
              <w:ind w:left="0" w:right="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3929" w:type="dxa"/>
            <w:noWrap w:val="0"/>
            <w:vAlign w:val="center"/>
          </w:tcPr>
          <w:p>
            <w:pPr>
              <w:keepNext w:val="0"/>
              <w:keepLines w:val="0"/>
              <w:suppressLineNumbers w:val="0"/>
              <w:spacing w:before="0" w:beforeAutospacing="0" w:after="0" w:afterAutospacing="0" w:line="440" w:lineRule="exact"/>
              <w:ind w:left="0" w:right="0"/>
              <w:jc w:val="both"/>
              <w:rPr>
                <w:rFonts w:hint="eastAsia" w:ascii="宋体"/>
                <w:b/>
                <w:color w:val="auto"/>
                <w:szCs w:val="21"/>
                <w:highlight w:val="none"/>
              </w:rPr>
            </w:pPr>
            <w:r>
              <w:rPr>
                <w:rFonts w:hint="eastAsia"/>
                <w:color w:val="auto"/>
                <w:highlight w:val="none"/>
              </w:rPr>
              <w:t>格式见附件，检验电子标书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25"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p>
        </w:tc>
        <w:tc>
          <w:tcPr>
            <w:tcW w:w="1235" w:type="dxa"/>
            <w:vMerge w:val="continue"/>
            <w:noWrap w:val="0"/>
            <w:vAlign w:val="center"/>
          </w:tcPr>
          <w:p>
            <w:pPr>
              <w:keepNext w:val="0"/>
              <w:keepLines w:val="0"/>
              <w:suppressLineNumbers w:val="0"/>
              <w:spacing w:before="0" w:beforeAutospacing="0" w:after="0" w:afterAutospacing="0" w:line="440" w:lineRule="exact"/>
              <w:ind w:left="0" w:right="0"/>
              <w:rPr>
                <w:rFonts w:hint="eastAsia" w:ascii="宋体" w:hAnsi="宋体"/>
                <w:color w:val="auto"/>
                <w:szCs w:val="21"/>
                <w:highlight w:val="none"/>
              </w:rPr>
            </w:pPr>
          </w:p>
        </w:tc>
        <w:tc>
          <w:tcPr>
            <w:tcW w:w="3008" w:type="dxa"/>
            <w:noWrap w:val="0"/>
            <w:vAlign w:val="center"/>
          </w:tcPr>
          <w:p>
            <w:pPr>
              <w:keepNext w:val="0"/>
              <w:keepLines w:val="0"/>
              <w:suppressLineNumbers w:val="0"/>
              <w:spacing w:before="0" w:beforeAutospacing="0" w:after="0" w:afterAutospacing="0" w:line="440" w:lineRule="exact"/>
              <w:ind w:left="0" w:right="0"/>
              <w:jc w:val="both"/>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）服务承诺书</w:t>
            </w:r>
          </w:p>
        </w:tc>
        <w:tc>
          <w:tcPr>
            <w:tcW w:w="3929" w:type="dxa"/>
            <w:noWrap w:val="0"/>
            <w:vAlign w:val="center"/>
          </w:tcPr>
          <w:p>
            <w:pPr>
              <w:keepNext w:val="0"/>
              <w:keepLines w:val="0"/>
              <w:suppressLineNumbers w:val="0"/>
              <w:spacing w:before="0" w:beforeAutospacing="0" w:after="0" w:afterAutospacing="0" w:line="440" w:lineRule="exact"/>
              <w:ind w:left="0" w:right="0"/>
              <w:rPr>
                <w:rFonts w:hint="eastAsia" w:ascii="宋体"/>
                <w:color w:val="auto"/>
                <w:szCs w:val="21"/>
                <w:highlight w:val="none"/>
              </w:rPr>
            </w:pPr>
            <w:r>
              <w:rPr>
                <w:rFonts w:hint="eastAsia"/>
                <w:color w:val="auto"/>
                <w:highlight w:val="none"/>
              </w:rPr>
              <w:t>格式见附件，检验电子标书</w:t>
            </w:r>
          </w:p>
        </w:tc>
      </w:tr>
    </w:tbl>
    <w:p>
      <w:pPr>
        <w:keepNext w:val="0"/>
        <w:keepLines w:val="0"/>
        <w:pageBreakBefore w:val="0"/>
        <w:widowControl w:val="0"/>
        <w:kinsoku/>
        <w:wordWrap/>
        <w:overflowPunct/>
        <w:topLinePunct w:val="0"/>
        <w:autoSpaceDE/>
        <w:autoSpaceDN/>
        <w:bidi w:val="0"/>
        <w:spacing w:line="400" w:lineRule="exact"/>
        <w:ind w:right="-164" w:rightChars="-78" w:firstLine="508" w:firstLineChars="24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注：</w:t>
      </w:r>
      <w:r>
        <w:rPr>
          <w:rFonts w:hint="eastAsia" w:ascii="宋体" w:hAnsi="宋体" w:cs="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.审查办法</w:t>
      </w:r>
      <w:bookmarkEnd w:id="59"/>
      <w:bookmarkEnd w:id="60"/>
      <w:bookmarkEnd w:id="61"/>
      <w:bookmarkEnd w:id="62"/>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bookmarkStart w:id="63" w:name="_Toc15058910"/>
      <w:bookmarkStart w:id="64" w:name="_Toc60061493"/>
      <w:bookmarkStart w:id="65" w:name="_Toc506107321"/>
      <w:bookmarkStart w:id="66" w:name="_Toc324404868"/>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bookmarkStart w:id="67" w:name="_Toc95223396"/>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.资格审查委员会和审查标准</w:t>
      </w:r>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.1资格审查由招标人依法组建的资格审查委员会（或评标委员会）负责。审查标准见资格审查办法前附表。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.2由资格审查委员会（评标委员会）按资格审查办法前附表要求对投标人的审查资料进行核验。投标申请人有下列情形之一的，其资格审查为不合格： </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bookmarkStart w:id="68" w:name="_Toc324404869"/>
      <w:bookmarkStart w:id="69" w:name="_Toc15058911"/>
      <w:bookmarkStart w:id="70" w:name="_Toc95223397"/>
      <w:bookmarkStart w:id="71" w:name="_Toc60061494"/>
      <w:bookmarkStart w:id="72" w:name="_Toc506107322"/>
      <w:r>
        <w:rPr>
          <w:rFonts w:hint="eastAsia" w:ascii="宋体" w:hAnsi="宋体" w:cs="宋体"/>
          <w:color w:val="auto"/>
          <w:szCs w:val="21"/>
          <w:highlight w:val="none"/>
        </w:rPr>
        <w:t>（1）未上传电子标书或电子标书经审查不合格；</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）投标人投标 MAC 地址一致的；</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）法律、法规规定的其他情形。</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4.审查结果</w:t>
      </w:r>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p>
      <w:pPr>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
          <w:bCs/>
          <w:color w:val="auto"/>
          <w:kern w:val="0"/>
          <w:sz w:val="28"/>
          <w:szCs w:val="28"/>
          <w:highlight w:val="none"/>
          <w:u w:color="000000"/>
          <w:lang w:val="en-US" w:eastAsia="zh-CN" w:bidi="ar"/>
        </w:rPr>
        <w:br w:type="page"/>
      </w:r>
    </w:p>
    <w:p>
      <w:pPr>
        <w:adjustRightInd w:val="0"/>
        <w:snapToGrid w:val="0"/>
        <w:spacing w:line="560" w:lineRule="exact"/>
        <w:jc w:val="center"/>
        <w:rPr>
          <w:rFonts w:hint="default" w:ascii="宋体" w:hAnsi="宋体" w:eastAsia="宋体" w:cs="宋体"/>
          <w:b/>
          <w:bCs/>
          <w:color w:val="auto"/>
          <w:sz w:val="28"/>
          <w:szCs w:val="28"/>
          <w:highlight w:val="none"/>
          <w:lang w:val="en-US"/>
        </w:rPr>
      </w:pPr>
      <w:r>
        <w:rPr>
          <w:rFonts w:hint="eastAsia" w:ascii="宋体" w:hAnsi="宋体" w:eastAsia="宋体" w:cs="宋体"/>
          <w:b/>
          <w:bCs/>
          <w:color w:val="auto"/>
          <w:kern w:val="0"/>
          <w:sz w:val="28"/>
          <w:szCs w:val="28"/>
          <w:highlight w:val="none"/>
          <w:u w:color="000000"/>
          <w:lang w:val="en-US" w:eastAsia="zh-CN" w:bidi="ar"/>
        </w:rPr>
        <w:t xml:space="preserve">第四章  </w:t>
      </w:r>
      <w:r>
        <w:rPr>
          <w:rFonts w:hint="eastAsia" w:ascii="宋体" w:hAnsi="宋体" w:eastAsia="宋体" w:cs="宋体"/>
          <w:b/>
          <w:bCs w:val="0"/>
          <w:color w:val="auto"/>
          <w:kern w:val="44"/>
          <w:sz w:val="28"/>
          <w:szCs w:val="28"/>
          <w:highlight w:val="none"/>
          <w:u w:color="000000"/>
          <w:lang w:val="en-US" w:eastAsia="zh-CN" w:bidi="ar"/>
        </w:rPr>
        <w:t>评标办法</w:t>
      </w:r>
    </w:p>
    <w:p>
      <w:pPr>
        <w:pStyle w:val="2"/>
        <w:numPr>
          <w:ilvl w:val="0"/>
          <w:numId w:val="0"/>
        </w:numPr>
        <w:jc w:val="left"/>
        <w:rPr>
          <w:rFonts w:hint="default" w:eastAsia="宋体"/>
          <w:color w:val="auto"/>
          <w:highlight w:val="none"/>
          <w:lang w:val="en-US" w:eastAsia="zh-CN"/>
        </w:rPr>
      </w:pPr>
      <w:bookmarkStart w:id="73" w:name="_Toc23254"/>
      <w:bookmarkEnd w:id="73"/>
      <w:r>
        <w:rPr>
          <w:rFonts w:hint="eastAsia"/>
          <w:color w:val="auto"/>
          <w:highlight w:val="none"/>
          <w:lang w:val="en-US" w:eastAsia="zh-CN"/>
        </w:rPr>
        <w:t>报价评审：</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bookmarkStart w:id="74" w:name="_Toc58430318"/>
            <w:bookmarkStart w:id="75" w:name="_Toc267320058"/>
            <w:bookmarkStart w:id="76" w:name="_Toc449028878"/>
            <w:bookmarkStart w:id="77" w:name="_Toc362983802"/>
            <w:bookmarkStart w:id="78" w:name="_Toc363135205"/>
            <w:r>
              <w:rPr>
                <w:rFonts w:hint="eastAsia" w:ascii="黑体" w:eastAsia="黑体" w:cs="黑体"/>
                <w:b/>
                <w:bCs/>
                <w:color w:val="auto"/>
                <w:szCs w:val="21"/>
                <w:highlight w:val="none"/>
              </w:rPr>
              <w:t>序号</w:t>
            </w:r>
          </w:p>
        </w:tc>
        <w:tc>
          <w:tcPr>
            <w:tcW w:w="4135" w:type="dxa"/>
            <w:gridSpan w:val="2"/>
            <w:noWrap w:val="0"/>
            <w:vAlign w:val="center"/>
          </w:tcPr>
          <w:p>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2931"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rPr>
              <w:t>符合第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投标文件签字盖章</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rPr>
              <w:t>按投标文件格式要求签章。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olor w:val="auto"/>
                <w:szCs w:val="21"/>
                <w:highlight w:val="none"/>
              </w:rPr>
            </w:pPr>
            <w:r>
              <w:rPr>
                <w:rFonts w:hint="eastAsia" w:ascii="宋体" w:hAnsi="宋体" w:cs="宋体"/>
                <w:color w:val="auto"/>
                <w:szCs w:val="21"/>
                <w:highlight w:val="none"/>
              </w:rPr>
              <w:t>报价唯一</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2931" w:type="dxa"/>
            <w:noWrap w:val="0"/>
            <w:vAlign w:val="center"/>
          </w:tcPr>
          <w:p>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lang w:val="en-US" w:eastAsia="zh-CN"/>
              </w:rPr>
              <w:t>服务期</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评审</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auto"/>
                <w:szCs w:val="21"/>
                <w:highlight w:val="none"/>
                <w:lang w:eastAsia="zh-CN"/>
              </w:rPr>
            </w:pPr>
            <w:r>
              <w:rPr>
                <w:rFonts w:hint="eastAsia" w:ascii="宋体" w:hAnsi="宋体" w:cs="宋体"/>
                <w:color w:val="auto"/>
                <w:spacing w:val="-6"/>
                <w:szCs w:val="21"/>
                <w:highlight w:val="none"/>
              </w:rPr>
              <w:t>不得高于最高投标限价</w:t>
            </w:r>
            <w:r>
              <w:rPr>
                <w:rFonts w:hint="eastAsia" w:ascii="宋体" w:hAnsi="宋体" w:cs="宋体"/>
                <w:color w:val="auto"/>
                <w:spacing w:val="-6"/>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详细评审标准</w:t>
            </w:r>
          </w:p>
          <w:p>
            <w:pPr>
              <w:keepNext w:val="0"/>
              <w:keepLines w:val="0"/>
              <w:suppressLineNumbers w:val="0"/>
              <w:spacing w:before="0" w:beforeAutospacing="0" w:after="0" w:afterAutospacing="0" w:line="320" w:lineRule="atLeast"/>
              <w:ind w:left="0" w:right="0"/>
              <w:jc w:val="center"/>
              <w:rPr>
                <w:rFonts w:hint="eastAsia" w:ascii="宋体" w:cs="仿宋_GB2312"/>
                <w:color w:val="auto"/>
                <w:szCs w:val="21"/>
                <w:highlight w:val="none"/>
                <w:lang w:val="zh-CN"/>
              </w:rPr>
            </w:pPr>
          </w:p>
        </w:tc>
        <w:tc>
          <w:tcPr>
            <w:tcW w:w="2931" w:type="dxa"/>
            <w:noWrap w:val="0"/>
            <w:vAlign w:val="center"/>
          </w:tcPr>
          <w:p>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采购需求响应程度</w:t>
            </w:r>
          </w:p>
        </w:tc>
        <w:tc>
          <w:tcPr>
            <w:tcW w:w="4173" w:type="dxa"/>
            <w:noWrap w:val="0"/>
            <w:vAlign w:val="center"/>
          </w:tcPr>
          <w:p>
            <w:pPr>
              <w:keepNext w:val="0"/>
              <w:keepLines w:val="0"/>
              <w:suppressLineNumbers w:val="0"/>
              <w:spacing w:before="0" w:beforeAutospacing="0" w:after="0" w:afterAutospacing="0" w:line="320" w:lineRule="atLeast"/>
              <w:ind w:left="0" w:right="0"/>
              <w:rPr>
                <w:rFonts w:hint="eastAsia" w:ascii="宋体" w:eastAsia="宋体" w:cs="仿宋_GB2312"/>
                <w:color w:val="auto"/>
                <w:szCs w:val="21"/>
                <w:highlight w:val="none"/>
                <w:lang w:val="zh-CN" w:eastAsia="zh-CN"/>
              </w:rPr>
            </w:pPr>
            <w:r>
              <w:rPr>
                <w:rFonts w:hint="eastAsia" w:ascii="宋体" w:cs="仿宋_GB2312"/>
                <w:color w:val="auto"/>
                <w:szCs w:val="21"/>
                <w:highlight w:val="none"/>
                <w:lang w:val="zh-CN"/>
              </w:rPr>
              <w:t>完全响应或优于招标文件要求。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jc w:val="center"/>
              <w:rPr>
                <w:rFonts w:hint="eastAsia" w:ascii="宋体" w:cs="仿宋_GB2312"/>
                <w:color w:val="auto"/>
                <w:szCs w:val="21"/>
                <w:highlight w:val="none"/>
                <w:lang w:val="zh-CN"/>
              </w:rPr>
            </w:pPr>
          </w:p>
        </w:tc>
        <w:tc>
          <w:tcPr>
            <w:tcW w:w="2931" w:type="dxa"/>
            <w:noWrap w:val="0"/>
            <w:vAlign w:val="center"/>
          </w:tcPr>
          <w:p>
            <w:pPr>
              <w:keepNext w:val="0"/>
              <w:keepLines w:val="0"/>
              <w:suppressLineNumbers w:val="0"/>
              <w:spacing w:before="0" w:beforeAutospacing="0" w:after="0" w:afterAutospacing="0" w:line="320" w:lineRule="atLeast"/>
              <w:ind w:left="0" w:right="0"/>
              <w:rPr>
                <w:rFonts w:hint="eastAsia" w:ascii="宋体" w:hAnsi="宋体" w:cs="宋体"/>
                <w:color w:val="auto"/>
                <w:szCs w:val="21"/>
                <w:highlight w:val="none"/>
              </w:rPr>
            </w:pPr>
            <w:r>
              <w:rPr>
                <w:rFonts w:hint="eastAsia" w:ascii="宋体" w:cs="仿宋_GB2312"/>
                <w:color w:val="auto"/>
                <w:szCs w:val="21"/>
                <w:highlight w:val="none"/>
                <w:lang w:val="zh-CN"/>
              </w:rPr>
              <w:t>商务条款响应程度</w:t>
            </w:r>
          </w:p>
        </w:tc>
        <w:tc>
          <w:tcPr>
            <w:tcW w:w="4173" w:type="dxa"/>
            <w:noWrap w:val="0"/>
            <w:vAlign w:val="center"/>
          </w:tcPr>
          <w:p>
            <w:pPr>
              <w:keepNext w:val="0"/>
              <w:keepLines w:val="0"/>
              <w:suppressLineNumbers w:val="0"/>
              <w:spacing w:before="0" w:beforeAutospacing="0" w:after="0" w:afterAutospacing="0" w:line="320" w:lineRule="atLeast"/>
              <w:ind w:left="0" w:right="0"/>
              <w:rPr>
                <w:rFonts w:hint="eastAsia" w:ascii="宋体" w:hAnsi="宋体" w:cs="宋体"/>
                <w:color w:val="auto"/>
                <w:szCs w:val="21"/>
                <w:highlight w:val="none"/>
              </w:rPr>
            </w:pPr>
            <w:r>
              <w:rPr>
                <w:rFonts w:hint="eastAsia" w:ascii="宋体" w:cs="仿宋_GB2312"/>
                <w:color w:val="auto"/>
                <w:szCs w:val="21"/>
                <w:highlight w:val="none"/>
                <w:lang w:val="zh-CN"/>
              </w:rPr>
              <w:t>完全响应或优于招标文件要求。</w:t>
            </w:r>
          </w:p>
        </w:tc>
      </w:tr>
    </w:tbl>
    <w:p>
      <w:pPr>
        <w:spacing w:line="440" w:lineRule="exact"/>
        <w:ind w:firstLine="316" w:firstLineChars="150"/>
        <w:jc w:val="left"/>
        <w:rPr>
          <w:rFonts w:hint="default" w:ascii="宋体"/>
          <w:b/>
          <w:color w:val="auto"/>
          <w:szCs w:val="21"/>
          <w:highlight w:val="none"/>
          <w:lang w:val="en-US" w:eastAsia="zh-CN"/>
        </w:rPr>
      </w:pPr>
      <w:r>
        <w:rPr>
          <w:rFonts w:hint="eastAsia" w:ascii="宋体"/>
          <w:b/>
          <w:color w:val="auto"/>
          <w:szCs w:val="21"/>
          <w:highlight w:val="none"/>
          <w:lang w:val="en-US" w:eastAsia="zh-CN"/>
        </w:rPr>
        <w:t>1. 评标方法</w:t>
      </w:r>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1.1本次评标采用最低评标价法，评标委员会对满足招标文件实质性要求的投标文件，最终按投标报价最低原则，推荐有效投标报价最低的为第一中标候选人，次低的为第二中标候选人，以此类推，推荐中标候选人</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名，并标明排序，但投标报价低于其成本的除外。投标报价最低的有效投标人有两名或两名以上相同时，由评标委员会主任委员或招标人抽签确定第一中标候选人。</w:t>
      </w:r>
    </w:p>
    <w:p>
      <w:pPr>
        <w:spacing w:line="440" w:lineRule="exact"/>
        <w:ind w:firstLine="316" w:firstLineChars="150"/>
        <w:jc w:val="left"/>
        <w:rPr>
          <w:rFonts w:hint="eastAsia" w:ascii="宋体"/>
          <w:b/>
          <w:color w:val="auto"/>
          <w:szCs w:val="21"/>
          <w:highlight w:val="none"/>
          <w:lang w:val="en-US" w:eastAsia="zh-CN"/>
        </w:rPr>
      </w:pPr>
      <w:r>
        <w:rPr>
          <w:rFonts w:hint="eastAsia" w:ascii="宋体"/>
          <w:b/>
          <w:color w:val="auto"/>
          <w:szCs w:val="21"/>
          <w:highlight w:val="none"/>
          <w:lang w:val="en-US" w:eastAsia="zh-CN"/>
        </w:rPr>
        <w:t>2．评标委员会的职责</w:t>
      </w:r>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440" w:lineRule="exact"/>
        <w:ind w:firstLine="315" w:firstLineChars="150"/>
        <w:jc w:val="left"/>
        <w:rPr>
          <w:rFonts w:hint="eastAsia" w:ascii="Times New Roman" w:hAnsi="Times New Roman" w:eastAsia="宋体" w:cs="Times New Roman"/>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评标委员会应加</w:t>
      </w:r>
      <w:r>
        <w:rPr>
          <w:rFonts w:hint="eastAsia" w:ascii="Times New Roman" w:hAnsi="Times New Roman" w:eastAsia="宋体" w:cs="Times New Roman"/>
          <w:color w:val="auto"/>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numPr>
          <w:ilvl w:val="0"/>
          <w:numId w:val="1"/>
        </w:numPr>
        <w:spacing w:line="440" w:lineRule="exact"/>
        <w:ind w:firstLine="316" w:firstLineChars="150"/>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评标程序</w:t>
      </w:r>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评标先做准备工作，再进行</w:t>
      </w:r>
      <w:r>
        <w:rPr>
          <w:rFonts w:hint="eastAsia" w:ascii="宋体" w:hAnsi="宋体" w:eastAsia="宋体" w:cs="宋体"/>
          <w:color w:val="auto"/>
          <w:highlight w:val="none"/>
          <w:lang w:val="en-US" w:eastAsia="zh-CN"/>
        </w:rPr>
        <w:t>资格审查</w:t>
      </w:r>
      <w:r>
        <w:rPr>
          <w:rFonts w:hint="eastAsia" w:ascii="宋体" w:hAnsi="宋体" w:eastAsia="宋体" w:cs="宋体"/>
          <w:color w:val="auto"/>
          <w:highlight w:val="none"/>
        </w:rPr>
        <w:t>，然后进行</w:t>
      </w:r>
      <w:r>
        <w:rPr>
          <w:rFonts w:hint="eastAsia" w:ascii="宋体" w:hAnsi="宋体" w:eastAsia="宋体" w:cs="宋体"/>
          <w:color w:val="auto"/>
          <w:highlight w:val="none"/>
          <w:lang w:val="en-US" w:eastAsia="zh-CN"/>
        </w:rPr>
        <w:t>投标文件</w:t>
      </w:r>
      <w:r>
        <w:rPr>
          <w:rFonts w:hint="eastAsia" w:ascii="宋体" w:hAnsi="宋体" w:eastAsia="宋体" w:cs="宋体"/>
          <w:color w:val="auto"/>
          <w:highlight w:val="none"/>
        </w:rPr>
        <w:t>评审。</w:t>
      </w:r>
    </w:p>
    <w:p>
      <w:pPr>
        <w:spacing w:line="440" w:lineRule="exact"/>
        <w:ind w:firstLine="315" w:firstLineChars="150"/>
        <w:jc w:val="left"/>
        <w:rPr>
          <w:rFonts w:hint="eastAsia" w:ascii="宋体" w:hAnsi="宋体" w:eastAsia="宋体" w:cs="宋体"/>
          <w:color w:val="auto"/>
          <w:highlight w:val="none"/>
        </w:rPr>
      </w:pPr>
      <w:bookmarkStart w:id="79" w:name="_Toc95223402"/>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评标准备工作</w:t>
      </w:r>
      <w:bookmarkEnd w:id="79"/>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评标委员会熟悉评标工作情况：</w:t>
      </w:r>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（1）阅读由招标人或者其委</w:t>
      </w:r>
      <w:bookmarkStart w:id="80" w:name="_Toc60061499"/>
      <w:bookmarkStart w:id="81" w:name="_Toc15058916"/>
      <w:r>
        <w:rPr>
          <w:rFonts w:hint="eastAsia" w:ascii="宋体" w:hAnsi="宋体" w:eastAsia="宋体" w:cs="宋体"/>
          <w:color w:val="auto"/>
          <w:highlight w:val="none"/>
        </w:rPr>
        <w:t>托的代理机构编</w:t>
      </w:r>
      <w:bookmarkEnd w:id="80"/>
      <w:bookmarkEnd w:id="81"/>
      <w:r>
        <w:rPr>
          <w:rFonts w:hint="eastAsia" w:ascii="宋体" w:hAnsi="宋体" w:eastAsia="宋体" w:cs="宋体"/>
          <w:color w:val="auto"/>
          <w:highlight w:val="none"/>
        </w:rPr>
        <w:t>制的招标项目情况材料。</w:t>
      </w:r>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（3）熟悉招标文件规定的评标标准和评标方法及在评标过程中需要考虑的相关因素。</w:t>
      </w:r>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（4）核对评标工作用表。</w:t>
      </w:r>
    </w:p>
    <w:p>
      <w:pPr>
        <w:spacing w:line="440" w:lineRule="exact"/>
        <w:ind w:firstLine="315" w:firstLineChars="150"/>
        <w:jc w:val="left"/>
        <w:rPr>
          <w:rFonts w:hint="eastAsia" w:ascii="宋体" w:hAnsi="宋体" w:eastAsia="宋体" w:cs="宋体"/>
          <w:color w:val="auto"/>
          <w:highlight w:val="none"/>
        </w:rPr>
      </w:pPr>
      <w:bookmarkStart w:id="82" w:name="_Toc60061500"/>
      <w:bookmarkStart w:id="83" w:name="_Toc15058917"/>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推荐中标候</w:t>
      </w:r>
      <w:bookmarkEnd w:id="82"/>
      <w:bookmarkEnd w:id="83"/>
      <w:r>
        <w:rPr>
          <w:rFonts w:hint="eastAsia" w:ascii="宋体" w:hAnsi="宋体" w:eastAsia="宋体" w:cs="宋体"/>
          <w:color w:val="auto"/>
          <w:highlight w:val="none"/>
        </w:rPr>
        <w:t>选人</w:t>
      </w:r>
    </w:p>
    <w:p>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w:t>
      </w:r>
      <w:bookmarkStart w:id="84" w:name="_Toc15058918"/>
      <w:bookmarkStart w:id="85" w:name="_Toc60061501"/>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rPr>
        <w:t>评审</w:t>
      </w:r>
      <w:bookmarkEnd w:id="84"/>
      <w:bookmarkEnd w:id="85"/>
      <w:r>
        <w:rPr>
          <w:rFonts w:hint="eastAsia" w:ascii="宋体" w:hAnsi="宋体" w:cs="宋体"/>
          <w:color w:val="auto"/>
          <w:szCs w:val="21"/>
          <w:highlight w:val="none"/>
        </w:rPr>
        <w:t>后，推荐中标候选人，并标明排序。</w:t>
      </w:r>
    </w:p>
    <w:p>
      <w:pPr>
        <w:numPr>
          <w:ilvl w:val="0"/>
          <w:numId w:val="1"/>
        </w:numPr>
        <w:spacing w:line="440" w:lineRule="exact"/>
        <w:ind w:firstLine="316" w:firstLineChars="150"/>
        <w:jc w:val="left"/>
        <w:rPr>
          <w:rFonts w:hint="eastAsia" w:ascii="宋体" w:hAnsi="Times New Roman" w:eastAsia="宋体" w:cs="Times New Roman"/>
          <w:b/>
          <w:color w:val="auto"/>
          <w:szCs w:val="21"/>
          <w:highlight w:val="none"/>
          <w:lang w:val="en-US" w:eastAsia="zh-CN"/>
        </w:rPr>
      </w:pPr>
      <w:bookmarkStart w:id="86" w:name="_Toc95223405"/>
      <w:r>
        <w:rPr>
          <w:rFonts w:hint="eastAsia" w:ascii="宋体" w:hAnsi="Times New Roman" w:eastAsia="宋体" w:cs="Times New Roman"/>
          <w:b/>
          <w:color w:val="auto"/>
          <w:szCs w:val="21"/>
          <w:highlight w:val="none"/>
          <w:lang w:val="en-US" w:eastAsia="zh-CN"/>
        </w:rPr>
        <w:t>评审内容</w:t>
      </w:r>
      <w:bookmarkEnd w:id="86"/>
    </w:p>
    <w:p>
      <w:pPr>
        <w:spacing w:line="440" w:lineRule="exact"/>
        <w:ind w:firstLine="315" w:firstLineChars="150"/>
        <w:jc w:val="left"/>
        <w:rPr>
          <w:rFonts w:hint="eastAsia" w:ascii="宋体" w:hAnsi="宋体" w:eastAsia="宋体" w:cs="宋体"/>
          <w:color w:val="auto"/>
          <w:szCs w:val="21"/>
          <w:highlight w:val="none"/>
        </w:rPr>
      </w:pPr>
      <w:bookmarkStart w:id="87" w:name="_Toc95223407"/>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1投标文件</w:t>
      </w:r>
      <w:r>
        <w:rPr>
          <w:rFonts w:hint="eastAsia" w:ascii="宋体" w:hAnsi="宋体" w:eastAsia="宋体" w:cs="宋体"/>
          <w:color w:val="auto"/>
          <w:szCs w:val="21"/>
          <w:highlight w:val="none"/>
        </w:rPr>
        <w:t>评审</w:t>
      </w:r>
      <w:bookmarkEnd w:id="87"/>
    </w:p>
    <w:p>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w:t>
      </w:r>
      <w:r>
        <w:rPr>
          <w:rFonts w:hint="eastAsia" w:ascii="宋体" w:hAnsi="宋体" w:eastAsia="宋体" w:cs="宋体"/>
          <w:color w:val="auto"/>
          <w:szCs w:val="21"/>
          <w:highlight w:val="none"/>
          <w:lang w:val="en-US" w:eastAsia="zh-CN"/>
        </w:rPr>
        <w:t>资格审查</w:t>
      </w:r>
      <w:r>
        <w:rPr>
          <w:rFonts w:hint="eastAsia" w:ascii="宋体" w:hAnsi="宋体" w:eastAsia="宋体" w:cs="宋体"/>
          <w:color w:val="auto"/>
          <w:szCs w:val="21"/>
          <w:highlight w:val="none"/>
        </w:rPr>
        <w:t>的投标才能够进入本阶段评审。</w:t>
      </w:r>
    </w:p>
    <w:p>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88" w:name="_Toc15058921"/>
      <w:bookmarkStart w:id="89" w:name="_Toc60061504"/>
      <w:r>
        <w:rPr>
          <w:rFonts w:hint="eastAsia" w:ascii="宋体" w:hAnsi="宋体" w:eastAsia="宋体" w:cs="宋体"/>
          <w:color w:val="auto"/>
          <w:szCs w:val="21"/>
          <w:highlight w:val="none"/>
        </w:rPr>
        <w:t>形式性评审标准：</w:t>
      </w:r>
      <w:bookmarkEnd w:id="88"/>
      <w:bookmarkEnd w:id="89"/>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.2响应性评审标准：见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.3详细评审标准：见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bookmarkEnd w:id="74"/>
    <w:bookmarkEnd w:id="75"/>
    <w:bookmarkEnd w:id="76"/>
    <w:bookmarkEnd w:id="77"/>
    <w:p>
      <w:pPr>
        <w:numPr>
          <w:ilvl w:val="0"/>
          <w:numId w:val="1"/>
        </w:numPr>
        <w:spacing w:line="440" w:lineRule="exact"/>
        <w:ind w:firstLine="316" w:firstLineChars="150"/>
        <w:jc w:val="left"/>
        <w:rPr>
          <w:rFonts w:hint="eastAsia" w:ascii="宋体" w:hAnsi="Times New Roman" w:eastAsia="宋体" w:cs="Times New Roman"/>
          <w:b/>
          <w:color w:val="auto"/>
          <w:szCs w:val="21"/>
          <w:highlight w:val="none"/>
          <w:lang w:val="en-US" w:eastAsia="zh-CN"/>
        </w:rPr>
      </w:pPr>
      <w:bookmarkStart w:id="90" w:name="_Hlk61815781"/>
      <w:r>
        <w:rPr>
          <w:rFonts w:hint="eastAsia" w:ascii="宋体" w:hAnsi="Times New Roman" w:eastAsia="宋体" w:cs="Times New Roman"/>
          <w:b/>
          <w:color w:val="auto"/>
          <w:szCs w:val="21"/>
          <w:highlight w:val="none"/>
          <w:lang w:val="en-US" w:eastAsia="zh-CN"/>
        </w:rPr>
        <w:t>无效投标条款</w:t>
      </w:r>
    </w:p>
    <w:p>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pPr>
        <w:spacing w:line="440" w:lineRule="exact"/>
        <w:ind w:firstLine="315" w:firstLineChars="15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）未在</w:t>
      </w:r>
      <w:r>
        <w:rPr>
          <w:rFonts w:hint="eastAsia" w:ascii="宋体" w:hAnsi="宋体" w:eastAsia="宋体" w:cs="宋体"/>
          <w:color w:val="auto"/>
          <w:szCs w:val="21"/>
          <w:highlight w:val="none"/>
          <w:lang w:val="en-US" w:eastAsia="zh-CN"/>
        </w:rPr>
        <w:t>投</w:t>
      </w:r>
      <w:r>
        <w:rPr>
          <w:rFonts w:hint="eastAsia" w:ascii="宋体" w:hAnsi="宋体" w:eastAsia="宋体" w:cs="宋体"/>
          <w:color w:val="auto"/>
          <w:szCs w:val="21"/>
          <w:highlight w:val="none"/>
          <w:lang w:eastAsia="zh-CN"/>
        </w:rPr>
        <w:t>标截止时间前通过网上招标投标系统递交有效电子投标文件的，开标系统不予接收，投标将被拒绝。</w:t>
      </w:r>
    </w:p>
    <w:p>
      <w:pPr>
        <w:spacing w:line="440" w:lineRule="exact"/>
        <w:ind w:firstLine="315" w:firstLineChars="15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 分钟，否则投标文件将被拒绝。</w:t>
      </w:r>
    </w:p>
    <w:p>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（2）调整或修正投标文件的投标报价，调整或修正的价格经投标人书面确认后具有约束力。投标人不接受修正价格的，其投标将被拒绝。</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）投标人单方面出现其他投标人材料。</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）法律、法规规定的其他情形。</w:t>
      </w:r>
    </w:p>
    <w:bookmarkEnd w:id="78"/>
    <w:bookmarkEnd w:id="90"/>
    <w:p>
      <w:pPr>
        <w:spacing w:line="440" w:lineRule="exact"/>
        <w:ind w:firstLine="422" w:firstLineChars="200"/>
        <w:jc w:val="left"/>
        <w:rPr>
          <w:rFonts w:hint="eastAsia" w:ascii="宋体" w:hAnsi="Times New Roman" w:eastAsia="宋体" w:cs="Times New Roman"/>
          <w:b/>
          <w:color w:val="auto"/>
          <w:szCs w:val="21"/>
          <w:highlight w:val="none"/>
          <w:lang w:val="en-US" w:eastAsia="zh-CN"/>
        </w:rPr>
      </w:pPr>
      <w:bookmarkStart w:id="91" w:name="_Toc95223439"/>
      <w:r>
        <w:rPr>
          <w:rFonts w:hint="eastAsia" w:ascii="宋体" w:hAnsi="Times New Roman" w:eastAsia="宋体" w:cs="Times New Roman"/>
          <w:b/>
          <w:color w:val="auto"/>
          <w:szCs w:val="21"/>
          <w:highlight w:val="none"/>
          <w:lang w:val="en-US" w:eastAsia="zh-CN"/>
        </w:rPr>
        <w:t>6.投标文件的澄清和补正</w:t>
      </w:r>
      <w:bookmarkEnd w:id="91"/>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6.4</w:t>
      </w:r>
      <w:r>
        <w:rPr>
          <w:rFonts w:hint="eastAsia" w:ascii="宋体"/>
          <w:color w:val="auto"/>
          <w:szCs w:val="21"/>
          <w:highlight w:val="none"/>
        </w:rPr>
        <w:t>评委会修正错误的原则：</w:t>
      </w:r>
    </w:p>
    <w:p>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.2如果单价与数量的乘积和总价不一致，以单价为准，修正总价及开标一览表；当单价小数点有明显的错位时，评委会将以总价为准，并修正其单价。</w:t>
      </w:r>
    </w:p>
    <w:p>
      <w:pPr>
        <w:spacing w:line="400" w:lineRule="exact"/>
        <w:ind w:firstLine="403" w:firstLineChars="192"/>
        <w:rPr>
          <w:rFonts w:hint="eastAsia"/>
          <w:color w:val="auto"/>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auto"/>
          <w:szCs w:val="21"/>
          <w:highlight w:val="none"/>
          <w:lang w:eastAsia="zh-CN"/>
        </w:rPr>
        <w:t>投标人在系统中</w:t>
      </w:r>
      <w:r>
        <w:rPr>
          <w:rFonts w:hint="eastAsia" w:ascii="宋体"/>
          <w:color w:val="auto"/>
          <w:szCs w:val="21"/>
          <w:highlight w:val="none"/>
        </w:rPr>
        <w:t>确认。</w:t>
      </w:r>
      <w:r>
        <w:rPr>
          <w:rFonts w:hint="eastAsia" w:ascii="宋体"/>
          <w:b/>
          <w:bCs/>
          <w:color w:val="auto"/>
          <w:szCs w:val="21"/>
          <w:highlight w:val="none"/>
        </w:rPr>
        <w:t>投标人拒绝对投标文件出现的错漏按上述原则进行修正、澄清、说明，评标委员会应当否决其投标。</w:t>
      </w:r>
    </w:p>
    <w:p>
      <w:pPr>
        <w:spacing w:line="440" w:lineRule="exact"/>
        <w:ind w:firstLine="527" w:firstLineChars="250"/>
        <w:jc w:val="left"/>
        <w:rPr>
          <w:rFonts w:hint="eastAsia" w:ascii="宋体" w:hAnsi="Times New Roman" w:eastAsia="宋体" w:cs="Times New Roman"/>
          <w:b/>
          <w:color w:val="auto"/>
          <w:szCs w:val="21"/>
          <w:highlight w:val="none"/>
          <w:lang w:val="en-US" w:eastAsia="zh-CN"/>
        </w:rPr>
      </w:pPr>
      <w:bookmarkStart w:id="92" w:name="_Toc95223441"/>
      <w:r>
        <w:rPr>
          <w:rFonts w:hint="eastAsia" w:ascii="宋体" w:hAnsi="Times New Roman" w:eastAsia="宋体" w:cs="Times New Roman"/>
          <w:b/>
          <w:color w:val="auto"/>
          <w:szCs w:val="21"/>
          <w:highlight w:val="none"/>
          <w:lang w:val="en-US" w:eastAsia="zh-CN"/>
        </w:rPr>
        <w:t>7.评审结果</w:t>
      </w:r>
      <w:bookmarkEnd w:id="92"/>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.1除第二章“投标人须知”及其前附表授权直接确定中标人外，评标委员会按照</w:t>
      </w:r>
      <w:r>
        <w:rPr>
          <w:rFonts w:hint="eastAsia" w:ascii="宋体" w:hAnsi="宋体" w:eastAsia="宋体" w:cs="宋体"/>
          <w:color w:val="auto"/>
          <w:highlight w:val="none"/>
        </w:rPr>
        <w:t>投标报价最低</w:t>
      </w:r>
      <w:r>
        <w:rPr>
          <w:rFonts w:hint="eastAsia" w:ascii="宋体" w:hAnsi="宋体" w:eastAsia="宋体" w:cs="宋体"/>
          <w:color w:val="auto"/>
          <w:szCs w:val="21"/>
          <w:highlight w:val="none"/>
        </w:rPr>
        <w:t>顺序推荐中标候选人。</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.2评标委员会完成评标后，应当向招标人提交书面评标报告。评标报告应当如实记载以下内容：</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.3依法必须进行招标的项目，招标人应当确定</w:t>
      </w:r>
      <w:r>
        <w:rPr>
          <w:rFonts w:hint="eastAsia" w:ascii="宋体" w:hAnsi="宋体" w:eastAsia="宋体" w:cs="宋体"/>
          <w:color w:val="auto"/>
          <w:szCs w:val="21"/>
          <w:highlight w:val="none"/>
          <w:lang w:val="en-US" w:eastAsia="zh-CN"/>
        </w:rPr>
        <w:t>经评审</w:t>
      </w:r>
      <w:r>
        <w:rPr>
          <w:rFonts w:hint="eastAsia" w:ascii="宋体" w:hAnsi="宋体" w:eastAsia="宋体" w:cs="宋体"/>
          <w:color w:val="auto"/>
          <w:highlight w:val="none"/>
        </w:rPr>
        <w:t>投标报价最低</w:t>
      </w:r>
      <w:r>
        <w:rPr>
          <w:rFonts w:hint="eastAsia" w:ascii="宋体" w:hAnsi="宋体" w:eastAsia="宋体" w:cs="宋体"/>
          <w:color w:val="auto"/>
          <w:szCs w:val="21"/>
          <w:highlight w:val="none"/>
        </w:rPr>
        <w:t>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spacing w:line="440" w:lineRule="exact"/>
        <w:ind w:firstLine="422" w:firstLineChars="200"/>
        <w:jc w:val="left"/>
        <w:rPr>
          <w:rFonts w:hint="eastAsia" w:ascii="宋体" w:hAnsi="Times New Roman" w:eastAsia="宋体" w:cs="Times New Roman"/>
          <w:b/>
          <w:color w:val="auto"/>
          <w:szCs w:val="21"/>
          <w:highlight w:val="none"/>
          <w:lang w:val="en-US" w:eastAsia="zh-CN"/>
        </w:rPr>
      </w:pPr>
      <w:bookmarkStart w:id="93" w:name="_Toc95223442"/>
      <w:r>
        <w:rPr>
          <w:rFonts w:hint="eastAsia" w:ascii="宋体" w:hAnsi="Times New Roman" w:eastAsia="宋体" w:cs="Times New Roman"/>
          <w:b/>
          <w:color w:val="auto"/>
          <w:szCs w:val="21"/>
          <w:highlight w:val="none"/>
          <w:lang w:val="en-US" w:eastAsia="zh-CN"/>
        </w:rPr>
        <w:t>8.其他</w:t>
      </w:r>
      <w:bookmarkEnd w:id="93"/>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8.1</w:t>
      </w:r>
      <w:r>
        <w:rPr>
          <w:rFonts w:hint="eastAsia" w:ascii="宋体" w:hAnsi="宋体" w:eastAsia="宋体" w:cs="宋体"/>
          <w:color w:val="auto"/>
          <w:szCs w:val="21"/>
          <w:highlight w:val="none"/>
        </w:rPr>
        <w:t>投标人提供的与投标文件有关的各类证书、证明、文件、资料等的真实性、合法性由投标人负全责。</w:t>
      </w:r>
    </w:p>
    <w:p>
      <w:pPr>
        <w:keepNext w:val="0"/>
        <w:keepLines w:val="0"/>
        <w:pageBreakBefore w:val="0"/>
        <w:widowControl w:val="0"/>
        <w:kinsoku/>
        <w:wordWrap/>
        <w:overflowPunct/>
        <w:topLinePunct w:val="0"/>
        <w:autoSpaceDE/>
        <w:autoSpaceDN/>
        <w:bidi w:val="0"/>
        <w:adjustRightInd/>
        <w:snapToGrid w:val="0"/>
        <w:spacing w:line="480" w:lineRule="auto"/>
        <w:ind w:right="252" w:rightChars="120" w:firstLine="562" w:firstLineChars="200"/>
        <w:jc w:val="center"/>
        <w:textAlignment w:val="auto"/>
        <w:rPr>
          <w:rFonts w:hint="eastAsia" w:ascii="宋体" w:hAnsi="宋体" w:eastAsia="宋体" w:cs="Times New Roman"/>
          <w:b/>
          <w:bCs/>
          <w:color w:val="auto"/>
          <w:kern w:val="0"/>
          <w:sz w:val="28"/>
          <w:szCs w:val="28"/>
          <w:highlight w:val="none"/>
          <w:lang w:val="en-US" w:eastAsia="zh-CN" w:bidi="ar"/>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Times New Roman"/>
          <w:b/>
          <w:bCs/>
          <w:color w:val="auto"/>
          <w:kern w:val="0"/>
          <w:sz w:val="28"/>
          <w:szCs w:val="28"/>
          <w:highlight w:val="none"/>
          <w:lang w:val="en-US" w:eastAsia="zh-CN" w:bidi="ar"/>
        </w:rPr>
        <w:br w:type="page"/>
      </w:r>
    </w:p>
    <w:p>
      <w:pPr>
        <w:keepNext w:val="0"/>
        <w:keepLines w:val="0"/>
        <w:pageBreakBefore w:val="0"/>
        <w:widowControl w:val="0"/>
        <w:kinsoku/>
        <w:wordWrap/>
        <w:overflowPunct/>
        <w:topLinePunct w:val="0"/>
        <w:autoSpaceDE/>
        <w:autoSpaceDN/>
        <w:bidi w:val="0"/>
        <w:adjustRightInd/>
        <w:snapToGrid w:val="0"/>
        <w:spacing w:line="480" w:lineRule="auto"/>
        <w:ind w:right="252" w:rightChars="120" w:firstLine="562" w:firstLineChars="200"/>
        <w:jc w:val="center"/>
        <w:textAlignment w:val="auto"/>
        <w:rPr>
          <w:rFonts w:hint="eastAsia" w:eastAsiaTheme="minorEastAsia"/>
          <w:color w:val="auto"/>
          <w:highlight w:val="none"/>
          <w:lang w:eastAsia="zh-CN"/>
        </w:rPr>
      </w:pP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p>
    <w:p>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本次采购为卡特336型、卡特349型、卡特352型挖掘机所需更换的部分零件（安装事宜由招标人自行拟定），详见下表：</w:t>
      </w:r>
    </w:p>
    <w:tbl>
      <w:tblPr>
        <w:tblStyle w:val="22"/>
        <w:tblpPr w:leftFromText="180" w:rightFromText="180" w:vertAnchor="text" w:horzAnchor="page" w:tblpX="1383" w:tblpY="455"/>
        <w:tblOverlap w:val="never"/>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2"/>
        <w:gridCol w:w="4247"/>
        <w:gridCol w:w="1172"/>
        <w:gridCol w:w="1278"/>
        <w:gridCol w:w="1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4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零件名称</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336空气外滤芯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349/352空气外滤芯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336/349/352通用空调内滤芯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336/349/352通用空调外滤芯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336/349/352通用斗齿(含卡簧、销子)</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336/349/352通用挖斗齿根</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336挖斗边护板(含卡簧、销子)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349/352护板（含卡簧、销子)</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336护链架（含螺栓）</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4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349护链架（含螺栓）</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11</w:t>
            </w:r>
          </w:p>
        </w:tc>
        <w:tc>
          <w:tcPr>
            <w:tcW w:w="4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352护链架（含螺栓）</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r>
    </w:tbl>
    <w:p>
      <w:pPr>
        <w:rPr>
          <w:rFonts w:hint="default"/>
          <w:color w:val="auto"/>
          <w:highlight w:val="none"/>
          <w:lang w:val="en-US" w:eastAsia="zh-CN"/>
        </w:rPr>
      </w:pPr>
    </w:p>
    <w:p>
      <w:pPr>
        <w:jc w:val="center"/>
        <w:rPr>
          <w:rFonts w:hint="eastAsia" w:ascii="宋体" w:hAnsi="Times New Roman" w:eastAsia="宋体" w:cs="Times New Roman"/>
          <w:b/>
          <w:bCs w:val="0"/>
          <w:color w:val="auto"/>
          <w:kern w:val="2"/>
          <w:sz w:val="32"/>
          <w:szCs w:val="32"/>
          <w:highlight w:val="none"/>
          <w:lang w:val="en-US" w:eastAsia="zh-CN" w:bidi="ar-SA"/>
        </w:rPr>
      </w:pPr>
    </w:p>
    <w:tbl>
      <w:tblPr>
        <w:tblStyle w:val="22"/>
        <w:tblpPr w:leftFromText="180" w:rightFromText="180" w:vertAnchor="page" w:horzAnchor="page" w:tblpX="1446" w:tblpY="1501"/>
        <w:tblOverlap w:val="never"/>
        <w:tblW w:w="9390" w:type="dxa"/>
        <w:tblInd w:w="0" w:type="dxa"/>
        <w:tblLayout w:type="fixed"/>
        <w:tblCellMar>
          <w:top w:w="0" w:type="dxa"/>
          <w:left w:w="108" w:type="dxa"/>
          <w:bottom w:w="0" w:type="dxa"/>
          <w:right w:w="108" w:type="dxa"/>
        </w:tblCellMar>
      </w:tblPr>
      <w:tblGrid>
        <w:gridCol w:w="1080"/>
        <w:gridCol w:w="1155"/>
        <w:gridCol w:w="4395"/>
        <w:gridCol w:w="1395"/>
        <w:gridCol w:w="1365"/>
      </w:tblGrid>
      <w:tr>
        <w:tblPrEx>
          <w:tblCellMar>
            <w:top w:w="0" w:type="dxa"/>
            <w:left w:w="108" w:type="dxa"/>
            <w:bottom w:w="0" w:type="dxa"/>
            <w:right w:w="108" w:type="dxa"/>
          </w:tblCellMar>
        </w:tblPrEx>
        <w:trPr>
          <w:trHeight w:val="498" w:hRule="atLeast"/>
        </w:trPr>
        <w:tc>
          <w:tcPr>
            <w:tcW w:w="9390" w:type="dxa"/>
            <w:gridSpan w:val="5"/>
            <w:tcBorders>
              <w:top w:val="nil"/>
              <w:left w:val="nil"/>
              <w:bottom w:val="nil"/>
              <w:right w:val="nil"/>
            </w:tcBorders>
            <w:noWrap w:val="0"/>
            <w:vAlign w:val="center"/>
          </w:tcPr>
          <w:p>
            <w:pPr>
              <w:keepNext w:val="0"/>
              <w:keepLines w:val="0"/>
              <w:suppressLineNumbers w:val="0"/>
              <w:shd w:val="clear" w:color="auto" w:fill="auto"/>
              <w:spacing w:before="156" w:beforeLines="50" w:beforeAutospacing="0" w:after="156" w:afterLines="50" w:afterAutospacing="0" w:line="500" w:lineRule="exact"/>
              <w:ind w:left="0" w:right="0"/>
              <w:jc w:val="center"/>
              <w:outlineLvl w:val="0"/>
              <w:rPr>
                <w:rFonts w:hint="eastAsia" w:ascii="宋体"/>
                <w:b/>
                <w:color w:val="auto"/>
                <w:sz w:val="24"/>
                <w:szCs w:val="24"/>
                <w:highlight w:val="none"/>
                <w:lang w:val="en-US" w:eastAsia="zh-CN"/>
              </w:rPr>
            </w:pPr>
            <w:bookmarkStart w:id="94" w:name="_Toc7628"/>
          </w:p>
          <w:p>
            <w:pPr>
              <w:keepNext w:val="0"/>
              <w:keepLines w:val="0"/>
              <w:suppressLineNumbers w:val="0"/>
              <w:shd w:val="clear" w:color="auto" w:fill="auto"/>
              <w:spacing w:before="156" w:beforeLines="50" w:beforeAutospacing="0" w:after="156" w:afterLines="50" w:afterAutospacing="0" w:line="500" w:lineRule="exact"/>
              <w:ind w:left="0" w:right="0"/>
              <w:jc w:val="center"/>
              <w:outlineLvl w:val="0"/>
              <w:rPr>
                <w:rFonts w:hint="eastAsia" w:ascii="宋体"/>
                <w:b/>
                <w:color w:val="auto"/>
                <w:sz w:val="24"/>
                <w:szCs w:val="24"/>
                <w:highlight w:val="none"/>
                <w:lang w:val="en-US" w:eastAsia="zh-CN"/>
              </w:rPr>
            </w:pPr>
          </w:p>
          <w:p>
            <w:pPr>
              <w:keepNext w:val="0"/>
              <w:keepLines w:val="0"/>
              <w:suppressLineNumbers w:val="0"/>
              <w:shd w:val="clear" w:color="auto" w:fill="auto"/>
              <w:spacing w:before="156" w:beforeLines="50" w:beforeAutospacing="0" w:after="156" w:afterLines="50" w:afterAutospacing="0" w:line="500" w:lineRule="exact"/>
              <w:ind w:left="0" w:right="0"/>
              <w:jc w:val="center"/>
              <w:outlineLvl w:val="0"/>
              <w:rPr>
                <w:rFonts w:hint="eastAsia" w:ascii="宋体"/>
                <w:b/>
                <w:color w:val="auto"/>
                <w:sz w:val="24"/>
                <w:szCs w:val="24"/>
                <w:highlight w:val="none"/>
                <w:lang w:val="en-US" w:eastAsia="zh-CN"/>
              </w:rPr>
            </w:pPr>
          </w:p>
          <w:p>
            <w:pPr>
              <w:keepNext w:val="0"/>
              <w:keepLines w:val="0"/>
              <w:suppressLineNumbers w:val="0"/>
              <w:shd w:val="clear" w:color="auto" w:fill="auto"/>
              <w:spacing w:before="156" w:beforeLines="50" w:beforeAutospacing="0" w:after="156" w:afterLines="50" w:afterAutospacing="0" w:line="500" w:lineRule="exact"/>
              <w:ind w:left="0" w:right="0"/>
              <w:jc w:val="center"/>
              <w:outlineLvl w:val="0"/>
              <w:rPr>
                <w:rFonts w:hint="eastAsia" w:ascii="宋体"/>
                <w:b/>
                <w:color w:val="auto"/>
                <w:sz w:val="24"/>
                <w:szCs w:val="24"/>
                <w:highlight w:val="none"/>
                <w:lang w:val="en-US" w:eastAsia="zh-CN"/>
              </w:rPr>
            </w:pPr>
          </w:p>
          <w:p>
            <w:pPr>
              <w:keepNext w:val="0"/>
              <w:keepLines w:val="0"/>
              <w:suppressLineNumbers w:val="0"/>
              <w:shd w:val="clear" w:color="auto" w:fill="auto"/>
              <w:spacing w:before="156" w:beforeLines="50" w:beforeAutospacing="0" w:after="156" w:afterLines="50" w:afterAutospacing="0" w:line="500" w:lineRule="exact"/>
              <w:ind w:left="0" w:right="0"/>
              <w:jc w:val="center"/>
              <w:outlineLvl w:val="0"/>
              <w:rPr>
                <w:rFonts w:hint="eastAsia" w:ascii="宋体"/>
                <w:b/>
                <w:color w:val="auto"/>
                <w:sz w:val="24"/>
                <w:szCs w:val="24"/>
                <w:highlight w:val="none"/>
                <w:lang w:val="en-US" w:eastAsia="zh-CN"/>
              </w:rPr>
            </w:pPr>
          </w:p>
          <w:p>
            <w:pPr>
              <w:keepNext w:val="0"/>
              <w:keepLines w:val="0"/>
              <w:suppressLineNumbers w:val="0"/>
              <w:shd w:val="clear" w:color="auto" w:fill="auto"/>
              <w:spacing w:before="156" w:beforeLines="50" w:beforeAutospacing="0" w:after="156" w:afterLines="50" w:afterAutospacing="0" w:line="500" w:lineRule="exact"/>
              <w:ind w:left="0" w:right="0"/>
              <w:jc w:val="both"/>
              <w:outlineLvl w:val="0"/>
              <w:rPr>
                <w:rFonts w:hint="eastAsia" w:ascii="宋体"/>
                <w:b/>
                <w:color w:val="auto"/>
                <w:sz w:val="24"/>
                <w:szCs w:val="24"/>
                <w:highlight w:val="none"/>
                <w:lang w:val="en-US" w:eastAsia="zh-CN"/>
              </w:rPr>
            </w:pPr>
          </w:p>
          <w:p>
            <w:pPr>
              <w:keepNext w:val="0"/>
              <w:keepLines w:val="0"/>
              <w:suppressLineNumbers w:val="0"/>
              <w:shd w:val="clear" w:color="auto" w:fill="auto"/>
              <w:spacing w:before="156" w:beforeLines="50" w:beforeAutospacing="0" w:after="156" w:afterLines="50" w:afterAutospacing="0" w:line="500" w:lineRule="exact"/>
              <w:ind w:left="0" w:right="0"/>
              <w:jc w:val="both"/>
              <w:outlineLvl w:val="0"/>
              <w:rPr>
                <w:rFonts w:hint="eastAsia" w:ascii="宋体"/>
                <w:b/>
                <w:color w:val="auto"/>
                <w:sz w:val="24"/>
                <w:szCs w:val="24"/>
                <w:highlight w:val="none"/>
                <w:lang w:val="en-US" w:eastAsia="zh-CN"/>
              </w:rPr>
            </w:pPr>
          </w:p>
          <w:p>
            <w:pPr>
              <w:keepNext w:val="0"/>
              <w:keepLines w:val="0"/>
              <w:suppressLineNumbers w:val="0"/>
              <w:shd w:val="clear" w:color="auto" w:fill="auto"/>
              <w:spacing w:before="156" w:beforeLines="50" w:beforeAutospacing="0" w:after="156" w:afterLines="50" w:afterAutospacing="0" w:line="500" w:lineRule="exact"/>
              <w:ind w:left="0" w:right="0"/>
              <w:jc w:val="both"/>
              <w:outlineLvl w:val="0"/>
              <w:rPr>
                <w:rFonts w:hint="eastAsia" w:ascii="宋体" w:hAnsi="宋体" w:eastAsia="宋体" w:cs="宋体"/>
                <w:b/>
                <w:bCs/>
                <w:color w:val="auto"/>
                <w:szCs w:val="21"/>
                <w:highlight w:val="none"/>
                <w:lang w:eastAsia="zh-CN"/>
              </w:rPr>
            </w:pPr>
            <w:r>
              <w:rPr>
                <w:rFonts w:hint="eastAsia" w:ascii="宋体"/>
                <w:b/>
                <w:color w:val="auto"/>
                <w:sz w:val="24"/>
                <w:szCs w:val="24"/>
                <w:highlight w:val="none"/>
                <w:lang w:val="en-US" w:eastAsia="zh-CN"/>
              </w:rPr>
              <w:t>二：产品</w:t>
            </w:r>
            <w:r>
              <w:rPr>
                <w:rFonts w:hint="eastAsia" w:ascii="宋体"/>
                <w:b/>
                <w:color w:val="auto"/>
                <w:sz w:val="24"/>
                <w:szCs w:val="24"/>
                <w:highlight w:val="none"/>
              </w:rPr>
              <w:t>质量（服务）</w:t>
            </w:r>
            <w:r>
              <w:rPr>
                <w:rFonts w:hint="eastAsia" w:ascii="宋体" w:hAnsi="宋体" w:cs="宋体"/>
                <w:b/>
                <w:bCs/>
                <w:color w:val="auto"/>
                <w:kern w:val="0"/>
                <w:sz w:val="24"/>
                <w:szCs w:val="24"/>
                <w:highlight w:val="none"/>
                <w:lang w:bidi="ar"/>
              </w:rPr>
              <w:t>考核评分表</w:t>
            </w:r>
            <w:bookmarkEnd w:id="94"/>
            <w:r>
              <w:rPr>
                <w:rFonts w:hint="eastAsia" w:ascii="宋体" w:hAnsi="宋体" w:cs="宋体"/>
                <w:b/>
                <w:bCs/>
                <w:color w:val="auto"/>
                <w:kern w:val="0"/>
                <w:sz w:val="24"/>
                <w:szCs w:val="24"/>
                <w:highlight w:val="none"/>
                <w:lang w:eastAsia="zh-CN" w:bidi="ar"/>
              </w:rPr>
              <w:t>（</w:t>
            </w:r>
            <w:r>
              <w:rPr>
                <w:rFonts w:hint="eastAsia" w:ascii="宋体" w:hAnsi="宋体" w:cs="宋体"/>
                <w:b/>
                <w:bCs/>
                <w:color w:val="auto"/>
                <w:kern w:val="0"/>
                <w:sz w:val="24"/>
                <w:szCs w:val="24"/>
                <w:highlight w:val="none"/>
                <w:lang w:val="en-US" w:eastAsia="zh-CN" w:bidi="ar"/>
              </w:rPr>
              <w:t>季度</w:t>
            </w:r>
            <w:r>
              <w:rPr>
                <w:rFonts w:hint="eastAsia" w:ascii="宋体" w:hAnsi="宋体" w:cs="宋体"/>
                <w:b/>
                <w:bCs/>
                <w:color w:val="auto"/>
                <w:kern w:val="0"/>
                <w:sz w:val="24"/>
                <w:szCs w:val="24"/>
                <w:highlight w:val="none"/>
                <w:lang w:eastAsia="zh-CN" w:bidi="ar"/>
              </w:rPr>
              <w:t>）</w:t>
            </w:r>
          </w:p>
        </w:tc>
      </w:tr>
      <w:tr>
        <w:tblPrEx>
          <w:tblCellMar>
            <w:top w:w="0" w:type="dxa"/>
            <w:left w:w="108" w:type="dxa"/>
            <w:bottom w:w="0" w:type="dxa"/>
            <w:right w:w="108" w:type="dxa"/>
          </w:tblCellMar>
        </w:tblPrEx>
        <w:trPr>
          <w:trHeight w:val="346" w:hRule="atLeast"/>
        </w:trPr>
        <w:tc>
          <w:tcPr>
            <w:tcW w:w="663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检　查　考  核  项  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扣分标准</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扣分情况</w:t>
            </w:r>
          </w:p>
        </w:tc>
      </w:tr>
      <w:tr>
        <w:tblPrEx>
          <w:tblCellMar>
            <w:top w:w="0" w:type="dxa"/>
            <w:left w:w="108" w:type="dxa"/>
            <w:bottom w:w="0" w:type="dxa"/>
            <w:right w:w="108" w:type="dxa"/>
          </w:tblCellMar>
        </w:tblPrEx>
        <w:trPr>
          <w:trHeight w:val="223" w:hRule="atLeast"/>
        </w:trPr>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考核日期</w:t>
            </w:r>
          </w:p>
        </w:tc>
        <w:tc>
          <w:tcPr>
            <w:tcW w:w="71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年   月    日</w:t>
            </w:r>
          </w:p>
        </w:tc>
      </w:tr>
      <w:tr>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val="en-US" w:eastAsia="zh-CN" w:bidi="ar"/>
              </w:rPr>
              <w:t>产品</w:t>
            </w:r>
            <w:r>
              <w:rPr>
                <w:rFonts w:hint="eastAsia" w:ascii="宋体" w:hAnsi="宋体" w:cs="宋体"/>
                <w:color w:val="auto"/>
                <w:kern w:val="0"/>
                <w:szCs w:val="21"/>
                <w:highlight w:val="none"/>
                <w:lang w:bidi="ar"/>
              </w:rPr>
              <w:t>质量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产品型号</w:t>
            </w:r>
            <w:r>
              <w:rPr>
                <w:rFonts w:hint="eastAsia" w:ascii="宋体" w:hAnsi="宋体" w:cs="宋体"/>
                <w:color w:val="auto"/>
                <w:szCs w:val="21"/>
                <w:highlight w:val="none"/>
              </w:rPr>
              <w:t>是否</w:t>
            </w:r>
            <w:r>
              <w:rPr>
                <w:rFonts w:hint="eastAsia" w:ascii="宋体" w:hAnsi="宋体" w:cs="宋体"/>
                <w:color w:val="auto"/>
                <w:szCs w:val="21"/>
                <w:highlight w:val="none"/>
                <w:lang w:val="en-US" w:eastAsia="zh-CN"/>
              </w:rPr>
              <w:t>符合招标人使用需求</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lang w:val="en-US"/>
              </w:rPr>
            </w:pP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产品是否出现质量问题</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是否</w:t>
            </w:r>
            <w:r>
              <w:rPr>
                <w:rFonts w:hint="eastAsia" w:ascii="宋体" w:hAnsi="宋体" w:cs="宋体"/>
                <w:color w:val="auto"/>
                <w:szCs w:val="21"/>
                <w:highlight w:val="none"/>
                <w:lang w:val="en-US" w:eastAsia="zh-CN"/>
              </w:rPr>
              <w:t>出现以次充好、同批次产品质量不一情况</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lang w:val="en-US"/>
              </w:rPr>
            </w:pPr>
            <w:r>
              <w:rPr>
                <w:rFonts w:hint="eastAsia" w:ascii="宋体" w:hAnsi="宋体" w:cs="宋体"/>
                <w:color w:val="auto"/>
                <w:kern w:val="0"/>
                <w:szCs w:val="21"/>
                <w:highlight w:val="none"/>
                <w:lang w:bidi="ar"/>
              </w:rPr>
              <w:t>是否</w:t>
            </w:r>
            <w:r>
              <w:rPr>
                <w:rFonts w:hint="eastAsia" w:ascii="宋体" w:hAnsi="宋体" w:cs="宋体"/>
                <w:color w:val="auto"/>
                <w:kern w:val="0"/>
                <w:szCs w:val="21"/>
                <w:highlight w:val="none"/>
                <w:lang w:val="en-US" w:eastAsia="zh-CN" w:bidi="ar"/>
              </w:rPr>
              <w:t>积极配合招标人解决产品问题</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送货服务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szCs w:val="21"/>
                <w:highlight w:val="none"/>
              </w:rPr>
              <w:t>是否在招标人要求时间内送达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是否按照招标人需求供应产品数量</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是否使用符合矿区要求车辆运送货物</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是否配合招标人卸载入库产品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9</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是否提供产品验收单据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服务质量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szCs w:val="21"/>
                <w:highlight w:val="none"/>
              </w:rPr>
              <w:t>热情承接招标人的送货任务，认真做到“四优”，即：时间优先、质量优良、服务优良、价格优惠</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是否存在送礼品、给回扣、报销费用等一切不正当竞争行为</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13</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是否配合甲方的检查</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14</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w:t>
            </w:r>
            <w:r>
              <w:rPr>
                <w:rFonts w:hint="eastAsia" w:ascii="宋体" w:hAnsi="宋体"/>
                <w:color w:val="auto"/>
                <w:szCs w:val="21"/>
                <w:highlight w:val="none"/>
              </w:rPr>
              <w:t>积极配合甲方提出的其他合理服务需求</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合计</w:t>
            </w:r>
          </w:p>
        </w:tc>
        <w:tc>
          <w:tcPr>
            <w:tcW w:w="115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bl>
    <w:p>
      <w:pPr>
        <w:rPr>
          <w:rFonts w:hint="eastAsia"/>
          <w:color w:val="auto"/>
          <w:sz w:val="28"/>
          <w:szCs w:val="36"/>
          <w:highlight w:val="none"/>
          <w:lang w:val="en-US" w:eastAsia="zh-CN"/>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季度</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服务及</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质量、市场行为进行量化考核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扣分制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满分100分，</w:t>
      </w:r>
      <w:r>
        <w:rPr>
          <w:rFonts w:hint="eastAsia" w:ascii="宋体" w:hAnsi="宋体" w:cs="宋体"/>
          <w:color w:val="auto"/>
          <w:szCs w:val="21"/>
          <w:highlight w:val="none"/>
        </w:rPr>
        <w:t>考核80分以下为不合格</w:t>
      </w:r>
      <w:r>
        <w:rPr>
          <w:rFonts w:hint="eastAsia" w:ascii="宋体" w:hAnsi="宋体" w:cs="宋体"/>
          <w:color w:val="auto"/>
          <w:szCs w:val="21"/>
          <w:highlight w:val="none"/>
          <w:lang w:eastAsia="zh-CN"/>
        </w:rPr>
        <w:t>。</w:t>
      </w:r>
    </w:p>
    <w:p>
      <w:pPr>
        <w:rPr>
          <w:rFonts w:hint="eastAsia"/>
          <w:color w:val="auto"/>
          <w:sz w:val="28"/>
          <w:szCs w:val="36"/>
          <w:highlight w:val="none"/>
          <w:lang w:val="en-US" w:eastAsia="zh-CN"/>
        </w:rPr>
      </w:pPr>
      <w:r>
        <w:rPr>
          <w:rFonts w:hint="eastAsia"/>
          <w:b/>
          <w:bCs/>
          <w:color w:val="auto"/>
          <w:sz w:val="28"/>
          <w:szCs w:val="36"/>
          <w:highlight w:val="none"/>
          <w:lang w:val="en-US" w:eastAsia="zh-CN"/>
        </w:rPr>
        <w:t>考核结果为：</w:t>
      </w:r>
      <w:r>
        <w:rPr>
          <w:rFonts w:hint="eastAsia"/>
          <w:b/>
          <w:bCs/>
          <w:color w:val="auto"/>
          <w:sz w:val="28"/>
          <w:szCs w:val="36"/>
          <w:highlight w:val="none"/>
          <w:u w:val="single"/>
          <w:lang w:val="en-US" w:eastAsia="zh-CN"/>
        </w:rPr>
        <w:t xml:space="preserve">                                    </w:t>
      </w:r>
      <w:r>
        <w:rPr>
          <w:rFonts w:hint="eastAsia"/>
          <w:color w:val="auto"/>
          <w:sz w:val="28"/>
          <w:szCs w:val="36"/>
          <w:highlight w:val="none"/>
          <w:u w:val="single"/>
          <w:lang w:val="en-US" w:eastAsia="zh-CN"/>
        </w:rPr>
        <w:t xml:space="preserve">     </w:t>
      </w:r>
    </w:p>
    <w:p>
      <w:pPr>
        <w:rPr>
          <w:rFonts w:hint="eastAsia"/>
          <w:b w:val="0"/>
          <w:bCs w:val="0"/>
          <w:color w:val="auto"/>
          <w:sz w:val="28"/>
          <w:szCs w:val="36"/>
          <w:highlight w:val="none"/>
          <w:u w:val="single"/>
          <w:lang w:val="en-US" w:eastAsia="zh-CN"/>
        </w:rPr>
      </w:pPr>
      <w:r>
        <w:rPr>
          <w:rFonts w:hint="eastAsia"/>
          <w:b w:val="0"/>
          <w:bCs w:val="0"/>
          <w:color w:val="auto"/>
          <w:sz w:val="28"/>
          <w:szCs w:val="36"/>
          <w:highlight w:val="none"/>
          <w:u w:val="none"/>
          <w:lang w:val="en-US" w:eastAsia="zh-CN"/>
        </w:rPr>
        <w:t>考核人签字：</w:t>
      </w:r>
      <w:r>
        <w:rPr>
          <w:rFonts w:hint="eastAsia"/>
          <w:b w:val="0"/>
          <w:bCs w:val="0"/>
          <w:color w:val="auto"/>
          <w:sz w:val="28"/>
          <w:szCs w:val="36"/>
          <w:highlight w:val="none"/>
          <w:u w:val="single"/>
          <w:lang w:val="en-US" w:eastAsia="zh-CN"/>
        </w:rPr>
        <w:t xml:space="preserve">                                            </w:t>
      </w:r>
    </w:p>
    <w:p>
      <w:pPr>
        <w:jc w:val="left"/>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宋体" w:cs="宋体"/>
          <w:color w:val="auto"/>
          <w:szCs w:val="21"/>
          <w:highlight w:val="none"/>
          <w:lang w:val="en-US" w:eastAsia="zh-CN"/>
        </w:rPr>
        <w:t>注：按季度</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服务及</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质量、市场行为进行量化考核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扣分制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满分100分，</w:t>
      </w:r>
      <w:r>
        <w:rPr>
          <w:rFonts w:hint="eastAsia" w:ascii="宋体" w:hAnsi="宋体" w:cs="宋体"/>
          <w:color w:val="auto"/>
          <w:szCs w:val="21"/>
          <w:highlight w:val="none"/>
        </w:rPr>
        <w:t>考核80分以下为不合格</w:t>
      </w:r>
      <w:r>
        <w:rPr>
          <w:rFonts w:hint="eastAsia" w:ascii="宋体" w:hAnsi="宋体" w:cs="宋体"/>
          <w:color w:val="auto"/>
          <w:szCs w:val="21"/>
          <w:highlight w:val="none"/>
          <w:lang w:eastAsia="zh-CN"/>
        </w:rPr>
        <w:t>。</w:t>
      </w:r>
    </w:p>
    <w:p>
      <w:pPr>
        <w:jc w:val="center"/>
        <w:rPr>
          <w:rFonts w:hint="eastAsia" w:ascii="宋体" w:hAnsi="Times New Roman" w:eastAsia="宋体" w:cs="Times New Roman"/>
          <w:b/>
          <w:bCs w:val="0"/>
          <w:color w:val="auto"/>
          <w:kern w:val="2"/>
          <w:sz w:val="32"/>
          <w:szCs w:val="32"/>
          <w:highlight w:val="none"/>
          <w:lang w:val="en-US" w:eastAsia="zh-CN" w:bidi="ar-SA"/>
        </w:rPr>
      </w:pPr>
    </w:p>
    <w:p>
      <w:pPr>
        <w:jc w:val="center"/>
        <w:rPr>
          <w:rFonts w:hint="eastAsia" w:ascii="宋体" w:hAnsi="Times New Roman" w:eastAsia="宋体" w:cs="Times New Roman"/>
          <w:b/>
          <w:bCs w:val="0"/>
          <w:color w:val="auto"/>
          <w:kern w:val="2"/>
          <w:sz w:val="32"/>
          <w:szCs w:val="32"/>
          <w:highlight w:val="none"/>
          <w:lang w:val="en-US" w:eastAsia="zh-CN" w:bidi="ar-SA"/>
        </w:rPr>
      </w:pPr>
    </w:p>
    <w:p>
      <w:p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pPr>
        <w:keepNext w:val="0"/>
        <w:keepLines w:val="0"/>
        <w:pageBreakBefore w:val="0"/>
        <w:widowControl/>
        <w:kinsoku/>
        <w:wordWrap/>
        <w:overflowPunct/>
        <w:topLinePunct w:val="0"/>
        <w:autoSpaceDE/>
        <w:autoSpaceDN/>
        <w:bidi w:val="0"/>
        <w:spacing w:line="410" w:lineRule="exact"/>
        <w:jc w:val="center"/>
        <w:textAlignment w:val="auto"/>
        <w:rPr>
          <w:rFonts w:hint="default" w:ascii="宋体" w:hAnsi="宋体" w:cs="宋体"/>
          <w:b/>
          <w:bCs/>
          <w:color w:val="auto"/>
          <w:kern w:val="0"/>
          <w:sz w:val="21"/>
          <w:szCs w:val="21"/>
          <w:highlight w:val="none"/>
          <w:lang w:val="en-US" w:eastAsia="zh-CN"/>
        </w:rPr>
      </w:pPr>
    </w:p>
    <w:p>
      <w:pPr>
        <w:numPr>
          <w:ilvl w:val="0"/>
          <w:numId w:val="2"/>
        </w:numPr>
        <w:spacing w:line="600" w:lineRule="exact"/>
        <w:jc w:val="center"/>
        <w:outlineLvl w:val="1"/>
        <w:rPr>
          <w:rFonts w:hint="eastAsia" w:ascii="黑体" w:eastAsia="黑体"/>
          <w:b/>
          <w:color w:val="auto"/>
          <w:sz w:val="30"/>
          <w:szCs w:val="30"/>
          <w:highlight w:val="none"/>
        </w:rPr>
      </w:pPr>
      <w:r>
        <w:rPr>
          <w:rFonts w:hint="eastAsia" w:ascii="宋体"/>
          <w:b/>
          <w:color w:val="auto"/>
          <w:sz w:val="30"/>
          <w:szCs w:val="30"/>
          <w:highlight w:val="none"/>
        </w:rPr>
        <w:t xml:space="preserve"> </w:t>
      </w:r>
      <w:bookmarkStart w:id="95" w:name="_Toc387225976"/>
      <w:r>
        <w:rPr>
          <w:rFonts w:hint="eastAsia" w:ascii="宋体"/>
          <w:b/>
          <w:color w:val="auto"/>
          <w:sz w:val="30"/>
          <w:szCs w:val="30"/>
          <w:highlight w:val="none"/>
        </w:rPr>
        <w:t>合同协议书（格式）</w:t>
      </w:r>
      <w:bookmarkEnd w:id="95"/>
    </w:p>
    <w:p>
      <w:pPr>
        <w:spacing w:line="360" w:lineRule="auto"/>
        <w:ind w:firstLine="562" w:firstLineChars="200"/>
        <w:rPr>
          <w:rFonts w:hint="eastAsia" w:ascii="宋体"/>
          <w:color w:val="auto"/>
          <w:sz w:val="24"/>
          <w:szCs w:val="24"/>
          <w:highlight w:val="none"/>
        </w:rPr>
      </w:pPr>
      <w:r>
        <w:rPr>
          <w:rFonts w:hint="eastAsia" w:ascii="宋体"/>
          <w:b/>
          <w:color w:val="auto"/>
          <w:sz w:val="28"/>
          <w:szCs w:val="32"/>
          <w:highlight w:val="none"/>
        </w:rPr>
        <w:t>合同名称</w:t>
      </w:r>
      <w:r>
        <w:rPr>
          <w:rFonts w:hint="eastAsia" w:ascii="宋体"/>
          <w:b/>
          <w:color w:val="auto"/>
          <w:sz w:val="28"/>
          <w:szCs w:val="24"/>
          <w:highlight w:val="none"/>
        </w:rPr>
        <w:t xml:space="preserve"> ：</w:t>
      </w:r>
      <w:r>
        <w:rPr>
          <w:rFonts w:hint="eastAsia" w:ascii="宋体"/>
          <w:b/>
          <w:color w:val="auto"/>
          <w:sz w:val="24"/>
          <w:szCs w:val="24"/>
          <w:highlight w:val="none"/>
        </w:rPr>
        <w:t xml:space="preserve">  </w:t>
      </w:r>
      <w:r>
        <w:rPr>
          <w:rFonts w:hint="eastAsia" w:ascii="宋体"/>
          <w:color w:val="auto"/>
          <w:sz w:val="24"/>
          <w:szCs w:val="24"/>
          <w:highlight w:val="none"/>
        </w:rPr>
        <w:t xml:space="preserve">                              编号：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买    方：                                   卖    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电    话：                                   电    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u w:val="single" w:color="auto"/>
        </w:rPr>
        <w:t>（买方）</w:t>
      </w:r>
      <w:r>
        <w:rPr>
          <w:rFonts w:hint="eastAsia" w:ascii="宋体" w:cs="宋体"/>
          <w:color w:val="auto"/>
          <w:szCs w:val="21"/>
          <w:highlight w:val="none"/>
        </w:rPr>
        <w:t>的</w:t>
      </w:r>
      <w:r>
        <w:rPr>
          <w:rFonts w:hint="eastAsia" w:ascii="宋体" w:cs="宋体"/>
          <w:color w:val="auto"/>
          <w:szCs w:val="21"/>
          <w:highlight w:val="none"/>
          <w:u w:val="single" w:color="auto"/>
        </w:rPr>
        <w:t>（项目名称）</w:t>
      </w:r>
      <w:r>
        <w:rPr>
          <w:rFonts w:hint="eastAsia" w:ascii="宋体" w:cs="宋体"/>
          <w:color w:val="auto"/>
          <w:szCs w:val="21"/>
          <w:highlight w:val="none"/>
        </w:rPr>
        <w:t>中所需</w:t>
      </w:r>
      <w:r>
        <w:rPr>
          <w:rFonts w:hint="eastAsia" w:ascii="宋体" w:cs="宋体"/>
          <w:color w:val="auto"/>
          <w:szCs w:val="21"/>
          <w:highlight w:val="none"/>
          <w:u w:val="single" w:color="auto"/>
        </w:rPr>
        <w:t>（产品名称）</w:t>
      </w:r>
      <w:r>
        <w:rPr>
          <w:rFonts w:hint="eastAsia" w:ascii="宋体" w:cs="宋体"/>
          <w:color w:val="auto"/>
          <w:szCs w:val="21"/>
          <w:highlight w:val="none"/>
        </w:rPr>
        <w:t xml:space="preserve"> 经</w:t>
      </w:r>
      <w:r>
        <w:rPr>
          <w:rFonts w:hint="eastAsia" w:ascii="宋体" w:cs="宋体"/>
          <w:color w:val="auto"/>
          <w:szCs w:val="21"/>
          <w:highlight w:val="none"/>
          <w:lang w:val="en-US" w:eastAsia="zh-CN"/>
        </w:rPr>
        <w:t>公开</w:t>
      </w:r>
      <w:r>
        <w:rPr>
          <w:rFonts w:hint="eastAsia" w:ascii="宋体" w:cs="宋体"/>
          <w:color w:val="auto"/>
          <w:szCs w:val="21"/>
          <w:highlight w:val="none"/>
        </w:rPr>
        <w:t>采购，确定</w:t>
      </w:r>
      <w:r>
        <w:rPr>
          <w:rFonts w:hint="eastAsia" w:ascii="宋体" w:cs="宋体"/>
          <w:color w:val="auto"/>
          <w:szCs w:val="21"/>
          <w:highlight w:val="none"/>
          <w:u w:val="single" w:color="auto"/>
        </w:rPr>
        <w:t>（卖方）</w:t>
      </w:r>
      <w:r>
        <w:rPr>
          <w:rFonts w:hint="eastAsia" w:ascii="宋体" w:cs="宋体"/>
          <w:color w:val="auto"/>
          <w:szCs w:val="21"/>
          <w:highlight w:val="none"/>
          <w:u w:val="none" w:color="auto"/>
        </w:rPr>
        <w:t>为中标人</w:t>
      </w:r>
      <w:r>
        <w:rPr>
          <w:rFonts w:hint="eastAsia" w:ascii="宋体" w:cs="宋体"/>
          <w:color w:val="auto"/>
          <w:szCs w:val="21"/>
          <w:highlight w:val="none"/>
        </w:rPr>
        <w:t>。按照中华人民共和国民法典的规定，买卖双方同意按照下述的条款和条件，签署本合同。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1、本合同文件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（1）招标文件（2）投标文件（3）中标通知书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eastAsia="宋体" w:cs="宋体"/>
          <w:color w:val="auto"/>
          <w:szCs w:val="21"/>
          <w:highlight w:val="none"/>
          <w:lang w:val="en-US" w:eastAsia="zh-CN"/>
        </w:rPr>
      </w:pPr>
      <w:r>
        <w:rPr>
          <w:rFonts w:hint="eastAsia" w:ascii="宋体" w:cs="宋体"/>
          <w:color w:val="auto"/>
          <w:szCs w:val="21"/>
          <w:highlight w:val="none"/>
        </w:rPr>
        <w:t>2、合同总价</w:t>
      </w:r>
      <w:r>
        <w:rPr>
          <w:rFonts w:hint="eastAsia" w:ascii="宋体" w:cs="宋体"/>
          <w:color w:val="auto"/>
          <w:szCs w:val="21"/>
          <w:highlight w:val="none"/>
          <w:lang w:val="en-US" w:eastAsia="zh-CN"/>
        </w:rPr>
        <w:t>及付款方式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lang w:val="en-US" w:eastAsia="zh-CN"/>
        </w:rPr>
        <w:t>2.1</w:t>
      </w:r>
      <w:r>
        <w:rPr>
          <w:rFonts w:hint="eastAsia" w:ascii="宋体" w:cs="宋体"/>
          <w:color w:val="auto"/>
          <w:szCs w:val="21"/>
          <w:highlight w:val="none"/>
        </w:rPr>
        <w:t xml:space="preserve">合同总价为 </w:t>
      </w:r>
      <w:r>
        <w:rPr>
          <w:rFonts w:hint="eastAsia" w:ascii="宋体" w:cs="宋体"/>
          <w:color w:val="auto"/>
          <w:szCs w:val="21"/>
          <w:highlight w:val="none"/>
          <w:u w:val="single" w:color="auto"/>
        </w:rPr>
        <w:t xml:space="preserve">              </w:t>
      </w:r>
      <w:r>
        <w:rPr>
          <w:rFonts w:hint="eastAsia" w:ascii="宋体" w:cs="宋体"/>
          <w:color w:val="auto"/>
          <w:szCs w:val="21"/>
          <w:highlight w:val="none"/>
        </w:rPr>
        <w:t>元人民币</w:t>
      </w:r>
      <w:r>
        <w:rPr>
          <w:rFonts w:hint="eastAsia" w:ascii="宋体" w:cs="宋体"/>
          <w:color w:val="auto"/>
          <w:szCs w:val="21"/>
          <w:highlight w:val="none"/>
          <w:lang w:eastAsia="zh-CN"/>
        </w:rPr>
        <w:t>，</w:t>
      </w:r>
      <w:r>
        <w:rPr>
          <w:rFonts w:hint="eastAsia" w:ascii="宋体" w:cs="宋体"/>
          <w:color w:val="auto"/>
          <w:szCs w:val="21"/>
          <w:highlight w:val="none"/>
          <w:lang w:val="en-US" w:eastAsia="zh-CN"/>
        </w:rPr>
        <w:t>综合单价详见分项报价清单</w:t>
      </w:r>
      <w:r>
        <w:rPr>
          <w:rFonts w:hint="eastAsia" w:asci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2.2付款方式：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2.3</w:t>
      </w:r>
      <w:r>
        <w:rPr>
          <w:rFonts w:hint="eastAsia" w:ascii="宋体" w:hAnsi="宋体" w:eastAsia="宋体" w:cs="宋体"/>
          <w:color w:val="auto"/>
          <w:szCs w:val="21"/>
          <w:highlight w:val="none"/>
          <w:lang w:val="en-US" w:eastAsia="zh-CN"/>
        </w:rPr>
        <w:t>根据使用量按季度付款，</w:t>
      </w:r>
      <w:r>
        <w:rPr>
          <w:rFonts w:hint="eastAsia" w:eastAsia="宋体" w:cs="宋体"/>
          <w:color w:val="auto"/>
          <w:szCs w:val="21"/>
          <w:highlight w:val="none"/>
          <w:lang w:val="en-US" w:eastAsia="zh-CN"/>
        </w:rPr>
        <w:t>每季度付</w:t>
      </w:r>
      <w:r>
        <w:rPr>
          <w:rFonts w:hint="eastAsia" w:ascii="宋体" w:hAnsi="宋体" w:eastAsia="宋体" w:cs="宋体"/>
          <w:color w:val="auto"/>
          <w:szCs w:val="21"/>
          <w:highlight w:val="none"/>
          <w:lang w:val="en-US" w:eastAsia="zh-CN"/>
        </w:rPr>
        <w:t>已完成合格供货量价款的100%。本项目以合同总数量完成或服务期满为止（以先到为准）</w:t>
      </w:r>
      <w:r>
        <w:rPr>
          <w:rFonts w:hint="eastAsia" w:eastAsia="宋体" w:cs="宋体"/>
          <w:color w:val="auto"/>
          <w:szCs w:val="21"/>
          <w:highlight w:val="none"/>
          <w:lang w:val="en-US" w:eastAsia="zh-CN"/>
        </w:rPr>
        <w:t>。</w:t>
      </w:r>
      <w:r>
        <w:rPr>
          <w:rFonts w:hint="eastAsia" w:ascii="宋体" w:hAnsi="Times New Roman" w:eastAsia="宋体" w:cs="宋体"/>
          <w:color w:val="auto"/>
          <w:szCs w:val="21"/>
          <w:highlight w:val="none"/>
          <w:lang w:val="en-US" w:eastAsia="zh-CN"/>
        </w:rPr>
        <w:t xml:space="preserve"> </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2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cs="宋体"/>
          <w:color w:val="auto"/>
          <w:szCs w:val="21"/>
          <w:highlight w:val="none"/>
        </w:rPr>
        <w:t>3、</w:t>
      </w:r>
      <w:r>
        <w:rPr>
          <w:rFonts w:hint="eastAsia" w:ascii="宋体" w:cs="宋体"/>
          <w:color w:val="auto"/>
          <w:szCs w:val="21"/>
          <w:highlight w:val="none"/>
          <w:lang w:val="en-US" w:eastAsia="zh-CN"/>
        </w:rPr>
        <w:t>服务期</w:t>
      </w:r>
      <w:r>
        <w:rPr>
          <w:rFonts w:hint="eastAsia" w:ascii="宋体" w:cs="宋体"/>
          <w:color w:val="auto"/>
          <w:szCs w:val="21"/>
          <w:highlight w:val="none"/>
          <w:lang w:eastAsia="zh-CN"/>
        </w:rPr>
        <w:t>：</w:t>
      </w:r>
      <w:r>
        <w:rPr>
          <w:rFonts w:hint="eastAsia" w:ascii="宋体" w:hAnsi="宋体" w:eastAsia="宋体" w:cs="宋体"/>
          <w:color w:val="auto"/>
          <w:kern w:val="0"/>
          <w:sz w:val="24"/>
          <w:szCs w:val="24"/>
          <w:highlight w:val="none"/>
          <w:u w:color="000000"/>
          <w:lang w:val="en-US" w:eastAsia="zh-CN" w:bidi="ar"/>
        </w:rPr>
        <w:t>一年。每季度招标人对中标单位供货服务及产品质量、送货时效量化考核。季度考核80分以下为不合格（满分100分，扣分制），当季不予请款，直至整改合格后方可请款。累计两次考核不合格（80分以下）招标人有权终止合同（季度服务考核表见附件1）。</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交货地点</w:t>
      </w:r>
      <w:r>
        <w:rPr>
          <w:rFonts w:hint="eastAsia" w:ascii="宋体" w:cs="宋体"/>
          <w:color w:val="auto"/>
          <w:szCs w:val="21"/>
          <w:highlight w:val="none"/>
          <w:lang w:eastAsia="zh-CN"/>
        </w:rPr>
        <w:t>：</w:t>
      </w:r>
      <w:r>
        <w:rPr>
          <w:rFonts w:hint="eastAsia" w:ascii="宋体" w:cs="宋体"/>
          <w:color w:val="auto"/>
          <w:szCs w:val="21"/>
          <w:highlight w:val="none"/>
          <w:lang w:val="en-US" w:eastAsia="zh-CN"/>
        </w:rPr>
        <w:t>招标人指定地方</w:t>
      </w:r>
      <w:r>
        <w:rPr>
          <w:rFonts w:hint="eastAsia" w:asci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、合同的生效</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none" w:color="000000"/>
        </w:rPr>
        <w:t>份，双方各执</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none" w:color="000000"/>
        </w:rPr>
        <w:t>份。</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买  方：                          卖  方：</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名  称：（盖章）                   名  称：（盖章）</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法定代表人（或委托代理人）：       法定代表人（或委托代理人）：</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（签字）                        （签字）</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地    址：                        地    址：</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邮政编码：                        邮政编码：</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电    话：                        电    话：</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开户银行：                        开户银行：</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olor w:val="auto"/>
          <w:kern w:val="0"/>
          <w:highlight w:val="none"/>
          <w:u w:val="none" w:color="000000"/>
        </w:rPr>
      </w:pPr>
      <w:r>
        <w:rPr>
          <w:rFonts w:hint="eastAsia"/>
          <w:color w:val="auto"/>
          <w:kern w:val="0"/>
          <w:highlight w:val="none"/>
          <w:u w:val="none" w:color="000000"/>
          <w:lang w:val="en-US" w:eastAsia="zh-CN"/>
        </w:rPr>
        <w:t>账</w:t>
      </w:r>
      <w:r>
        <w:rPr>
          <w:rFonts w:hint="eastAsia"/>
          <w:color w:val="auto"/>
          <w:kern w:val="0"/>
          <w:highlight w:val="none"/>
          <w:u w:val="none" w:color="000000"/>
        </w:rPr>
        <w:t xml:space="preserve">    号：                        </w:t>
      </w:r>
      <w:r>
        <w:rPr>
          <w:rFonts w:hint="eastAsia"/>
          <w:color w:val="auto"/>
          <w:kern w:val="0"/>
          <w:highlight w:val="none"/>
          <w:u w:val="none" w:color="000000"/>
          <w:lang w:val="en-US" w:eastAsia="zh-CN"/>
        </w:rPr>
        <w:t>账</w:t>
      </w:r>
      <w:r>
        <w:rPr>
          <w:rFonts w:hint="eastAsia"/>
          <w:color w:val="auto"/>
          <w:kern w:val="0"/>
          <w:highlight w:val="none"/>
          <w:u w:val="none" w:color="000000"/>
        </w:rPr>
        <w:t xml:space="preserve">    号：</w:t>
      </w:r>
      <w:bookmarkStart w:id="96" w:name="_Toc246996996"/>
      <w:bookmarkStart w:id="97" w:name="_Toc246996253"/>
      <w:bookmarkStart w:id="98" w:name="_Toc152045610"/>
      <w:bookmarkStart w:id="99" w:name="_Toc179632628"/>
      <w:bookmarkStart w:id="100" w:name="_Toc247085768"/>
      <w:bookmarkStart w:id="101" w:name="_Toc152042388"/>
      <w:bookmarkStart w:id="102" w:name="_Toc144974578"/>
      <w:bookmarkStart w:id="103" w:name="_Toc296602498"/>
    </w:p>
    <w:p>
      <w:pPr>
        <w:spacing w:line="600" w:lineRule="exact"/>
        <w:jc w:val="center"/>
        <w:outlineLvl w:val="1"/>
        <w:rPr>
          <w:rFonts w:hint="eastAsia" w:ascii="黑体" w:eastAsia="黑体"/>
          <w:b/>
          <w:color w:val="auto"/>
          <w:sz w:val="30"/>
          <w:szCs w:val="30"/>
          <w:highlight w:val="none"/>
        </w:rPr>
      </w:pPr>
      <w:bookmarkStart w:id="104" w:name="_Toc387225977"/>
      <w:r>
        <w:rPr>
          <w:rFonts w:hint="eastAsia" w:ascii="黑体" w:eastAsia="黑体"/>
          <w:b/>
          <w:color w:val="auto"/>
          <w:sz w:val="30"/>
          <w:szCs w:val="30"/>
          <w:highlight w:val="none"/>
        </w:rPr>
        <w:t>二  合同条款</w:t>
      </w:r>
      <w:bookmarkEnd w:id="96"/>
      <w:bookmarkEnd w:id="97"/>
      <w:bookmarkEnd w:id="98"/>
      <w:bookmarkEnd w:id="99"/>
      <w:bookmarkEnd w:id="100"/>
      <w:bookmarkEnd w:id="101"/>
      <w:bookmarkEnd w:id="102"/>
      <w:bookmarkEnd w:id="103"/>
      <w:bookmarkEnd w:id="104"/>
    </w:p>
    <w:p>
      <w:pPr>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&lt;4&gt;中标通知书、投标文件和招标文件；</w:t>
      </w:r>
    </w:p>
    <w:p>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(2)合同文件使用技术性条款约定的为国家标准和规范；国家没有相应标准、规范时，可使用行业标准、规范。非标货物应按约定的技术性条款的标准和规范。</w:t>
      </w:r>
    </w:p>
    <w:p>
      <w:pPr>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pPr>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9"/>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9"/>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w:t>
      </w:r>
      <w:r>
        <w:rPr>
          <w:rFonts w:hint="eastAsia" w:ascii="宋体" w:cs="宋体"/>
          <w:color w:val="auto"/>
          <w:sz w:val="21"/>
          <w:szCs w:val="21"/>
          <w:highlight w:val="none"/>
          <w:u w:val="none" w:color="000000"/>
          <w:lang w:val="en-US" w:eastAsia="zh-CN"/>
        </w:rPr>
        <w:t>1</w:t>
      </w:r>
      <w:r>
        <w:rPr>
          <w:rFonts w:hint="eastAsia" w:ascii="宋体" w:cs="宋体"/>
          <w:color w:val="auto"/>
          <w:sz w:val="21"/>
          <w:szCs w:val="21"/>
          <w:highlight w:val="none"/>
          <w:u w:val="none" w:color="000000"/>
        </w:rPr>
        <w:t>&gt;在合同规定的期限内对所提供标的物实行运行监督、维修服务的前提条件是该服务并不能免除卖方在质量保证期内所承担的义务；</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pacing w:line="440" w:lineRule="exact"/>
        <w:rPr>
          <w:rFonts w:hint="eastAsia" w:ascii="宋体" w:cs="宋体"/>
          <w:b/>
          <w:color w:val="auto"/>
          <w:szCs w:val="21"/>
          <w:highlight w:val="none"/>
        </w:rPr>
      </w:pPr>
      <w:r>
        <w:rPr>
          <w:rFonts w:hint="eastAsia" w:ascii="宋体" w:cs="宋体"/>
          <w:b/>
          <w:color w:val="auto"/>
          <w:szCs w:val="21"/>
          <w:highlight w:val="none"/>
        </w:rPr>
        <w:t>三.  标的物的交付、检验和验收</w:t>
      </w:r>
    </w:p>
    <w:p>
      <w:pPr>
        <w:spacing w:line="440" w:lineRule="exact"/>
        <w:rPr>
          <w:rFonts w:hint="eastAsia" w:ascii="宋体" w:cs="宋体"/>
          <w:color w:val="auto"/>
          <w:szCs w:val="21"/>
          <w:highlight w:val="none"/>
        </w:rPr>
      </w:pPr>
      <w:r>
        <w:rPr>
          <w:rFonts w:hint="eastAsia" w:ascii="宋体" w:cs="宋体"/>
          <w:color w:val="auto"/>
          <w:szCs w:val="21"/>
          <w:highlight w:val="none"/>
        </w:rPr>
        <w:t>8、标的物的交付</w:t>
      </w:r>
    </w:p>
    <w:p>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(1)标的物的所有权自标的物交付时转移。</w:t>
      </w:r>
    </w:p>
    <w:p>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(2)卖方应当按照约定的期限和约定的地点交付符合招标文件要求的标的物。</w:t>
      </w:r>
    </w:p>
    <w:p>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(3)卖方应当按照约定或者交易习惯向招标人交付提取标的物单证以外的有关单证和资料。</w:t>
      </w:r>
    </w:p>
    <w:p>
      <w:pPr>
        <w:spacing w:line="440" w:lineRule="exact"/>
        <w:rPr>
          <w:rFonts w:hint="eastAsia" w:ascii="宋体" w:cs="宋体"/>
          <w:color w:val="auto"/>
          <w:szCs w:val="21"/>
          <w:highlight w:val="none"/>
        </w:rPr>
      </w:pPr>
      <w:r>
        <w:rPr>
          <w:rFonts w:hint="eastAsia" w:ascii="宋体" w:cs="宋体"/>
          <w:color w:val="auto"/>
          <w:szCs w:val="21"/>
          <w:highlight w:val="none"/>
        </w:rPr>
        <w:t>9、检验和验收</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(3)验收期限自标的物交付之日起三十天内。特殊情况需延长的，双方应在合同条款中约定。</w:t>
      </w:r>
    </w:p>
    <w:p>
      <w:pPr>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pPr>
        <w:spacing w:line="440" w:lineRule="exact"/>
        <w:rPr>
          <w:rFonts w:hint="eastAsia" w:ascii="宋体" w:cs="宋体"/>
          <w:color w:val="auto"/>
          <w:szCs w:val="21"/>
          <w:highlight w:val="none"/>
        </w:rPr>
      </w:pPr>
      <w:r>
        <w:rPr>
          <w:rFonts w:hint="eastAsia" w:ascii="宋体" w:cs="宋体"/>
          <w:color w:val="auto"/>
          <w:szCs w:val="21"/>
          <w:highlight w:val="none"/>
        </w:rPr>
        <w:t xml:space="preserve">10、对标的物提出异议的时间和办法 </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(3)卖方应在收到买方书面异议后七天内负责处理问题，否则将视为默认买方提出的异议和处理意见。</w:t>
      </w:r>
    </w:p>
    <w:p>
      <w:pPr>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pacing w:line="440" w:lineRule="exact"/>
        <w:rPr>
          <w:rFonts w:hint="eastAsia" w:ascii="宋体" w:cs="宋体"/>
          <w:color w:val="auto"/>
          <w:szCs w:val="21"/>
          <w:highlight w:val="none"/>
        </w:rPr>
      </w:pPr>
      <w:r>
        <w:rPr>
          <w:rFonts w:hint="eastAsia" w:ascii="宋体" w:cs="宋体"/>
          <w:color w:val="auto"/>
          <w:szCs w:val="21"/>
          <w:highlight w:val="none"/>
        </w:rPr>
        <w:t>11、合同价款和支付</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9"/>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spacing w:line="440" w:lineRule="exact"/>
        <w:rPr>
          <w:rFonts w:hint="eastAsia" w:ascii="宋体" w:cs="宋体"/>
          <w:color w:val="auto"/>
          <w:szCs w:val="21"/>
          <w:highlight w:val="none"/>
        </w:rPr>
      </w:pPr>
      <w:r>
        <w:rPr>
          <w:rFonts w:hint="eastAsia" w:ascii="宋体" w:cs="宋体"/>
          <w:color w:val="auto"/>
          <w:szCs w:val="21"/>
          <w:highlight w:val="none"/>
        </w:rPr>
        <w:t>12、违约责任</w:t>
      </w:r>
    </w:p>
    <w:p>
      <w:pPr>
        <w:pStyle w:val="9"/>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合同一方不履行合同义务或者履行合同义务不符合约定的，应当承担继续履行、采取补救措施或者赔偿损失等违约责任。</w:t>
      </w:r>
    </w:p>
    <w:p>
      <w:pPr>
        <w:spacing w:line="440" w:lineRule="exact"/>
        <w:rPr>
          <w:rFonts w:hint="eastAsia" w:ascii="宋体" w:cs="宋体"/>
          <w:color w:val="auto"/>
          <w:szCs w:val="21"/>
          <w:highlight w:val="none"/>
        </w:rPr>
      </w:pPr>
      <w:r>
        <w:rPr>
          <w:rFonts w:hint="eastAsia" w:ascii="宋体" w:cs="宋体"/>
          <w:color w:val="auto"/>
          <w:szCs w:val="21"/>
          <w:highlight w:val="none"/>
        </w:rPr>
        <w:t>13、买方违约责任</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1</w:t>
      </w:r>
      <w:r>
        <w:rPr>
          <w:rFonts w:hint="eastAsia" w:ascii="宋体" w:cs="宋体"/>
          <w:color w:val="auto"/>
          <w:sz w:val="21"/>
          <w:szCs w:val="21"/>
          <w:highlight w:val="none"/>
          <w:u w:val="none" w:color="000000"/>
        </w:rPr>
        <w:t>)买方违反合同规定，拒绝接收卖方交付的符合招标文件要求的合格标的物，应当承担卖方由此造成的损失。</w:t>
      </w:r>
    </w:p>
    <w:p>
      <w:pPr>
        <w:spacing w:line="440" w:lineRule="exact"/>
        <w:rPr>
          <w:rFonts w:hint="eastAsia" w:ascii="宋体" w:cs="宋体"/>
          <w:color w:val="auto"/>
          <w:szCs w:val="21"/>
          <w:highlight w:val="none"/>
        </w:rPr>
      </w:pPr>
      <w:r>
        <w:rPr>
          <w:rFonts w:hint="eastAsia" w:ascii="宋体" w:cs="宋体"/>
          <w:color w:val="auto"/>
          <w:szCs w:val="21"/>
          <w:highlight w:val="none"/>
        </w:rPr>
        <w:t>14、卖方违约责任</w:t>
      </w:r>
    </w:p>
    <w:p>
      <w:pPr>
        <w:pageBreakBefore w:val="0"/>
        <w:kinsoku/>
        <w:overflowPunct/>
        <w:topLinePunct w:val="0"/>
        <w:autoSpaceDE/>
        <w:autoSpaceDN/>
        <w:bidi w:val="0"/>
        <w:snapToGrid/>
        <w:spacing w:line="400" w:lineRule="exact"/>
        <w:ind w:firstLine="630" w:firstLineChars="300"/>
        <w:rPr>
          <w:rFonts w:hint="eastAsia" w:ascii="宋体" w:hAnsi="宋体" w:eastAsia="宋体" w:cs="宋体"/>
          <w:color w:val="auto"/>
          <w:szCs w:val="21"/>
          <w:highlight w:val="none"/>
          <w:lang w:eastAsia="zh-CN"/>
        </w:rPr>
      </w:pPr>
      <w:r>
        <w:rPr>
          <w:rFonts w:hint="eastAsia" w:ascii="宋体" w:cs="宋体"/>
          <w:color w:val="auto"/>
          <w:sz w:val="21"/>
          <w:szCs w:val="21"/>
          <w:highlight w:val="none"/>
          <w:u w:val="none" w:color="000000"/>
        </w:rPr>
        <w:t>(1)卖方自报的承诺供货期（不大于要求）为考核标准，每推迟一天，按1000元/天处以违约金</w:t>
      </w:r>
      <w:r>
        <w:rPr>
          <w:rFonts w:hint="eastAsia" w:ascii="宋体" w:cs="宋体"/>
          <w:color w:val="auto"/>
          <w:sz w:val="21"/>
          <w:szCs w:val="21"/>
          <w:highlight w:val="none"/>
          <w:u w:val="none" w:color="000000"/>
          <w:lang w:eastAsia="zh-CN"/>
        </w:rPr>
        <w:t>。</w:t>
      </w:r>
    </w:p>
    <w:p>
      <w:pPr>
        <w:pStyle w:val="9"/>
        <w:overflowPunct w:val="0"/>
        <w:spacing w:line="440" w:lineRule="exact"/>
        <w:ind w:left="0" w:leftChars="0" w:firstLine="420" w:firstLineChars="20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lang w:eastAsia="zh-CN"/>
        </w:rPr>
        <w:t>（</w:t>
      </w:r>
      <w:r>
        <w:rPr>
          <w:rFonts w:hint="eastAsia" w:ascii="宋体" w:cs="宋体"/>
          <w:color w:val="auto"/>
          <w:sz w:val="21"/>
          <w:szCs w:val="21"/>
          <w:highlight w:val="none"/>
          <w:u w:val="none" w:color="000000"/>
          <w:lang w:val="en-US" w:eastAsia="zh-CN"/>
        </w:rPr>
        <w:t>2</w:t>
      </w:r>
      <w:r>
        <w:rPr>
          <w:rFonts w:hint="eastAsia" w:ascii="宋体" w:cs="宋体"/>
          <w:color w:val="auto"/>
          <w:sz w:val="21"/>
          <w:szCs w:val="21"/>
          <w:highlight w:val="none"/>
          <w:u w:val="none" w:color="000000"/>
          <w:lang w:eastAsia="zh-CN"/>
        </w:rPr>
        <w:t>）</w:t>
      </w:r>
      <w:r>
        <w:rPr>
          <w:rFonts w:hint="eastAsia" w:ascii="宋体" w:cs="宋体"/>
          <w:color w:val="auto"/>
          <w:sz w:val="21"/>
          <w:szCs w:val="21"/>
          <w:highlight w:val="none"/>
          <w:u w:val="none" w:color="000000"/>
        </w:rPr>
        <w:t>卖方交货不合格从而影响买方按期正常使用的，应向买方偿付合同总价款5%的违约金。</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)卖方逾期交货的，应在发货前与买方协商，买方仍需求的，卖方应立即发货并应按照逾期交货部分货款的每天万分之四支付逾期交货违约金，同时承担买方因此遭致的损失费用。</w:t>
      </w:r>
    </w:p>
    <w:p>
      <w:pPr>
        <w:spacing w:line="440" w:lineRule="exact"/>
        <w:rPr>
          <w:rFonts w:hint="eastAsia" w:ascii="宋体" w:cs="宋体"/>
          <w:color w:val="auto"/>
          <w:szCs w:val="21"/>
          <w:highlight w:val="none"/>
        </w:rPr>
      </w:pPr>
      <w:r>
        <w:rPr>
          <w:rFonts w:hint="eastAsia" w:ascii="宋体" w:cs="宋体"/>
          <w:color w:val="auto"/>
          <w:szCs w:val="21"/>
          <w:highlight w:val="none"/>
        </w:rPr>
        <w:t>15、不可抗力</w:t>
      </w:r>
    </w:p>
    <w:p>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(2)合同一方因不可抗力不能履行合同的，应当及时通知对方，以减轻可能给对方造成的损失，并应当在合理期限内提供证明。</w:t>
      </w:r>
    </w:p>
    <w:p>
      <w:pPr>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pacing w:line="440" w:lineRule="exact"/>
        <w:rPr>
          <w:rFonts w:hint="eastAsia" w:ascii="宋体" w:cs="宋体"/>
          <w:color w:val="auto"/>
          <w:szCs w:val="21"/>
          <w:highlight w:val="none"/>
        </w:rPr>
      </w:pPr>
      <w:r>
        <w:rPr>
          <w:rFonts w:hint="eastAsia" w:ascii="宋体" w:cs="宋体"/>
          <w:color w:val="auto"/>
          <w:szCs w:val="21"/>
          <w:highlight w:val="none"/>
        </w:rPr>
        <w:t>16、索赔</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中扣回索赔金额，如果这些金额不足以补偿索赔金额，买方有权向卖方提出对不足部分的补偿。</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pacing w:line="440" w:lineRule="exact"/>
        <w:rPr>
          <w:rFonts w:hint="eastAsia" w:ascii="宋体" w:cs="宋体" w:eastAsiaTheme="minorEastAsia"/>
          <w:color w:val="auto"/>
          <w:szCs w:val="21"/>
          <w:highlight w:val="none"/>
          <w:lang w:eastAsia="zh-CN"/>
        </w:rPr>
      </w:pPr>
      <w:r>
        <w:rPr>
          <w:rFonts w:hint="eastAsia" w:ascii="宋体" w:cs="宋体"/>
          <w:color w:val="auto"/>
          <w:szCs w:val="21"/>
          <w:highlight w:val="none"/>
        </w:rPr>
        <w:t>17、履约保证金</w:t>
      </w:r>
      <w:r>
        <w:rPr>
          <w:rFonts w:hint="eastAsia" w:ascii="宋体" w:cs="宋体"/>
          <w:color w:val="auto"/>
          <w:szCs w:val="21"/>
          <w:highlight w:val="none"/>
          <w:lang w:eastAsia="zh-CN"/>
        </w:rPr>
        <w:t>：</w:t>
      </w:r>
      <w:r>
        <w:rPr>
          <w:rFonts w:hint="eastAsia" w:ascii="宋体" w:hAnsi="宋体" w:eastAsia="宋体" w:cs="宋体"/>
          <w:color w:val="auto"/>
          <w:kern w:val="0"/>
          <w:sz w:val="21"/>
          <w:szCs w:val="21"/>
          <w:highlight w:val="none"/>
          <w:u w:color="000000"/>
          <w:lang w:val="en-US" w:eastAsia="zh-CN" w:bidi="ar"/>
        </w:rPr>
        <w:t>不要求卖方提交履约保证金。</w:t>
      </w:r>
    </w:p>
    <w:p>
      <w:pPr>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pacing w:line="440" w:lineRule="exact"/>
        <w:rPr>
          <w:rFonts w:hint="eastAsia" w:ascii="宋体" w:cs="宋体"/>
          <w:color w:val="auto"/>
          <w:szCs w:val="21"/>
          <w:highlight w:val="none"/>
        </w:rPr>
      </w:pPr>
      <w:r>
        <w:rPr>
          <w:rFonts w:hint="eastAsia" w:ascii="宋体" w:cs="宋体"/>
          <w:color w:val="auto"/>
          <w:szCs w:val="21"/>
          <w:highlight w:val="none"/>
        </w:rPr>
        <w:t>18、合同的解除</w:t>
      </w:r>
    </w:p>
    <w:p>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pacing w:line="440" w:lineRule="exact"/>
        <w:rPr>
          <w:rFonts w:hint="eastAsia" w:ascii="宋体" w:cs="宋体"/>
          <w:color w:val="auto"/>
          <w:szCs w:val="21"/>
          <w:highlight w:val="none"/>
        </w:rPr>
      </w:pPr>
      <w:r>
        <w:rPr>
          <w:rFonts w:hint="eastAsia" w:ascii="宋体" w:cs="宋体"/>
          <w:color w:val="auto"/>
          <w:szCs w:val="21"/>
          <w:highlight w:val="none"/>
        </w:rPr>
        <w:t>19、合同的转让</w:t>
      </w:r>
    </w:p>
    <w:p>
      <w:pPr>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pPr>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pacing w:line="440" w:lineRule="exact"/>
        <w:rPr>
          <w:rFonts w:hint="eastAsia" w:ascii="宋体" w:cs="宋体"/>
          <w:color w:val="auto"/>
          <w:szCs w:val="21"/>
          <w:highlight w:val="none"/>
        </w:rPr>
      </w:pPr>
      <w:r>
        <w:rPr>
          <w:rFonts w:hint="eastAsia" w:ascii="宋体" w:cs="宋体"/>
          <w:color w:val="auto"/>
          <w:szCs w:val="21"/>
          <w:highlight w:val="none"/>
        </w:rPr>
        <w:t>20、合同的生效</w:t>
      </w:r>
    </w:p>
    <w:p>
      <w:pPr>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本合同在双方签字盖章后生效。</w:t>
      </w:r>
    </w:p>
    <w:p>
      <w:pPr>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21、争议解决</w:t>
      </w:r>
    </w:p>
    <w:p>
      <w:pPr>
        <w:pStyle w:val="9"/>
        <w:overflowPunct w:val="0"/>
        <w:spacing w:line="440" w:lineRule="exact"/>
        <w:rPr>
          <w:rFonts w:hint="eastAsia" w:ascii="宋体" w:eastAsia="宋体" w:cs="宋体"/>
          <w:color w:val="auto"/>
          <w:sz w:val="21"/>
          <w:szCs w:val="21"/>
          <w:highlight w:val="none"/>
          <w:u w:val="none" w:color="000000"/>
          <w:lang w:eastAsia="zh-CN"/>
        </w:rPr>
      </w:pPr>
      <w:r>
        <w:rPr>
          <w:rFonts w:hint="eastAsia" w:ascii="宋体" w:cs="宋体"/>
          <w:color w:val="auto"/>
          <w:sz w:val="21"/>
          <w:szCs w:val="21"/>
          <w:highlight w:val="none"/>
          <w:u w:val="none" w:color="000000"/>
        </w:rPr>
        <w:t xml:space="preserve"> 买卖双方因合同发生争议，进行调解，协商不成，可选择：</w:t>
      </w:r>
      <w:r>
        <w:rPr>
          <w:rFonts w:hint="eastAsia" w:ascii="宋体" w:cs="宋体"/>
          <w:color w:val="auto"/>
          <w:sz w:val="21"/>
          <w:szCs w:val="21"/>
          <w:highlight w:val="none"/>
          <w:u w:val="none" w:color="000000"/>
          <w:lang w:eastAsia="zh-CN"/>
        </w:rPr>
        <w:t>（</w:t>
      </w:r>
      <w:r>
        <w:rPr>
          <w:rFonts w:hint="eastAsia" w:ascii="宋体" w:cs="宋体"/>
          <w:color w:val="auto"/>
          <w:sz w:val="21"/>
          <w:szCs w:val="21"/>
          <w:highlight w:val="none"/>
          <w:u w:val="none" w:color="000000"/>
          <w:lang w:val="en-US" w:eastAsia="zh-CN"/>
        </w:rPr>
        <w:t>2</w:t>
      </w:r>
      <w:r>
        <w:rPr>
          <w:rFonts w:hint="eastAsia" w:ascii="宋体" w:cs="宋体"/>
          <w:color w:val="auto"/>
          <w:sz w:val="21"/>
          <w:szCs w:val="21"/>
          <w:highlight w:val="none"/>
          <w:u w:val="none" w:color="000000"/>
          <w:lang w:eastAsia="zh-CN"/>
        </w:rPr>
        <w:t>）</w:t>
      </w:r>
    </w:p>
    <w:p>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9"/>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pacing w:line="440" w:lineRule="exact"/>
        <w:rPr>
          <w:rFonts w:hint="eastAsia" w:ascii="宋体" w:cs="宋体"/>
          <w:color w:val="auto"/>
          <w:szCs w:val="21"/>
          <w:highlight w:val="none"/>
          <w:lang w:val="en-US" w:eastAsia="zh-CN"/>
        </w:rPr>
      </w:pPr>
    </w:p>
    <w:tbl>
      <w:tblPr>
        <w:tblStyle w:val="22"/>
        <w:tblpPr w:leftFromText="180" w:rightFromText="180" w:vertAnchor="page" w:horzAnchor="page" w:tblpX="1446" w:tblpY="1501"/>
        <w:tblOverlap w:val="never"/>
        <w:tblW w:w="9390" w:type="dxa"/>
        <w:tblInd w:w="0" w:type="dxa"/>
        <w:tblLayout w:type="fixed"/>
        <w:tblCellMar>
          <w:top w:w="0" w:type="dxa"/>
          <w:left w:w="108" w:type="dxa"/>
          <w:bottom w:w="0" w:type="dxa"/>
          <w:right w:w="108" w:type="dxa"/>
        </w:tblCellMar>
      </w:tblPr>
      <w:tblGrid>
        <w:gridCol w:w="1080"/>
        <w:gridCol w:w="1155"/>
        <w:gridCol w:w="4395"/>
        <w:gridCol w:w="1395"/>
        <w:gridCol w:w="1365"/>
      </w:tblGrid>
      <w:tr>
        <w:tblPrEx>
          <w:tblCellMar>
            <w:top w:w="0" w:type="dxa"/>
            <w:left w:w="108" w:type="dxa"/>
            <w:bottom w:w="0" w:type="dxa"/>
            <w:right w:w="108" w:type="dxa"/>
          </w:tblCellMar>
        </w:tblPrEx>
        <w:trPr>
          <w:trHeight w:val="498" w:hRule="atLeast"/>
        </w:trPr>
        <w:tc>
          <w:tcPr>
            <w:tcW w:w="9390" w:type="dxa"/>
            <w:gridSpan w:val="5"/>
            <w:tcBorders>
              <w:top w:val="nil"/>
              <w:left w:val="nil"/>
              <w:bottom w:val="nil"/>
              <w:right w:val="nil"/>
            </w:tcBorders>
            <w:noWrap w:val="0"/>
            <w:vAlign w:val="center"/>
          </w:tcPr>
          <w:p>
            <w:pPr>
              <w:keepNext w:val="0"/>
              <w:keepLines w:val="0"/>
              <w:suppressLineNumbers w:val="0"/>
              <w:spacing w:before="0" w:beforeAutospacing="0" w:after="0" w:afterAutospacing="0" w:line="440" w:lineRule="exact"/>
              <w:ind w:left="0" w:right="0" w:firstLine="210" w:firstLineChars="100"/>
              <w:rPr>
                <w:rFonts w:hint="eastAsia" w:ascii="宋体" w:cs="宋体"/>
                <w:color w:val="auto"/>
                <w:szCs w:val="21"/>
                <w:highlight w:val="none"/>
              </w:rPr>
            </w:pPr>
            <w:r>
              <w:rPr>
                <w:rFonts w:hint="eastAsia" w:ascii="宋体" w:cs="宋体"/>
                <w:color w:val="auto"/>
                <w:szCs w:val="21"/>
                <w:highlight w:val="none"/>
              </w:rPr>
              <w:t>22、合同份数。</w:t>
            </w:r>
          </w:p>
          <w:p>
            <w:pPr>
              <w:keepNext w:val="0"/>
              <w:keepLines w:val="0"/>
              <w:suppressLineNumbers w:val="0"/>
              <w:spacing w:before="0" w:beforeAutospacing="0" w:after="0" w:afterAutospacing="0" w:line="440" w:lineRule="exact"/>
              <w:ind w:left="0" w:right="0"/>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本合同一式四份，买卖双方各执二份。</w:t>
            </w:r>
          </w:p>
          <w:p>
            <w:pPr>
              <w:keepNext w:val="0"/>
              <w:keepLines w:val="0"/>
              <w:suppressLineNumbers w:val="0"/>
              <w:spacing w:before="0" w:beforeAutospacing="0" w:after="0" w:afterAutospacing="0" w:line="440" w:lineRule="exact"/>
              <w:ind w:left="0" w:right="0" w:firstLine="210" w:firstLineChars="100"/>
              <w:rPr>
                <w:rFonts w:hint="eastAsia" w:ascii="宋体"/>
                <w:b/>
                <w:color w:val="auto"/>
                <w:sz w:val="24"/>
                <w:szCs w:val="24"/>
                <w:highlight w:val="none"/>
                <w:lang w:val="en-US" w:eastAsia="zh-CN"/>
              </w:rPr>
            </w:pPr>
            <w:r>
              <w:rPr>
                <w:rFonts w:hint="eastAsia" w:ascii="宋体" w:cs="宋体"/>
                <w:color w:val="auto"/>
                <w:szCs w:val="21"/>
                <w:highlight w:val="none"/>
              </w:rPr>
              <w:t>23、</w:t>
            </w:r>
            <w:r>
              <w:rPr>
                <w:rFonts w:hint="eastAsia" w:ascii="宋体" w:hAnsi="宋体" w:eastAsia="宋体" w:cs="宋体"/>
                <w:color w:val="auto"/>
                <w:sz w:val="21"/>
                <w:szCs w:val="21"/>
                <w:highlight w:val="none"/>
                <w:u w:val="none" w:color="000000"/>
              </w:rPr>
              <w:t>本合同未尽事宜应按《中华人民共和国招标投标法》、《中华人民共和国民法典》、《中华人民共和国产品质量法》之规定解释</w:t>
            </w:r>
            <w:r>
              <w:rPr>
                <w:rFonts w:hint="eastAsia" w:ascii="宋体" w:cs="宋体"/>
                <w:color w:val="auto"/>
                <w:szCs w:val="21"/>
                <w:highlight w:val="none"/>
              </w:rPr>
              <w:t>。</w:t>
            </w:r>
          </w:p>
          <w:p>
            <w:pPr>
              <w:keepNext w:val="0"/>
              <w:keepLines w:val="0"/>
              <w:suppressLineNumbers w:val="0"/>
              <w:spacing w:before="0" w:beforeAutospacing="0" w:after="0" w:afterAutospacing="0" w:line="440" w:lineRule="exact"/>
              <w:ind w:left="0" w:right="0" w:firstLine="525" w:firstLineChars="250"/>
              <w:rPr>
                <w:rFonts w:hint="eastAsia" w:ascii="宋体" w:cs="宋体"/>
                <w:color w:val="auto"/>
                <w:szCs w:val="21"/>
                <w:highlight w:val="none"/>
                <w:lang w:val="en-US" w:eastAsia="zh-CN"/>
              </w:rPr>
            </w:pPr>
            <w:r>
              <w:rPr>
                <w:rFonts w:hint="eastAsia" w:ascii="宋体" w:cs="宋体"/>
                <w:color w:val="auto"/>
                <w:szCs w:val="21"/>
                <w:highlight w:val="none"/>
                <w:lang w:val="en-US" w:eastAsia="zh-CN"/>
              </w:rPr>
              <w:t>附件1：</w:t>
            </w:r>
          </w:p>
          <w:p>
            <w:pPr>
              <w:keepNext w:val="0"/>
              <w:keepLines w:val="0"/>
              <w:suppressLineNumbers w:val="0"/>
              <w:shd w:val="clear" w:color="auto" w:fill="auto"/>
              <w:spacing w:before="156" w:beforeLines="50" w:beforeAutospacing="0" w:after="156" w:afterLines="50" w:afterAutospacing="0" w:line="500" w:lineRule="exact"/>
              <w:ind w:left="0" w:right="0"/>
              <w:jc w:val="both"/>
              <w:outlineLvl w:val="0"/>
              <w:rPr>
                <w:rFonts w:hint="eastAsia" w:ascii="宋体" w:hAnsi="宋体" w:eastAsia="宋体" w:cs="宋体"/>
                <w:b/>
                <w:bCs/>
                <w:color w:val="auto"/>
                <w:szCs w:val="21"/>
                <w:highlight w:val="none"/>
                <w:lang w:eastAsia="zh-CN"/>
              </w:rPr>
            </w:pPr>
            <w:r>
              <w:rPr>
                <w:rFonts w:hint="eastAsia" w:ascii="宋体"/>
                <w:b/>
                <w:color w:val="auto"/>
                <w:sz w:val="24"/>
                <w:szCs w:val="24"/>
                <w:highlight w:val="none"/>
                <w:lang w:val="en-US" w:eastAsia="zh-CN"/>
              </w:rPr>
              <w:t>产品</w:t>
            </w:r>
            <w:r>
              <w:rPr>
                <w:rFonts w:hint="eastAsia" w:ascii="宋体"/>
                <w:b/>
                <w:color w:val="auto"/>
                <w:sz w:val="24"/>
                <w:szCs w:val="24"/>
                <w:highlight w:val="none"/>
              </w:rPr>
              <w:t>质量（服务）</w:t>
            </w:r>
            <w:r>
              <w:rPr>
                <w:rFonts w:hint="eastAsia" w:ascii="宋体" w:hAnsi="宋体" w:cs="宋体"/>
                <w:b/>
                <w:bCs/>
                <w:color w:val="auto"/>
                <w:kern w:val="0"/>
                <w:sz w:val="24"/>
                <w:szCs w:val="24"/>
                <w:highlight w:val="none"/>
                <w:lang w:bidi="ar"/>
              </w:rPr>
              <w:t>考核评分表</w:t>
            </w:r>
            <w:r>
              <w:rPr>
                <w:rFonts w:hint="eastAsia" w:ascii="宋体" w:hAnsi="宋体" w:cs="宋体"/>
                <w:b/>
                <w:bCs/>
                <w:color w:val="auto"/>
                <w:kern w:val="0"/>
                <w:sz w:val="24"/>
                <w:szCs w:val="24"/>
                <w:highlight w:val="none"/>
                <w:lang w:eastAsia="zh-CN" w:bidi="ar"/>
              </w:rPr>
              <w:t>（</w:t>
            </w:r>
            <w:r>
              <w:rPr>
                <w:rFonts w:hint="eastAsia" w:ascii="宋体" w:hAnsi="宋体" w:cs="宋体"/>
                <w:b/>
                <w:bCs/>
                <w:color w:val="auto"/>
                <w:kern w:val="0"/>
                <w:sz w:val="24"/>
                <w:szCs w:val="24"/>
                <w:highlight w:val="none"/>
                <w:lang w:val="en-US" w:eastAsia="zh-CN" w:bidi="ar"/>
              </w:rPr>
              <w:t>季度</w:t>
            </w:r>
            <w:r>
              <w:rPr>
                <w:rFonts w:hint="eastAsia" w:ascii="宋体" w:hAnsi="宋体" w:cs="宋体"/>
                <w:b/>
                <w:bCs/>
                <w:color w:val="auto"/>
                <w:kern w:val="0"/>
                <w:sz w:val="24"/>
                <w:szCs w:val="24"/>
                <w:highlight w:val="none"/>
                <w:lang w:eastAsia="zh-CN" w:bidi="ar"/>
              </w:rPr>
              <w:t>）</w:t>
            </w:r>
          </w:p>
        </w:tc>
      </w:tr>
      <w:tr>
        <w:tblPrEx>
          <w:tblCellMar>
            <w:top w:w="0" w:type="dxa"/>
            <w:left w:w="108" w:type="dxa"/>
            <w:bottom w:w="0" w:type="dxa"/>
            <w:right w:w="108" w:type="dxa"/>
          </w:tblCellMar>
        </w:tblPrEx>
        <w:trPr>
          <w:trHeight w:val="346" w:hRule="atLeast"/>
        </w:trPr>
        <w:tc>
          <w:tcPr>
            <w:tcW w:w="663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检　查　考  核  项  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扣分标准</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扣分情况</w:t>
            </w:r>
          </w:p>
        </w:tc>
      </w:tr>
      <w:tr>
        <w:tblPrEx>
          <w:tblCellMar>
            <w:top w:w="0" w:type="dxa"/>
            <w:left w:w="108" w:type="dxa"/>
            <w:bottom w:w="0" w:type="dxa"/>
            <w:right w:w="108" w:type="dxa"/>
          </w:tblCellMar>
        </w:tblPrEx>
        <w:trPr>
          <w:trHeight w:val="223" w:hRule="atLeast"/>
        </w:trPr>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考核日期</w:t>
            </w:r>
          </w:p>
        </w:tc>
        <w:tc>
          <w:tcPr>
            <w:tcW w:w="71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年   月    日</w:t>
            </w:r>
          </w:p>
        </w:tc>
      </w:tr>
      <w:tr>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val="en-US" w:eastAsia="zh-CN" w:bidi="ar"/>
              </w:rPr>
              <w:t>产品</w:t>
            </w:r>
            <w:r>
              <w:rPr>
                <w:rFonts w:hint="eastAsia" w:ascii="宋体" w:hAnsi="宋体" w:cs="宋体"/>
                <w:color w:val="auto"/>
                <w:kern w:val="0"/>
                <w:szCs w:val="21"/>
                <w:highlight w:val="none"/>
                <w:lang w:bidi="ar"/>
              </w:rPr>
              <w:t>质量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产品型号</w:t>
            </w:r>
            <w:r>
              <w:rPr>
                <w:rFonts w:hint="eastAsia" w:ascii="宋体" w:hAnsi="宋体" w:cs="宋体"/>
                <w:color w:val="auto"/>
                <w:szCs w:val="21"/>
                <w:highlight w:val="none"/>
              </w:rPr>
              <w:t>是否</w:t>
            </w:r>
            <w:r>
              <w:rPr>
                <w:rFonts w:hint="eastAsia" w:ascii="宋体" w:hAnsi="宋体" w:cs="宋体"/>
                <w:color w:val="auto"/>
                <w:szCs w:val="21"/>
                <w:highlight w:val="none"/>
                <w:lang w:val="en-US" w:eastAsia="zh-CN"/>
              </w:rPr>
              <w:t>符合招标人使用需求</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lang w:val="en-US"/>
              </w:rPr>
            </w:pP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产品是否出现质量问题</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是否</w:t>
            </w:r>
            <w:r>
              <w:rPr>
                <w:rFonts w:hint="eastAsia" w:ascii="宋体" w:hAnsi="宋体" w:cs="宋体"/>
                <w:color w:val="auto"/>
                <w:szCs w:val="21"/>
                <w:highlight w:val="none"/>
                <w:lang w:val="en-US" w:eastAsia="zh-CN"/>
              </w:rPr>
              <w:t>出现以次充好、同批次产品质量不一情况</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lang w:val="en-US"/>
              </w:rPr>
            </w:pPr>
            <w:r>
              <w:rPr>
                <w:rFonts w:hint="eastAsia" w:ascii="宋体" w:hAnsi="宋体" w:cs="宋体"/>
                <w:color w:val="auto"/>
                <w:kern w:val="0"/>
                <w:szCs w:val="21"/>
                <w:highlight w:val="none"/>
                <w:lang w:bidi="ar"/>
              </w:rPr>
              <w:t>是否</w:t>
            </w:r>
            <w:r>
              <w:rPr>
                <w:rFonts w:hint="eastAsia" w:ascii="宋体" w:hAnsi="宋体" w:cs="宋体"/>
                <w:color w:val="auto"/>
                <w:kern w:val="0"/>
                <w:szCs w:val="21"/>
                <w:highlight w:val="none"/>
                <w:lang w:val="en-US" w:eastAsia="zh-CN" w:bidi="ar"/>
              </w:rPr>
              <w:t>积极配合招标人解决产品问题</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送货服务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szCs w:val="21"/>
                <w:highlight w:val="none"/>
              </w:rPr>
              <w:t>是否在招标人要求时间内送达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是否按照招标人需求供应产品数量</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是否使用符合矿区要求车辆运送货物</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是否配合招标人卸载入库产品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9</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是否提供产品验收单据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服务质量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szCs w:val="21"/>
                <w:highlight w:val="none"/>
              </w:rPr>
              <w:t>热情承接招标人的送货任务，认真做到“四优”，即：时间优先、质量优良、服务优良、价格优惠</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是否存在送礼品、给回扣、报销费用等一切不正当竞争行为</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13</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是否配合甲方的检查</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14</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w:t>
            </w:r>
            <w:r>
              <w:rPr>
                <w:rFonts w:hint="eastAsia" w:ascii="宋体" w:hAnsi="宋体"/>
                <w:color w:val="auto"/>
                <w:szCs w:val="21"/>
                <w:highlight w:val="none"/>
              </w:rPr>
              <w:t>积极配合甲方提出的其他合理服务需求</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533" w:hRule="atLeast"/>
        </w:trPr>
        <w:tc>
          <w:tcPr>
            <w:tcW w:w="10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合计</w:t>
            </w:r>
          </w:p>
        </w:tc>
        <w:tc>
          <w:tcPr>
            <w:tcW w:w="115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bl>
    <w:p>
      <w:pPr>
        <w:rPr>
          <w:rFonts w:hint="eastAsia"/>
          <w:color w:val="auto"/>
          <w:sz w:val="28"/>
          <w:szCs w:val="36"/>
          <w:highlight w:val="none"/>
          <w:lang w:val="en-US" w:eastAsia="zh-CN"/>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季度</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服务及</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质量、市场行为进行量化考核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扣分制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满分100分，</w:t>
      </w:r>
      <w:r>
        <w:rPr>
          <w:rFonts w:hint="eastAsia" w:ascii="宋体" w:hAnsi="宋体" w:cs="宋体"/>
          <w:color w:val="auto"/>
          <w:szCs w:val="21"/>
          <w:highlight w:val="none"/>
        </w:rPr>
        <w:t>考核80分以下为不合格</w:t>
      </w:r>
      <w:r>
        <w:rPr>
          <w:rFonts w:hint="eastAsia" w:ascii="宋体" w:hAnsi="宋体" w:cs="宋体"/>
          <w:color w:val="auto"/>
          <w:szCs w:val="21"/>
          <w:highlight w:val="none"/>
          <w:lang w:eastAsia="zh-CN"/>
        </w:rPr>
        <w:t>。</w:t>
      </w:r>
    </w:p>
    <w:p>
      <w:pPr>
        <w:rPr>
          <w:rFonts w:hint="eastAsia"/>
          <w:color w:val="auto"/>
          <w:sz w:val="28"/>
          <w:szCs w:val="36"/>
          <w:highlight w:val="none"/>
          <w:lang w:val="en-US" w:eastAsia="zh-CN"/>
        </w:rPr>
      </w:pPr>
      <w:r>
        <w:rPr>
          <w:rFonts w:hint="eastAsia"/>
          <w:b/>
          <w:bCs/>
          <w:color w:val="auto"/>
          <w:sz w:val="28"/>
          <w:szCs w:val="36"/>
          <w:highlight w:val="none"/>
          <w:lang w:val="en-US" w:eastAsia="zh-CN"/>
        </w:rPr>
        <w:t>考核结果为：</w:t>
      </w:r>
      <w:r>
        <w:rPr>
          <w:rFonts w:hint="eastAsia"/>
          <w:b/>
          <w:bCs/>
          <w:color w:val="auto"/>
          <w:sz w:val="28"/>
          <w:szCs w:val="36"/>
          <w:highlight w:val="none"/>
          <w:u w:val="single"/>
          <w:lang w:val="en-US" w:eastAsia="zh-CN"/>
        </w:rPr>
        <w:t xml:space="preserve">                                    </w:t>
      </w:r>
      <w:r>
        <w:rPr>
          <w:rFonts w:hint="eastAsia"/>
          <w:color w:val="auto"/>
          <w:sz w:val="28"/>
          <w:szCs w:val="36"/>
          <w:highlight w:val="none"/>
          <w:u w:val="single"/>
          <w:lang w:val="en-US" w:eastAsia="zh-CN"/>
        </w:rPr>
        <w:t xml:space="preserve">     </w:t>
      </w:r>
    </w:p>
    <w:p>
      <w:pPr>
        <w:rPr>
          <w:rFonts w:hint="eastAsia"/>
          <w:b w:val="0"/>
          <w:bCs w:val="0"/>
          <w:color w:val="auto"/>
          <w:sz w:val="28"/>
          <w:szCs w:val="36"/>
          <w:highlight w:val="none"/>
          <w:u w:val="single"/>
          <w:lang w:val="en-US" w:eastAsia="zh-CN"/>
        </w:rPr>
      </w:pPr>
      <w:r>
        <w:rPr>
          <w:rFonts w:hint="eastAsia"/>
          <w:b w:val="0"/>
          <w:bCs w:val="0"/>
          <w:color w:val="auto"/>
          <w:sz w:val="28"/>
          <w:szCs w:val="36"/>
          <w:highlight w:val="none"/>
          <w:u w:val="none"/>
          <w:lang w:val="en-US" w:eastAsia="zh-CN"/>
        </w:rPr>
        <w:t>考核人签字：</w:t>
      </w:r>
      <w:r>
        <w:rPr>
          <w:rFonts w:hint="eastAsia"/>
          <w:b w:val="0"/>
          <w:bCs w:val="0"/>
          <w:color w:val="auto"/>
          <w:sz w:val="28"/>
          <w:szCs w:val="36"/>
          <w:highlight w:val="none"/>
          <w:u w:val="single"/>
          <w:lang w:val="en-US" w:eastAsia="zh-CN"/>
        </w:rPr>
        <w:t xml:space="preserve">                                            </w:t>
      </w:r>
    </w:p>
    <w:p>
      <w:pPr>
        <w:pStyle w:val="2"/>
        <w:rPr>
          <w:rFonts w:hint="default"/>
          <w:color w:val="auto"/>
          <w:highlight w:val="none"/>
          <w:lang w:val="en-US" w:eastAsia="zh-CN"/>
        </w:rPr>
      </w:pPr>
      <w:r>
        <w:rPr>
          <w:rFonts w:hint="eastAsia" w:ascii="宋体" w:hAnsi="宋体" w:cs="宋体"/>
          <w:color w:val="auto"/>
          <w:szCs w:val="21"/>
          <w:highlight w:val="none"/>
          <w:lang w:val="en-US" w:eastAsia="zh-CN"/>
        </w:rPr>
        <w:t>注：按季度</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服务及</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质量、市场行为进行量化考核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扣分制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满分100分，</w:t>
      </w:r>
      <w:r>
        <w:rPr>
          <w:rFonts w:hint="eastAsia" w:ascii="宋体" w:hAnsi="宋体" w:cs="宋体"/>
          <w:color w:val="auto"/>
          <w:szCs w:val="21"/>
          <w:highlight w:val="none"/>
        </w:rPr>
        <w:t>考核80分以下为不合格</w:t>
      </w:r>
      <w:r>
        <w:rPr>
          <w:rFonts w:hint="eastAsia" w:ascii="宋体" w:hAnsi="宋体" w:cs="宋体"/>
          <w:color w:val="auto"/>
          <w:szCs w:val="21"/>
          <w:highlight w:val="none"/>
          <w:lang w:eastAsia="zh-CN"/>
        </w:rPr>
        <w:t>。</w:t>
      </w:r>
    </w:p>
    <w:p>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pPr>
        <w:rPr>
          <w:rFonts w:hint="eastAsia" w:eastAsia="黑体"/>
          <w:color w:val="auto"/>
          <w:sz w:val="20"/>
          <w:highlight w:val="none"/>
        </w:rPr>
      </w:pP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pPr>
        <w:jc w:val="center"/>
        <w:rPr>
          <w:rFonts w:hint="eastAsia" w:ascii="宋体" w:hAnsi="宋体" w:eastAsia="宋体" w:cs="宋体"/>
          <w:color w:val="auto"/>
          <w:sz w:val="20"/>
          <w:szCs w:val="20"/>
          <w:highlight w:val="none"/>
        </w:rPr>
      </w:pPr>
    </w:p>
    <w:p>
      <w:pPr>
        <w:jc w:val="cente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pPr>
        <w:ind w:firstLine="2880" w:firstLineChars="900"/>
        <w:jc w:val="both"/>
        <w:rPr>
          <w:rFonts w:hint="eastAsia" w:ascii="宋体" w:hAnsi="宋体" w:eastAsia="宋体" w:cs="宋体"/>
          <w:color w:val="auto"/>
          <w:sz w:val="32"/>
          <w:highlight w:val="none"/>
          <w:u w:val="none"/>
          <w:lang w:val="en-US" w:eastAsia="zh-CN"/>
        </w:rPr>
      </w:pPr>
    </w:p>
    <w:p>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pStyle w:val="2"/>
        <w:widowControl/>
        <w:spacing w:before="0" w:beforeAutospacing="0" w:after="120" w:afterAutospacing="0"/>
        <w:ind w:leftChars="200" w:right="0" w:firstLine="560"/>
        <w:rPr>
          <w:color w:val="auto"/>
          <w:highlight w:val="none"/>
          <w:lang w:val="en-US"/>
        </w:rPr>
      </w:pPr>
      <w:r>
        <w:rPr>
          <w:color w:val="auto"/>
          <w:sz w:val="28"/>
          <w:szCs w:val="28"/>
          <w:highlight w:val="none"/>
          <w:lang w:val="en-US"/>
        </w:rPr>
        <w:t xml:space="preserve"> </w:t>
      </w:r>
      <w:r>
        <w:rPr>
          <w:color w:val="auto"/>
          <w:highlight w:val="none"/>
          <w:lang w:val="en-US"/>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105" w:name="_Toc14710_WPSOffice_Level1"/>
      <w:bookmarkEnd w:id="105"/>
      <w:r>
        <w:rPr>
          <w:rFonts w:hint="eastAsia" w:ascii="宋体" w:hAnsi="宋体" w:eastAsia="宋体" w:cs="宋体"/>
          <w:b/>
          <w:bCs w:val="0"/>
          <w:color w:val="auto"/>
          <w:kern w:val="0"/>
          <w:sz w:val="44"/>
          <w:szCs w:val="44"/>
          <w:highlight w:val="none"/>
          <w:u w:color="000000"/>
          <w:lang w:val="en-US" w:eastAsia="zh-CN" w:bidi="ar"/>
        </w:rPr>
        <w:t>目   录</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rPr>
      </w:pPr>
      <w:r>
        <w:rPr>
          <w:rFonts w:hint="eastAsia" w:ascii="宋体"/>
          <w:color w:val="auto"/>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（1）法定代表人身份证明及其有效身份证（或法定代表人授权委托书及其有效身份证）；（格式见附件）</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 xml:space="preserve">（2）投标人有效的营业执照、税务登记证、组织机构代码证（或三合一证书）； </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（3）诚信投标承诺书；（格式见附件）</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（4）服务承诺：是否响应招标文件要求的书面说明和服务承诺书；（格式见附件）</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）开标一览表（格式见附件）；</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）投标函（格式见附件）；</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7）分项报价清单（</w:t>
      </w:r>
      <w:r>
        <w:rPr>
          <w:rFonts w:hint="eastAsia" w:ascii="宋体"/>
          <w:color w:val="auto"/>
          <w:szCs w:val="21"/>
          <w:highlight w:val="none"/>
        </w:rPr>
        <w:t>格式见附件</w:t>
      </w:r>
      <w:r>
        <w:rPr>
          <w:rFonts w:hint="eastAsia" w:ascii="宋体"/>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8</w:t>
      </w:r>
      <w:r>
        <w:rPr>
          <w:rFonts w:hint="eastAsia" w:ascii="宋体"/>
          <w:color w:val="auto"/>
          <w:szCs w:val="21"/>
          <w:highlight w:val="none"/>
          <w:lang w:eastAsia="zh-CN"/>
        </w:rPr>
        <w:t>）</w:t>
      </w:r>
      <w:r>
        <w:rPr>
          <w:rFonts w:hint="eastAsia" w:ascii="宋体"/>
          <w:color w:val="auto"/>
          <w:szCs w:val="21"/>
          <w:highlight w:val="none"/>
        </w:rPr>
        <w:t>投标人认为需要提供的其他资信证明材料</w:t>
      </w:r>
      <w:r>
        <w:rPr>
          <w:rFonts w:hint="eastAsia" w:ascii="宋体"/>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rPr>
      </w:pPr>
      <w:r>
        <w:rPr>
          <w:rFonts w:hint="eastAsia" w:ascii="宋体"/>
          <w:color w:val="auto"/>
          <w:szCs w:val="21"/>
          <w:highlight w:val="none"/>
          <w:lang w:val="en-US" w:eastAsia="zh-CN"/>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pPr>
        <w:pStyle w:val="47"/>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hAnsi="Times New Roman" w:eastAsia="宋体" w:cs="Times New Roman"/>
          <w:color w:val="auto"/>
          <w:sz w:val="24"/>
          <w:highlight w:val="none"/>
        </w:rPr>
        <w:t>姓</w:t>
      </w:r>
      <w:r>
        <w:rPr>
          <w:rFonts w:hint="eastAsia" w:ascii="宋体" w:hAnsi="Times New Roman" w:eastAsia="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名：</w:t>
      </w:r>
      <w:r>
        <w:rPr>
          <w:rFonts w:hint="eastAsia" w:ascii="宋体"/>
          <w:color w:val="auto"/>
          <w:sz w:val="24"/>
          <w:highlight w:val="none"/>
          <w:u w:val="single"/>
        </w:rPr>
        <w:t xml:space="preserve">          </w:t>
      </w:r>
      <w:r>
        <w:rPr>
          <w:rFonts w:hint="eastAsia" w:ascii="宋体" w:hAnsi="Times New Roman" w:eastAsia="宋体" w:cs="Times New Roman"/>
          <w:color w:val="auto"/>
          <w:sz w:val="24"/>
          <w:highlight w:val="none"/>
        </w:rPr>
        <w:t>身份证号码：</w:t>
      </w:r>
      <w:r>
        <w:rPr>
          <w:rFonts w:hint="eastAsia" w:ascii="宋体" w:hAnsi="Times New Roman" w:eastAsia="宋体" w:cs="Times New Roman"/>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lang w:eastAsia="zh-CN"/>
        </w:rPr>
        <w:t>，</w:t>
      </w: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特此证明。</w:t>
      </w:r>
    </w:p>
    <w:p>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盖</w:t>
      </w:r>
      <w:r>
        <w:rPr>
          <w:rFonts w:hint="eastAsia" w:ascii="宋体"/>
          <w:color w:val="auto"/>
          <w:sz w:val="24"/>
          <w:highlight w:val="none"/>
        </w:rPr>
        <w:t>章）</w:t>
      </w:r>
    </w:p>
    <w:p>
      <w:pPr>
        <w:keepNext w:val="0"/>
        <w:keepLines w:val="0"/>
        <w:pageBreakBefore w:val="0"/>
        <w:kinsoku/>
        <w:wordWrap w:val="0"/>
        <w:overflowPunct/>
        <w:topLinePunct w:val="0"/>
        <w:autoSpaceDE/>
        <w:autoSpaceDN/>
        <w:bidi w:val="0"/>
        <w:adjustRightInd/>
        <w:snapToGrid/>
        <w:spacing w:line="400" w:lineRule="exact"/>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r>
        <w:rPr>
          <w:rFonts w:hint="eastAsia" w:ascii="宋体"/>
          <w:color w:val="auto"/>
          <w:sz w:val="24"/>
          <w:highlight w:val="none"/>
        </w:rPr>
        <w:t xml:space="preserve">                                </w:t>
      </w:r>
    </w:p>
    <w:p>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szCs w:val="24"/>
          <w:highlight w:val="none"/>
          <w:u w:color="000000"/>
          <w:lang w:val="en-US" w:eastAsia="zh-CN" w:bidi="ar"/>
        </w:rPr>
        <w:t>代理人无转委托权，特此委托。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投标人（盖单位章）：</w:t>
      </w:r>
    </w:p>
    <w:p>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法定代表人（身份证号码）：           （签字或盖章）</w:t>
      </w:r>
    </w:p>
    <w:p>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委托代理人（身份证号码）：           （签字或盖章）</w:t>
      </w:r>
    </w:p>
    <w:p>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年    月    日</w:t>
      </w:r>
    </w:p>
    <w:p>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pPr>
        <w:spacing w:line="360" w:lineRule="exact"/>
        <w:ind w:firstLine="413" w:firstLineChars="147"/>
        <w:jc w:val="center"/>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bookmarkStart w:id="106" w:name="_Toc451384148"/>
      <w:bookmarkStart w:id="107" w:name="_Toc425084385"/>
      <w:r>
        <w:rPr>
          <w:rFonts w:hint="eastAsia" w:ascii="宋体" w:hAnsi="宋体"/>
          <w:color w:val="auto"/>
          <w:szCs w:val="21"/>
          <w:highlight w:val="none"/>
        </w:rPr>
        <w:t>一、将遵循公</w:t>
      </w:r>
      <w:bookmarkStart w:id="108" w:name="_Toc506107356"/>
      <w:bookmarkStart w:id="109" w:name="_Toc503196197"/>
      <w:bookmarkStart w:id="110" w:name="_Toc26598"/>
      <w:r>
        <w:rPr>
          <w:rFonts w:hint="eastAsia" w:ascii="宋体" w:hAnsi="宋体"/>
          <w:color w:val="auto"/>
          <w:szCs w:val="21"/>
          <w:highlight w:val="none"/>
        </w:rPr>
        <w:t>开、公正和诚实信用</w:t>
      </w:r>
      <w:bookmarkEnd w:id="108"/>
      <w:bookmarkEnd w:id="109"/>
      <w:r>
        <w:rPr>
          <w:rFonts w:hint="eastAsia" w:ascii="宋体" w:hAnsi="宋体"/>
          <w:color w:val="auto"/>
          <w:szCs w:val="21"/>
          <w:highlight w:val="none"/>
        </w:rPr>
        <w:t>的</w:t>
      </w:r>
      <w:bookmarkEnd w:id="110"/>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没有下列情形：1、被人民法院列入失信被执行人的；2、我公司及其法定代表人、拟任项目</w:t>
      </w:r>
      <w:r>
        <w:rPr>
          <w:rFonts w:hint="eastAsia" w:ascii="宋体" w:hAnsi="宋体"/>
          <w:color w:val="auto"/>
          <w:szCs w:val="21"/>
          <w:highlight w:val="none"/>
          <w:lang w:val="en-US" w:eastAsia="zh-CN"/>
        </w:rPr>
        <w:t>负责人</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、保证中标后不转包及使用挂靠施工队伍，若有分包征得建设单位同意；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、保证中标之后，按照投标文件承诺派驻管理人员及投入机械设备，如有违反，同意接受建设单位违约处罚；</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auto"/>
          <w:szCs w:val="21"/>
          <w:highlight w:val="none"/>
          <w:lang w:eastAsia="zh-CN"/>
        </w:rPr>
      </w:pPr>
      <w:r>
        <w:rPr>
          <w:rFonts w:hint="eastAsia" w:ascii="宋体" w:hAnsi="宋体"/>
          <w:color w:val="auto"/>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基本账户：</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投标单位（签章或盖章）：          法定代表人（签字或签章）：</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br w:type="page"/>
      </w:r>
    </w:p>
    <w:bookmarkEnd w:id="106"/>
    <w:bookmarkEnd w:id="107"/>
    <w:p>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pPr>
        <w:keepNext/>
        <w:keepLines/>
        <w:spacing w:line="480" w:lineRule="auto"/>
        <w:jc w:val="center"/>
        <w:outlineLvl w:val="2"/>
        <w:rPr>
          <w:b/>
          <w:bCs/>
          <w:color w:val="auto"/>
          <w:sz w:val="28"/>
          <w:szCs w:val="28"/>
          <w:highlight w:val="none"/>
        </w:rPr>
      </w:pPr>
      <w:r>
        <w:rPr>
          <w:rFonts w:hint="eastAsia"/>
          <w:b/>
          <w:bCs/>
          <w:color w:val="auto"/>
          <w:sz w:val="28"/>
          <w:szCs w:val="28"/>
          <w:highlight w:val="none"/>
        </w:rPr>
        <w:t>服务承诺书</w:t>
      </w:r>
    </w:p>
    <w:p>
      <w:pPr>
        <w:spacing w:line="480" w:lineRule="auto"/>
        <w:ind w:firstLine="480" w:firstLineChars="200"/>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w:t>
      </w:r>
      <w:r>
        <w:rPr>
          <w:rFonts w:hint="eastAsia" w:ascii="宋体" w:hAnsi="宋体" w:eastAsia="宋体" w:cs="Times New Roman"/>
          <w:color w:val="auto"/>
          <w:sz w:val="24"/>
          <w:highlight w:val="none"/>
        </w:rPr>
        <w:t>（投标人名称</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对本招标文件所有要求完全响应</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若有幸</w:t>
      </w:r>
      <w:r>
        <w:rPr>
          <w:rFonts w:hint="eastAsia" w:ascii="宋体" w:hAnsi="宋体" w:eastAsia="宋体" w:cs="Times New Roman"/>
          <w:color w:val="auto"/>
          <w:sz w:val="24"/>
          <w:highlight w:val="none"/>
          <w:lang w:val="en-US" w:eastAsia="zh-CN"/>
        </w:rPr>
        <w:t>成为中标人</w:t>
      </w:r>
      <w:r>
        <w:rPr>
          <w:rFonts w:hint="eastAsia" w:ascii="宋体" w:hAnsi="宋体" w:eastAsia="宋体" w:cs="Times New Roman"/>
          <w:color w:val="auto"/>
          <w:sz w:val="24"/>
          <w:highlight w:val="none"/>
        </w:rPr>
        <w:t>将严格按照以上承诺进行服务</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若发现有偏离且不能按招标人要求调整的，招标人有权终止合同重新招标，我方</w:t>
      </w:r>
      <w:r>
        <w:rPr>
          <w:rFonts w:hint="eastAsia" w:ascii="宋体" w:hAnsi="宋体"/>
          <w:color w:val="auto"/>
          <w:sz w:val="24"/>
          <w:highlight w:val="none"/>
          <w:lang w:val="en-US" w:eastAsia="zh-CN"/>
        </w:rPr>
        <w:t>承担因此产生的所有经济及工期责任。</w:t>
      </w:r>
    </w:p>
    <w:p>
      <w:pPr>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特此声明。</w:t>
      </w:r>
    </w:p>
    <w:p>
      <w:pPr>
        <w:pStyle w:val="2"/>
        <w:rPr>
          <w:rFonts w:hint="eastAsia"/>
          <w:color w:val="auto"/>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 </w:t>
      </w:r>
    </w:p>
    <w:p>
      <w:pPr>
        <w:spacing w:line="440" w:lineRule="exact"/>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（签章）       </w:t>
      </w:r>
    </w:p>
    <w:p>
      <w:pPr>
        <w:spacing w:line="440" w:lineRule="exact"/>
        <w:rPr>
          <w:rFonts w:ascii="宋体" w:hAnsi="宋体"/>
          <w:color w:val="auto"/>
          <w:sz w:val="24"/>
          <w:highlight w:val="none"/>
          <w:u w:val="single"/>
        </w:rPr>
      </w:pPr>
      <w:r>
        <w:rPr>
          <w:rFonts w:hint="eastAsia" w:ascii="宋体" w:hAnsi="宋体"/>
          <w:color w:val="auto"/>
          <w:sz w:val="24"/>
          <w:highlight w:val="none"/>
        </w:rPr>
        <w:t xml:space="preserve">                                     </w:t>
      </w:r>
    </w:p>
    <w:p>
      <w:pPr>
        <w:spacing w:line="440" w:lineRule="exact"/>
        <w:rPr>
          <w:rFonts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（签章）    </w:t>
      </w:r>
    </w:p>
    <w:p>
      <w:pPr>
        <w:spacing w:line="440" w:lineRule="exact"/>
        <w:ind w:firstLine="4320" w:firstLineChars="1800"/>
        <w:jc w:val="left"/>
        <w:rPr>
          <w:rFonts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pPr>
        <w:rPr>
          <w:rFonts w:hint="eastAsia" w:ascii="宋体" w:hAnsi="宋体"/>
          <w:color w:val="auto"/>
          <w:sz w:val="24"/>
          <w:highlight w:val="none"/>
          <w:u w:val="single"/>
        </w:rPr>
      </w:pPr>
      <w:r>
        <w:rPr>
          <w:rFonts w:hint="eastAsia" w:ascii="宋体" w:hAnsi="宋体"/>
          <w:color w:val="auto"/>
          <w:sz w:val="24"/>
          <w:highlight w:val="none"/>
          <w:u w:val="single"/>
        </w:rPr>
        <w:br w:type="page"/>
      </w:r>
    </w:p>
    <w:p>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4</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b/>
          <w:color w:val="auto"/>
          <w:sz w:val="36"/>
          <w:szCs w:val="36"/>
          <w:highlight w:val="none"/>
        </w:rPr>
      </w:pPr>
      <w:r>
        <w:rPr>
          <w:rFonts w:hint="eastAsia" w:ascii="宋体"/>
          <w:b/>
          <w:color w:val="auto"/>
          <w:sz w:val="36"/>
          <w:szCs w:val="36"/>
          <w:highlight w:val="none"/>
        </w:rPr>
        <w:t>开标一览表</w:t>
      </w:r>
    </w:p>
    <w:p>
      <w:pPr>
        <w:snapToGrid w:val="0"/>
        <w:spacing w:line="460" w:lineRule="exact"/>
        <w:ind w:left="2940" w:leftChars="1400" w:firstLine="720" w:firstLineChars="300"/>
        <w:rPr>
          <w:rFonts w:hint="eastAsia" w:ascii="宋体"/>
          <w:color w:val="auto"/>
          <w:sz w:val="24"/>
          <w:highlight w:val="none"/>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1803" w:type="dxa"/>
            <w:tcBorders>
              <w:top w:val="single" w:color="auto" w:sz="12" w:space="0"/>
              <w:bottom w:val="single" w:color="auto" w:sz="12" w:space="0"/>
              <w:right w:val="single" w:color="auto" w:sz="12"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pPr>
              <w:keepNext w:val="0"/>
              <w:keepLines w:val="0"/>
              <w:suppressLineNumbers w:val="0"/>
              <w:spacing w:before="0" w:beforeAutospacing="0" w:after="0" w:afterAutospacing="0" w:line="360" w:lineRule="auto"/>
              <w:ind w:left="0" w:right="0"/>
              <w:jc w:val="left"/>
              <w:rPr>
                <w:rFonts w:hint="eastAsia"/>
                <w:color w:val="auto"/>
                <w:sz w:val="24"/>
                <w:highlight w:val="none"/>
              </w:rPr>
            </w:pPr>
            <w:r>
              <w:rPr>
                <w:rFonts w:hint="eastAsia"/>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803" w:type="dxa"/>
            <w:tcBorders>
              <w:top w:val="single" w:color="auto" w:sz="12" w:space="0"/>
              <w:right w:val="single" w:color="auto" w:sz="12"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pPr>
              <w:keepNext w:val="0"/>
              <w:keepLines w:val="0"/>
              <w:suppressLineNumbers w:val="0"/>
              <w:spacing w:before="0" w:beforeAutospacing="0" w:after="0" w:afterAutospacing="0"/>
              <w:ind w:left="0" w:right="0"/>
              <w:rPr>
                <w:rFonts w:hint="eastAsia" w:asci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803" w:type="dxa"/>
            <w:tcBorders>
              <w:right w:val="single" w:color="auto" w:sz="12" w:space="0"/>
            </w:tcBorders>
            <w:noWrap w:val="0"/>
            <w:vAlign w:val="center"/>
          </w:tcPr>
          <w:p>
            <w:pPr>
              <w:keepNext w:val="0"/>
              <w:keepLines w:val="0"/>
              <w:suppressLineNumbers w:val="0"/>
              <w:spacing w:before="0" w:beforeAutospacing="0" w:after="0" w:afterAutospacing="0" w:line="460" w:lineRule="exact"/>
              <w:ind w:left="0" w:right="0"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pPr>
              <w:pStyle w:val="15"/>
              <w:spacing w:line="460" w:lineRule="exact"/>
              <w:ind w:left="86" w:leftChars="41"/>
              <w:rPr>
                <w:rFonts w:hint="eastAsia" w:asci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81" w:hRule="exact"/>
          <w:jc w:val="center"/>
        </w:trPr>
        <w:tc>
          <w:tcPr>
            <w:tcW w:w="1803" w:type="dxa"/>
            <w:tcBorders>
              <w:right w:val="single" w:color="auto" w:sz="12" w:space="0"/>
            </w:tcBorders>
            <w:noWrap w:val="0"/>
            <w:vAlign w:val="center"/>
          </w:tcPr>
          <w:p>
            <w:pPr>
              <w:keepNext w:val="0"/>
              <w:keepLines w:val="0"/>
              <w:suppressLineNumbers w:val="0"/>
              <w:spacing w:before="0" w:beforeAutospacing="0" w:after="0" w:afterAutospacing="0" w:line="360" w:lineRule="auto"/>
              <w:ind w:left="0" w:right="0"/>
              <w:jc w:val="both"/>
              <w:rPr>
                <w:rFonts w:hint="default" w:ascii="宋体"/>
                <w:color w:val="auto"/>
                <w:sz w:val="24"/>
                <w:highlight w:val="none"/>
              </w:rPr>
            </w:pPr>
            <w:r>
              <w:rPr>
                <w:rFonts w:hint="eastAsia" w:ascii="宋体"/>
                <w:color w:val="auto"/>
                <w:sz w:val="24"/>
                <w:highlight w:val="none"/>
              </w:rPr>
              <w:t>投标</w:t>
            </w:r>
            <w:r>
              <w:rPr>
                <w:rFonts w:hint="eastAsia" w:ascii="宋体"/>
                <w:color w:val="auto"/>
                <w:sz w:val="24"/>
                <w:highlight w:val="none"/>
                <w:lang w:val="en-US" w:eastAsia="zh-CN"/>
              </w:rPr>
              <w:t>报</w:t>
            </w:r>
            <w:r>
              <w:rPr>
                <w:rFonts w:hint="eastAsia" w:ascii="宋体"/>
                <w:color w:val="auto"/>
                <w:sz w:val="24"/>
                <w:highlight w:val="none"/>
              </w:rPr>
              <w:t>价</w:t>
            </w:r>
            <w:r>
              <w:rPr>
                <w:rFonts w:hint="eastAsia" w:ascii="宋体"/>
                <w:color w:val="auto"/>
                <w:sz w:val="24"/>
                <w:highlight w:val="none"/>
                <w:lang w:eastAsia="zh-CN"/>
              </w:rPr>
              <w:t>（</w:t>
            </w:r>
            <w:r>
              <w:rPr>
                <w:rFonts w:hint="eastAsia" w:ascii="宋体"/>
                <w:color w:val="auto"/>
                <w:sz w:val="24"/>
                <w:highlight w:val="none"/>
                <w:lang w:val="en-US" w:eastAsia="zh-CN"/>
              </w:rPr>
              <w:t>元）</w:t>
            </w:r>
            <w:r>
              <w:rPr>
                <w:rFonts w:hint="eastAsia" w:ascii="宋体"/>
                <w:color w:val="auto"/>
                <w:sz w:val="24"/>
                <w:highlight w:val="none"/>
              </w:rPr>
              <w:t>\</w:t>
            </w:r>
            <w:r>
              <w:rPr>
                <w:rFonts w:hint="eastAsia" w:ascii="宋体"/>
                <w:color w:val="auto"/>
                <w:sz w:val="24"/>
                <w:highlight w:val="none"/>
                <w:lang w:val="en-US" w:eastAsia="zh-CN"/>
              </w:rPr>
              <w:t>供货期</w:t>
            </w:r>
          </w:p>
        </w:tc>
        <w:tc>
          <w:tcPr>
            <w:tcW w:w="6952" w:type="dxa"/>
            <w:tcBorders>
              <w:lef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投标报价（含税）</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大</w:t>
            </w:r>
            <w:r>
              <w:rPr>
                <w:rFonts w:hint="eastAsia" w:ascii="宋体" w:hAnsi="Times New Roman" w:eastAsia="宋体" w:cs="Times New Roman"/>
                <w:color w:val="auto"/>
                <w:sz w:val="24"/>
                <w:highlight w:val="none"/>
              </w:rPr>
              <w:t>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60" w:firstLineChars="900"/>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rPr>
              <w:t>(小写)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元；</w:t>
            </w:r>
          </w:p>
          <w:p>
            <w:pPr>
              <w:pStyle w:val="7"/>
              <w:numPr>
                <w:ilvl w:val="0"/>
                <w:numId w:val="0"/>
              </w:numPr>
              <w:rPr>
                <w:rFonts w:hint="default"/>
                <w:color w:val="auto"/>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sz w:val="24"/>
                <w:highlight w:val="none"/>
              </w:rPr>
            </w:pPr>
            <w:r>
              <w:rPr>
                <w:rFonts w:hint="eastAsia" w:ascii="宋体"/>
                <w:color w:val="auto"/>
                <w:sz w:val="24"/>
                <w:highlight w:val="none"/>
                <w:lang w:val="en-US" w:eastAsia="zh-CN"/>
              </w:rPr>
              <w:t>服务期</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lang w:val="en-US" w:eastAsia="zh-CN"/>
              </w:rPr>
              <w:t>。</w:t>
            </w:r>
          </w:p>
        </w:tc>
      </w:tr>
    </w:tbl>
    <w:p>
      <w:pPr>
        <w:snapToGrid w:val="0"/>
        <w:spacing w:line="460" w:lineRule="exact"/>
        <w:ind w:left="2940" w:leftChars="1400" w:firstLine="723" w:firstLineChars="300"/>
        <w:rPr>
          <w:rFonts w:hint="eastAsia" w:ascii="宋体"/>
          <w:b/>
          <w:color w:val="auto"/>
          <w:sz w:val="24"/>
          <w:highlight w:val="none"/>
        </w:rPr>
      </w:pPr>
    </w:p>
    <w:p>
      <w:pPr>
        <w:rPr>
          <w:rFonts w:hint="eastAsia" w:ascii="宋体"/>
          <w:color w:val="auto"/>
          <w:sz w:val="24"/>
          <w:highlight w:val="none"/>
        </w:rPr>
      </w:pPr>
      <w:r>
        <w:rPr>
          <w:rFonts w:hint="eastAsia" w:ascii="宋体"/>
          <w:color w:val="auto"/>
          <w:sz w:val="24"/>
          <w:highlight w:val="none"/>
        </w:rPr>
        <w:t>法定代表人（签章）：         投标人（签章）：</w:t>
      </w:r>
    </w:p>
    <w:p>
      <w:pPr>
        <w:snapToGrid w:val="0"/>
        <w:spacing w:before="312" w:beforeLines="100" w:after="312" w:afterLines="100" w:line="360" w:lineRule="auto"/>
        <w:jc w:val="center"/>
        <w:rPr>
          <w:rFonts w:hint="eastAsia" w:ascii="宋体"/>
          <w:color w:val="auto"/>
          <w:sz w:val="24"/>
          <w:highlight w:val="none"/>
        </w:rPr>
      </w:pPr>
      <w:r>
        <w:rPr>
          <w:rFonts w:hint="eastAsia" w:ascii="宋体"/>
          <w:color w:val="auto"/>
          <w:sz w:val="24"/>
          <w:highlight w:val="none"/>
        </w:rPr>
        <w:t xml:space="preserve">                                    </w:t>
      </w:r>
    </w:p>
    <w:p>
      <w:pPr>
        <w:snapToGrid w:val="0"/>
        <w:spacing w:before="312" w:beforeLines="100" w:after="312" w:afterLines="100" w:line="360" w:lineRule="auto"/>
        <w:jc w:val="center"/>
        <w:rPr>
          <w:rFonts w:cs="Arial"/>
          <w:b/>
          <w:bCs/>
          <w:color w:val="auto"/>
          <w:sz w:val="30"/>
          <w:szCs w:val="30"/>
          <w:highlight w:val="none"/>
        </w:rPr>
        <w:sectPr>
          <w:footerReference r:id="rId5" w:type="default"/>
          <w:pgSz w:w="11905" w:h="16838"/>
          <w:pgMar w:top="1440" w:right="1083" w:bottom="1440" w:left="1083" w:header="851" w:footer="992" w:gutter="0"/>
          <w:pgBorders>
            <w:top w:val="none" w:sz="0" w:space="0"/>
            <w:left w:val="none" w:sz="0" w:space="0"/>
            <w:bottom w:val="none" w:sz="0" w:space="0"/>
            <w:right w:val="none" w:sz="0" w:space="0"/>
          </w:pgBorders>
          <w:pgNumType w:fmt="decimal"/>
          <w:cols w:space="720" w:num="1"/>
          <w:rtlGutter w:val="0"/>
          <w:docGrid w:type="lines" w:linePitch="335"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日</w:t>
      </w:r>
    </w:p>
    <w:p>
      <w:pPr>
        <w:spacing w:line="360" w:lineRule="exact"/>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5</w:t>
      </w:r>
    </w:p>
    <w:p>
      <w:pPr>
        <w:spacing w:line="360" w:lineRule="exact"/>
        <w:ind w:firstLine="531" w:firstLineChars="147"/>
        <w:jc w:val="both"/>
        <w:rPr>
          <w:rFonts w:hint="eastAsia" w:ascii="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b/>
          <w:color w:val="auto"/>
          <w:sz w:val="36"/>
          <w:szCs w:val="36"/>
          <w:highlight w:val="none"/>
        </w:rPr>
      </w:pPr>
      <w:r>
        <w:rPr>
          <w:rFonts w:hint="eastAsia" w:ascii="宋体"/>
          <w:b/>
          <w:color w:val="auto"/>
          <w:sz w:val="36"/>
          <w:szCs w:val="36"/>
          <w:highlight w:val="none"/>
        </w:rPr>
        <w:t>投  标  函</w:t>
      </w:r>
    </w:p>
    <w:p>
      <w:pPr>
        <w:spacing w:line="440" w:lineRule="exact"/>
        <w:rPr>
          <w:rFonts w:hint="eastAsia" w:ascii="宋体"/>
          <w:color w:val="auto"/>
          <w:sz w:val="24"/>
          <w:highlight w:val="none"/>
        </w:rPr>
      </w:pPr>
    </w:p>
    <w:p>
      <w:pPr>
        <w:spacing w:line="500" w:lineRule="exact"/>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(招标人)       </w:t>
      </w:r>
      <w:r>
        <w:rPr>
          <w:rFonts w:hint="eastAsia" w:ascii="宋体"/>
          <w:color w:val="auto"/>
          <w:szCs w:val="21"/>
          <w:highlight w:val="none"/>
        </w:rPr>
        <w:t xml:space="preserve"> </w:t>
      </w:r>
    </w:p>
    <w:p>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根据你方招</w:t>
      </w:r>
      <w:bookmarkStart w:id="111" w:name="_Toc60061591"/>
      <w:r>
        <w:rPr>
          <w:rFonts w:hint="eastAsia" w:ascii="宋体" w:hAnsi="宋体"/>
          <w:color w:val="auto"/>
          <w:szCs w:val="21"/>
          <w:highlight w:val="none"/>
        </w:rPr>
        <w:t>标项目编号为</w:t>
      </w:r>
      <w:r>
        <w:rPr>
          <w:rFonts w:ascii="宋体" w:hAnsi="宋体"/>
          <w:color w:val="auto"/>
          <w:szCs w:val="21"/>
          <w:highlight w:val="none"/>
          <w:u w:val="single"/>
        </w:rPr>
        <w:t xml:space="preserve">  </w:t>
      </w:r>
      <w:bookmarkEnd w:id="111"/>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的</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招标文件，遵照《中华人民共和国招标投标法》等有关规定，经踏勘项目现场和研究上述招标文件的投标须知、合同条件、采购清单和其他有关文件后，</w:t>
      </w:r>
      <w:r>
        <w:rPr>
          <w:rFonts w:hint="eastAsia" w:ascii="宋体" w:hAnsi="宋体" w:cs="宋体"/>
          <w:color w:val="auto"/>
          <w:szCs w:val="21"/>
          <w:highlight w:val="none"/>
        </w:rPr>
        <w:t>我</w:t>
      </w:r>
      <w:r>
        <w:rPr>
          <w:rFonts w:hint="eastAsia" w:ascii="宋体" w:hAnsi="宋体" w:cs="宋体"/>
          <w:color w:val="auto"/>
          <w:sz w:val="21"/>
          <w:szCs w:val="21"/>
          <w:highlight w:val="none"/>
        </w:rPr>
        <w:t>方愿</w:t>
      </w:r>
      <w:r>
        <w:rPr>
          <w:rFonts w:ascii="宋体" w:hAnsi="宋体"/>
          <w:color w:val="auto"/>
          <w:sz w:val="21"/>
          <w:szCs w:val="21"/>
          <w:highlight w:val="none"/>
        </w:rPr>
        <w:t xml:space="preserve"> </w:t>
      </w:r>
      <w:r>
        <w:rPr>
          <w:rFonts w:hint="eastAsia" w:ascii="宋体" w:hAnsi="宋体"/>
          <w:color w:val="auto"/>
          <w:sz w:val="21"/>
          <w:szCs w:val="21"/>
          <w:highlight w:val="none"/>
        </w:rPr>
        <w:t>（币种，金额、单位）</w:t>
      </w:r>
      <w:r>
        <w:rPr>
          <w:rFonts w:hint="eastAsia" w:ascii="宋体" w:hAnsi="宋体"/>
          <w:color w:val="auto"/>
          <w:sz w:val="21"/>
          <w:szCs w:val="21"/>
          <w:highlight w:val="none"/>
          <w:u w:val="single"/>
        </w:rPr>
        <w:t>人民币           元</w:t>
      </w:r>
      <w:r>
        <w:rPr>
          <w:rFonts w:hint="eastAsia" w:ascii="宋体" w:hAnsi="宋体"/>
          <w:color w:val="auto"/>
          <w:sz w:val="21"/>
          <w:szCs w:val="21"/>
          <w:highlight w:val="none"/>
        </w:rPr>
        <w:t>的投标报价</w:t>
      </w:r>
      <w:r>
        <w:rPr>
          <w:rFonts w:hint="eastAsia" w:ascii="宋体" w:hAnsi="宋体" w:eastAsia="宋体" w:cs="宋体"/>
          <w:color w:val="auto"/>
          <w:sz w:val="21"/>
          <w:szCs w:val="21"/>
          <w:highlight w:val="none"/>
        </w:rPr>
        <w:t>承</w:t>
      </w:r>
      <w:r>
        <w:rPr>
          <w:rFonts w:hint="eastAsia"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rPr>
        <w:t>上述</w:t>
      </w:r>
      <w:r>
        <w:rPr>
          <w:rFonts w:hint="eastAsia" w:ascii="宋体" w:hAnsi="宋体" w:eastAsia="宋体" w:cs="宋体"/>
          <w:color w:val="auto"/>
          <w:sz w:val="21"/>
          <w:szCs w:val="21"/>
          <w:highlight w:val="none"/>
          <w:lang w:val="en-US" w:eastAsia="zh-CN"/>
        </w:rPr>
        <w:t>项目</w:t>
      </w:r>
      <w:r>
        <w:rPr>
          <w:rFonts w:hint="eastAsia" w:ascii="宋体" w:hAnsi="宋体"/>
          <w:color w:val="auto"/>
          <w:sz w:val="21"/>
          <w:szCs w:val="21"/>
          <w:highlight w:val="none"/>
        </w:rPr>
        <w:t>，并承担任何质量缺陷保修责任。</w:t>
      </w:r>
    </w:p>
    <w:p>
      <w:pPr>
        <w:tabs>
          <w:tab w:val="left" w:pos="840"/>
        </w:tabs>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2.我方已详细审核全部招标文件及有关附件，承诺招标文件及有关附件中所有条款。</w:t>
      </w:r>
    </w:p>
    <w:p>
      <w:pPr>
        <w:spacing w:line="500" w:lineRule="exact"/>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一旦我方中标，我方保证按照招标人要求开始本</w:t>
      </w:r>
      <w:r>
        <w:rPr>
          <w:rFonts w:hint="eastAsia" w:ascii="宋体" w:hAnsi="宋体" w:eastAsia="宋体" w:cs="Times New Roman"/>
          <w:color w:val="auto"/>
          <w:sz w:val="21"/>
          <w:szCs w:val="21"/>
          <w:highlight w:val="none"/>
          <w:lang w:val="en-US" w:eastAsia="zh-CN"/>
        </w:rPr>
        <w:t>项目的供货</w:t>
      </w:r>
      <w:r>
        <w:rPr>
          <w:rFonts w:hint="eastAsia" w:ascii="宋体" w:hAnsi="宋体" w:eastAsia="宋体" w:cs="Times New Roman"/>
          <w:color w:val="auto"/>
          <w:sz w:val="21"/>
          <w:szCs w:val="21"/>
          <w:highlight w:val="none"/>
        </w:rPr>
        <w:t>。</w:t>
      </w:r>
    </w:p>
    <w:p>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.我方承诺在招标文件规定的投标有效期内不撤销投标文件。</w:t>
      </w:r>
    </w:p>
    <w:p>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pPr>
        <w:spacing w:line="500" w:lineRule="exact"/>
        <w:ind w:firstLine="420" w:firstLineChars="200"/>
        <w:rPr>
          <w:rFonts w:hint="eastAsia" w:ascii="宋体"/>
          <w:color w:val="auto"/>
          <w:szCs w:val="21"/>
          <w:highlight w:val="none"/>
        </w:rPr>
      </w:pPr>
      <w:r>
        <w:rPr>
          <w:rFonts w:hint="eastAsia" w:ascii="宋体"/>
          <w:color w:val="auto"/>
          <w:szCs w:val="21"/>
          <w:highlight w:val="none"/>
        </w:rPr>
        <w:t> </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（其他补充说明）。</w:t>
      </w:r>
    </w:p>
    <w:p>
      <w:pPr>
        <w:adjustRightInd w:val="0"/>
        <w:snapToGrid w:val="0"/>
        <w:spacing w:line="560" w:lineRule="exact"/>
        <w:ind w:firstLine="420" w:firstLineChars="200"/>
        <w:rPr>
          <w:rFonts w:hint="eastAsia" w:ascii="宋体" w:hAnsi="宋体"/>
          <w:color w:val="auto"/>
          <w:szCs w:val="21"/>
          <w:highlight w:val="none"/>
        </w:rPr>
      </w:pPr>
    </w:p>
    <w:p>
      <w:pPr>
        <w:adjustRightInd w:val="0"/>
        <w:snapToGrid w:val="0"/>
        <w:spacing w:line="5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（签章）</w:t>
      </w:r>
    </w:p>
    <w:p>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（签章）</w:t>
      </w:r>
    </w:p>
    <w:p>
      <w:pPr>
        <w:adjustRightInd w:val="0"/>
        <w:snapToGrid w:val="0"/>
        <w:spacing w:line="5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单位地址：</w:t>
      </w:r>
      <w:r>
        <w:rPr>
          <w:rFonts w:hint="eastAsia" w:ascii="宋体" w:hAnsi="宋体"/>
          <w:color w:val="auto"/>
          <w:sz w:val="21"/>
          <w:szCs w:val="21"/>
          <w:highlight w:val="none"/>
          <w:u w:val="single"/>
        </w:rPr>
        <w:t xml:space="preserve">                                       </w:t>
      </w:r>
    </w:p>
    <w:p>
      <w:pPr>
        <w:adjustRightInd w:val="0"/>
        <w:snapToGrid w:val="0"/>
        <w:spacing w:line="56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邮政编码：</w:t>
      </w:r>
      <w:r>
        <w:rPr>
          <w:rFonts w:ascii="宋体" w:hAnsi="宋体"/>
          <w:color w:val="auto"/>
          <w:sz w:val="21"/>
          <w:szCs w:val="21"/>
          <w:highlight w:val="none"/>
          <w:u w:val="single"/>
        </w:rPr>
        <w:t xml:space="preserve">            </w:t>
      </w:r>
      <w:r>
        <w:rPr>
          <w:rFonts w:hint="eastAsia" w:ascii="宋体" w:hAnsi="宋体"/>
          <w:color w:val="auto"/>
          <w:sz w:val="21"/>
          <w:szCs w:val="21"/>
          <w:highlight w:val="none"/>
        </w:rPr>
        <w:t>联系人手机号码：</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传真：</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pPr>
        <w:adjustRightInd w:val="0"/>
        <w:snapToGrid w:val="0"/>
        <w:spacing w:line="560" w:lineRule="exact"/>
        <w:ind w:firstLine="420" w:firstLineChars="200"/>
        <w:rPr>
          <w:color w:val="auto"/>
          <w:sz w:val="21"/>
          <w:szCs w:val="21"/>
          <w:highlight w:val="none"/>
          <w:u w:val="single"/>
        </w:rPr>
      </w:pPr>
      <w:r>
        <w:rPr>
          <w:rFonts w:hint="eastAsia" w:ascii="宋体" w:hAnsi="宋体"/>
          <w:color w:val="auto"/>
          <w:sz w:val="21"/>
          <w:szCs w:val="21"/>
          <w:highlight w:val="none"/>
        </w:rPr>
        <w:t>日期：</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snapToGrid w:val="0"/>
        <w:spacing w:before="161" w:beforeLines="50" w:after="161" w:afterLines="50" w:line="440" w:lineRule="exact"/>
        <w:jc w:val="center"/>
        <w:outlineLvl w:val="2"/>
        <w:rPr>
          <w:rFonts w:hint="eastAsia"/>
          <w:b/>
          <w:color w:val="auto"/>
          <w:sz w:val="28"/>
          <w:szCs w:val="28"/>
          <w:highlight w:val="none"/>
        </w:rPr>
      </w:pPr>
      <w:r>
        <w:rPr>
          <w:rFonts w:hint="eastAsia"/>
          <w:b/>
          <w:color w:val="auto"/>
          <w:sz w:val="28"/>
          <w:szCs w:val="28"/>
          <w:highlight w:val="none"/>
        </w:rPr>
        <w:br w:type="page"/>
      </w:r>
    </w:p>
    <w:p>
      <w:pPr>
        <w:spacing w:line="360" w:lineRule="exact"/>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6</w:t>
      </w:r>
    </w:p>
    <w:p>
      <w:pPr>
        <w:snapToGrid w:val="0"/>
        <w:spacing w:before="161" w:beforeLines="50" w:after="161" w:afterLines="50" w:line="440" w:lineRule="exact"/>
        <w:jc w:val="center"/>
        <w:outlineLvl w:val="2"/>
        <w:rPr>
          <w:rFonts w:hint="eastAsia" w:ascii="宋体" w:cs="宋体"/>
          <w:b/>
          <w:bCs/>
          <w:color w:val="auto"/>
          <w:sz w:val="28"/>
          <w:szCs w:val="28"/>
          <w:highlight w:val="none"/>
        </w:rPr>
      </w:pPr>
      <w:r>
        <w:rPr>
          <w:rFonts w:hint="eastAsia" w:ascii="宋体" w:hAnsi="Times New Roman" w:eastAsia="宋体" w:cs="Times New Roman"/>
          <w:b/>
          <w:color w:val="auto"/>
          <w:sz w:val="36"/>
          <w:szCs w:val="36"/>
          <w:highlight w:val="none"/>
          <w:lang w:val="en-US" w:eastAsia="zh-CN"/>
        </w:rPr>
        <w:t>分项报价清单</w:t>
      </w:r>
    </w:p>
    <w:tbl>
      <w:tblPr>
        <w:tblStyle w:val="22"/>
        <w:tblW w:w="88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784"/>
        <w:gridCol w:w="782"/>
        <w:gridCol w:w="898"/>
        <w:gridCol w:w="1368"/>
        <w:gridCol w:w="10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643"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2038" w:type="dxa"/>
            <w:tcBorders>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lang w:val="en-US" w:eastAsia="zh-CN"/>
              </w:rPr>
              <w:t>零件</w:t>
            </w:r>
            <w:r>
              <w:rPr>
                <w:rFonts w:hint="eastAsia" w:ascii="宋体" w:hAnsi="宋体"/>
                <w:color w:val="auto"/>
                <w:szCs w:val="21"/>
                <w:highlight w:val="none"/>
              </w:rPr>
              <w:t>名称</w:t>
            </w:r>
          </w:p>
        </w:tc>
        <w:tc>
          <w:tcPr>
            <w:tcW w:w="1242"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规格型号</w:t>
            </w:r>
          </w:p>
          <w:p>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品牌</w:t>
            </w:r>
            <w:r>
              <w:rPr>
                <w:rFonts w:hint="eastAsia" w:ascii="宋体" w:hAnsi="宋体"/>
                <w:color w:val="auto"/>
                <w:szCs w:val="21"/>
                <w:highlight w:val="none"/>
                <w:lang w:eastAsia="zh-CN"/>
              </w:rPr>
              <w:t>（</w:t>
            </w:r>
            <w:r>
              <w:rPr>
                <w:rFonts w:hint="eastAsia" w:ascii="宋体"/>
                <w:color w:val="auto"/>
                <w:szCs w:val="21"/>
                <w:highlight w:val="none"/>
              </w:rPr>
              <w:t>生产厂家</w:t>
            </w:r>
            <w:r>
              <w:rPr>
                <w:rFonts w:hint="eastAsia" w:ascii="宋体" w:hAnsi="宋体"/>
                <w:color w:val="auto"/>
                <w:szCs w:val="21"/>
                <w:highlight w:val="none"/>
                <w:lang w:eastAsia="zh-CN"/>
              </w:rPr>
              <w:t>）</w:t>
            </w:r>
          </w:p>
        </w:tc>
        <w:tc>
          <w:tcPr>
            <w:tcW w:w="784"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单位</w:t>
            </w:r>
          </w:p>
        </w:tc>
        <w:tc>
          <w:tcPr>
            <w:tcW w:w="782"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数量</w:t>
            </w:r>
          </w:p>
        </w:tc>
        <w:tc>
          <w:tcPr>
            <w:tcW w:w="898"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单价（元）</w:t>
            </w:r>
          </w:p>
        </w:tc>
        <w:tc>
          <w:tcPr>
            <w:tcW w:w="136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合价（元）</w:t>
            </w:r>
          </w:p>
        </w:tc>
        <w:tc>
          <w:tcPr>
            <w:tcW w:w="1098" w:type="dxa"/>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color w:val="auto"/>
                <w:szCs w:val="21"/>
                <w:highlight w:val="none"/>
              </w:rPr>
            </w:pPr>
            <w:r>
              <w:rPr>
                <w:rFonts w:hint="eastAsia" w:ascii="宋体" w:hAnsi="宋体"/>
                <w:color w:val="auto"/>
                <w:szCs w:val="21"/>
                <w:highlight w:val="none"/>
              </w:rPr>
              <w:t>1</w:t>
            </w:r>
          </w:p>
        </w:tc>
        <w:tc>
          <w:tcPr>
            <w:tcW w:w="2038" w:type="dxa"/>
            <w:tcBorders>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782" w:type="dxa"/>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color w:val="auto"/>
                <w:szCs w:val="21"/>
                <w:highlight w:val="none"/>
              </w:rPr>
            </w:pPr>
            <w:r>
              <w:rPr>
                <w:rFonts w:hint="eastAsia" w:ascii="宋体" w:hAnsi="宋体"/>
                <w:color w:val="auto"/>
                <w:szCs w:val="21"/>
                <w:highlight w:val="none"/>
              </w:rPr>
              <w:t>2</w:t>
            </w:r>
          </w:p>
        </w:tc>
        <w:tc>
          <w:tcPr>
            <w:tcW w:w="2038" w:type="dxa"/>
            <w:tcBorders>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782" w:type="dxa"/>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color w:val="auto"/>
                <w:szCs w:val="21"/>
                <w:highlight w:val="none"/>
              </w:rPr>
            </w:pPr>
            <w:r>
              <w:rPr>
                <w:rFonts w:hint="eastAsia" w:ascii="宋体" w:hAnsi="宋体"/>
                <w:color w:val="auto"/>
                <w:szCs w:val="21"/>
                <w:highlight w:val="none"/>
              </w:rPr>
              <w:t>3</w:t>
            </w:r>
          </w:p>
        </w:tc>
        <w:tc>
          <w:tcPr>
            <w:tcW w:w="2038" w:type="dxa"/>
            <w:tcBorders>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4"/>
                <w:highlight w:val="none"/>
              </w:rPr>
            </w:pPr>
          </w:p>
        </w:tc>
        <w:tc>
          <w:tcPr>
            <w:tcW w:w="782" w:type="dxa"/>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2038" w:type="dxa"/>
            <w:tcBorders>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4"/>
                <w:highlight w:val="none"/>
              </w:rPr>
            </w:pPr>
          </w:p>
        </w:tc>
        <w:tc>
          <w:tcPr>
            <w:tcW w:w="782" w:type="dxa"/>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2038" w:type="dxa"/>
            <w:tcBorders>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4"/>
                <w:highlight w:val="none"/>
              </w:rPr>
            </w:pPr>
          </w:p>
        </w:tc>
        <w:tc>
          <w:tcPr>
            <w:tcW w:w="782" w:type="dxa"/>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11</w:t>
            </w:r>
          </w:p>
        </w:tc>
        <w:tc>
          <w:tcPr>
            <w:tcW w:w="2038" w:type="dxa"/>
            <w:tcBorders>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4"/>
                <w:highlight w:val="none"/>
              </w:rPr>
            </w:pPr>
          </w:p>
        </w:tc>
        <w:tc>
          <w:tcPr>
            <w:tcW w:w="782" w:type="dxa"/>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12</w:t>
            </w:r>
          </w:p>
        </w:tc>
        <w:tc>
          <w:tcPr>
            <w:tcW w:w="2038" w:type="dxa"/>
            <w:tcBorders>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投标总报价（1+2+</w:t>
            </w:r>
            <w:r>
              <w:rPr>
                <w:rFonts w:hint="eastAsia" w:ascii="宋体" w:hAnsi="宋体"/>
                <w:color w:val="auto"/>
                <w:szCs w:val="21"/>
                <w:highlight w:val="none"/>
                <w:lang w:eastAsia="zh-CN"/>
              </w:rPr>
              <w:t>…</w:t>
            </w:r>
            <w:r>
              <w:rPr>
                <w:rFonts w:hint="eastAsia" w:ascii="宋体" w:hAnsi="宋体"/>
                <w:color w:val="auto"/>
                <w:sz w:val="24"/>
                <w:highlight w:val="none"/>
                <w:lang w:val="en-US" w:eastAsia="zh-CN"/>
              </w:rPr>
              <w:t>+11）</w:t>
            </w:r>
          </w:p>
        </w:tc>
        <w:tc>
          <w:tcPr>
            <w:tcW w:w="1242" w:type="dxa"/>
            <w:tcBorders>
              <w:left w:val="single" w:color="auto" w:sz="4" w:space="0"/>
            </w:tcBorders>
            <w:shd w:val="clear" w:color="auto" w:fill="auto"/>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4"/>
                <w:highlight w:val="none"/>
              </w:rPr>
            </w:pPr>
          </w:p>
        </w:tc>
        <w:tc>
          <w:tcPr>
            <w:tcW w:w="782" w:type="dxa"/>
            <w:shd w:val="clear" w:color="auto" w:fill="FFFFFF"/>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bl>
    <w:p>
      <w:pPr>
        <w:ind w:firstLine="420" w:firstLineChars="200"/>
        <w:jc w:val="left"/>
        <w:rPr>
          <w:rFonts w:hint="eastAsia" w:ascii="宋体" w:hAnsi="宋体" w:eastAsia="宋体" w:cs="宋体"/>
          <w:color w:val="auto"/>
          <w:highlight w:val="none"/>
          <w:lang w:val="zh-CN"/>
        </w:rPr>
      </w:pP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1.所有投标只能选择一种方案，单价和合价的报价只能是唯一，且须列出详细的分项报价。（与采购清单</w:t>
      </w:r>
      <w:r>
        <w:rPr>
          <w:rFonts w:hint="eastAsia" w:ascii="宋体" w:hAnsi="宋体" w:eastAsia="宋体" w:cs="宋体"/>
          <w:color w:val="auto"/>
          <w:szCs w:val="21"/>
          <w:highlight w:val="none"/>
          <w:lang w:val="en-US" w:eastAsia="zh-CN"/>
        </w:rPr>
        <w:t>顺序保持</w:t>
      </w:r>
      <w:r>
        <w:rPr>
          <w:rFonts w:hint="eastAsia" w:ascii="宋体" w:hAnsi="宋体" w:eastAsia="宋体" w:cs="宋体"/>
          <w:color w:val="auto"/>
          <w:szCs w:val="21"/>
          <w:highlight w:val="none"/>
          <w:lang w:val="zh-CN"/>
        </w:rPr>
        <w:t>一致，不得缺项，否则视同包含在其他项目。）</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投标报价采用综合单价法，综合单价包括完成招标文件和采购配置清单要求的所有货物及相关服务内容所包含的一切应有费用。综合单价今后将不作任何调整。</w:t>
      </w:r>
    </w:p>
    <w:p>
      <w:pPr>
        <w:spacing w:line="360" w:lineRule="auto"/>
        <w:rPr>
          <w:rFonts w:hint="eastAsia" w:ascii="宋体"/>
          <w:color w:val="auto"/>
          <w:sz w:val="24"/>
          <w:highlight w:val="none"/>
        </w:rPr>
      </w:pPr>
    </w:p>
    <w:p>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pPr>
        <w:spacing w:line="360" w:lineRule="auto"/>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pPr>
        <w:pStyle w:val="2"/>
        <w:rPr>
          <w:rFonts w:hint="eastAsia"/>
          <w:color w:val="auto"/>
          <w:highlight w:val="none"/>
          <w:lang w:val="en-US" w:eastAsia="zh-CN"/>
        </w:rPr>
      </w:pPr>
    </w:p>
    <w:p>
      <w:pPr>
        <w:pStyle w:val="38"/>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rPr>
          <w:b/>
          <w:bCs w:val="0"/>
          <w:color w:val="auto"/>
          <w:sz w:val="32"/>
          <w:szCs w:val="32"/>
          <w:highlight w:val="none"/>
          <w:lang w:eastAsia="zh-CN"/>
        </w:rPr>
      </w:pPr>
      <w:bookmarkStart w:id="112" w:name="_Toc6275_WPSOffice_Level1"/>
      <w:bookmarkEnd w:id="112"/>
      <w:r>
        <w:rPr>
          <w:b/>
          <w:bCs w:val="0"/>
          <w:color w:val="auto"/>
          <w:sz w:val="32"/>
          <w:szCs w:val="32"/>
          <w:highlight w:val="none"/>
          <w:lang w:eastAsia="zh-CN"/>
        </w:rPr>
        <w:br w:type="page"/>
      </w:r>
    </w:p>
    <w:p>
      <w:pPr>
        <w:pStyle w:val="20"/>
        <w:widowControl/>
        <w:spacing w:before="0" w:beforeAutospacing="0" w:after="0" w:afterAutospacing="0" w:line="375" w:lineRule="atLeast"/>
        <w:ind w:left="0" w:right="0"/>
        <w:jc w:val="center"/>
        <w:outlineLvl w:val="0"/>
        <w:rPr>
          <w:b/>
          <w:bCs w:val="0"/>
          <w:color w:val="auto"/>
          <w:sz w:val="32"/>
          <w:szCs w:val="32"/>
          <w:highlight w:val="none"/>
          <w:lang w:val="en-US"/>
        </w:rPr>
      </w:pPr>
      <w:r>
        <w:rPr>
          <w:b/>
          <w:bCs w:val="0"/>
          <w:color w:val="auto"/>
          <w:sz w:val="32"/>
          <w:szCs w:val="32"/>
          <w:highlight w:val="none"/>
          <w:lang w:eastAsia="zh-CN"/>
        </w:rPr>
        <w:t>第</w:t>
      </w:r>
      <w:r>
        <w:rPr>
          <w:rFonts w:hint="eastAsia"/>
          <w:b/>
          <w:bCs w:val="0"/>
          <w:color w:val="auto"/>
          <w:sz w:val="32"/>
          <w:szCs w:val="32"/>
          <w:highlight w:val="none"/>
          <w:lang w:val="en-US" w:eastAsia="zh-CN"/>
        </w:rPr>
        <w:t>八</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p>
    <w:tbl>
      <w:tblPr>
        <w:tblStyle w:val="22"/>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滁州市兴全矿业投资有限公司挖掘机零件采购供应服务单位招标项目</w:t>
            </w:r>
            <w:r>
              <w:rPr>
                <w:rFonts w:hint="eastAsia" w:ascii="宋体" w:hAnsi="宋体" w:eastAsia="宋体" w:cs="宋体"/>
                <w:color w:val="auto"/>
                <w:kern w:val="2"/>
                <w:sz w:val="28"/>
                <w:szCs w:val="28"/>
                <w:highlight w:val="none"/>
                <w:u w:color="000000"/>
                <w:lang w:val="en-US" w:eastAsia="zh-CN" w:bidi="ar"/>
              </w:rPr>
              <w:t>招标文件进行确认。</w:t>
            </w:r>
          </w:p>
          <w:p>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招标人：滁州市兴全矿业投资有限公司  </w:t>
            </w:r>
          </w:p>
          <w:p>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联系人：周洋</w:t>
            </w:r>
          </w:p>
          <w:p>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联系电话：18455050797</w:t>
            </w:r>
          </w:p>
          <w:p>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2025年8月</w:t>
            </w:r>
          </w:p>
          <w:p>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经办人：王芳</w:t>
            </w:r>
          </w:p>
          <w:p>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电话：0550-3519519、18955055067</w:t>
            </w:r>
          </w:p>
          <w:p>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pPr>
              <w:pStyle w:val="2"/>
              <w:widowControl/>
              <w:spacing w:before="0" w:beforeAutospacing="0" w:after="120" w:afterAutospacing="0"/>
              <w:ind w:leftChars="200" w:right="0" w:firstLine="560"/>
              <w:rPr>
                <w:color w:val="auto"/>
                <w:kern w:val="2"/>
                <w:sz w:val="28"/>
                <w:szCs w:val="28"/>
                <w:highlight w:val="none"/>
                <w:lang w:val="en-US"/>
              </w:rPr>
            </w:pP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2025年8月</w:t>
            </w:r>
          </w:p>
        </w:tc>
      </w:tr>
    </w:tbl>
    <w:p>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5AF75"/>
    <w:multiLevelType w:val="singleLevel"/>
    <w:tmpl w:val="8B05AF75"/>
    <w:lvl w:ilvl="0" w:tentative="0">
      <w:start w:val="4"/>
      <w:numFmt w:val="decimal"/>
      <w:suff w:val="nothing"/>
      <w:lvlText w:val="%1、"/>
      <w:lvlJc w:val="left"/>
    </w:lvl>
  </w:abstractNum>
  <w:abstractNum w:abstractNumId="1">
    <w:nsid w:val="F4A311EA"/>
    <w:multiLevelType w:val="singleLevel"/>
    <w:tmpl w:val="F4A311EA"/>
    <w:lvl w:ilvl="0" w:tentative="0">
      <w:start w:val="3"/>
      <w:numFmt w:val="decimal"/>
      <w:suff w:val="nothing"/>
      <w:lvlText w:val="%1．"/>
      <w:lvlJc w:val="left"/>
    </w:lvl>
  </w:abstractNum>
  <w:abstractNum w:abstractNumId="2">
    <w:nsid w:val="0000000E"/>
    <w:multiLevelType w:val="multilevel"/>
    <w:tmpl w:val="0000000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NWZiZTU1MGJhM2JmMjdmOWMwYzI1ZmZmY2E0MzYifQ=="/>
  </w:docVars>
  <w:rsids>
    <w:rsidRoot w:val="440F4D94"/>
    <w:rsid w:val="003F03DF"/>
    <w:rsid w:val="01D118B5"/>
    <w:rsid w:val="01E872A1"/>
    <w:rsid w:val="033F5EBB"/>
    <w:rsid w:val="03EE2141"/>
    <w:rsid w:val="044004C3"/>
    <w:rsid w:val="04D87694"/>
    <w:rsid w:val="05FA2ED0"/>
    <w:rsid w:val="06D40AEF"/>
    <w:rsid w:val="06D54ED0"/>
    <w:rsid w:val="06EE1376"/>
    <w:rsid w:val="09890C55"/>
    <w:rsid w:val="0AFF501E"/>
    <w:rsid w:val="0CEF01A1"/>
    <w:rsid w:val="0EBB3464"/>
    <w:rsid w:val="0F5A3543"/>
    <w:rsid w:val="102F2289"/>
    <w:rsid w:val="11273F56"/>
    <w:rsid w:val="12431559"/>
    <w:rsid w:val="12AB744F"/>
    <w:rsid w:val="14102AD3"/>
    <w:rsid w:val="14334ED5"/>
    <w:rsid w:val="156D21D8"/>
    <w:rsid w:val="162403C8"/>
    <w:rsid w:val="165958AD"/>
    <w:rsid w:val="1A2A2D40"/>
    <w:rsid w:val="1A2C0203"/>
    <w:rsid w:val="1AFF1DF1"/>
    <w:rsid w:val="1B0B6A26"/>
    <w:rsid w:val="1B56742D"/>
    <w:rsid w:val="1BE83977"/>
    <w:rsid w:val="1D762E25"/>
    <w:rsid w:val="1DD7722D"/>
    <w:rsid w:val="1E452429"/>
    <w:rsid w:val="1E474369"/>
    <w:rsid w:val="1FBE5586"/>
    <w:rsid w:val="2035457B"/>
    <w:rsid w:val="204506D8"/>
    <w:rsid w:val="20787C5B"/>
    <w:rsid w:val="208257F5"/>
    <w:rsid w:val="20F63292"/>
    <w:rsid w:val="21391D2B"/>
    <w:rsid w:val="218B3543"/>
    <w:rsid w:val="21FC6157"/>
    <w:rsid w:val="222D5B93"/>
    <w:rsid w:val="223E0729"/>
    <w:rsid w:val="2309025E"/>
    <w:rsid w:val="25A95E03"/>
    <w:rsid w:val="261D1FBA"/>
    <w:rsid w:val="27427F5F"/>
    <w:rsid w:val="287E4991"/>
    <w:rsid w:val="2C0C7D5D"/>
    <w:rsid w:val="2D743715"/>
    <w:rsid w:val="2E391725"/>
    <w:rsid w:val="2F9703E7"/>
    <w:rsid w:val="2FCD40B5"/>
    <w:rsid w:val="309B3D81"/>
    <w:rsid w:val="31175242"/>
    <w:rsid w:val="31B9703B"/>
    <w:rsid w:val="330D4456"/>
    <w:rsid w:val="33E8367F"/>
    <w:rsid w:val="34084577"/>
    <w:rsid w:val="3409025B"/>
    <w:rsid w:val="35E820B0"/>
    <w:rsid w:val="379A4E56"/>
    <w:rsid w:val="39112D5D"/>
    <w:rsid w:val="39B406D0"/>
    <w:rsid w:val="3A4C6A3F"/>
    <w:rsid w:val="3C3B0843"/>
    <w:rsid w:val="3CE35A45"/>
    <w:rsid w:val="3D7F110E"/>
    <w:rsid w:val="3D8B68BD"/>
    <w:rsid w:val="3FCA68B7"/>
    <w:rsid w:val="40585B1F"/>
    <w:rsid w:val="40E10599"/>
    <w:rsid w:val="410F6604"/>
    <w:rsid w:val="41C76417"/>
    <w:rsid w:val="42AB7679"/>
    <w:rsid w:val="43AD2061"/>
    <w:rsid w:val="440F4D94"/>
    <w:rsid w:val="44121234"/>
    <w:rsid w:val="465E7FDB"/>
    <w:rsid w:val="465F1147"/>
    <w:rsid w:val="46623AC8"/>
    <w:rsid w:val="47094360"/>
    <w:rsid w:val="478236BD"/>
    <w:rsid w:val="47DC16A5"/>
    <w:rsid w:val="48040219"/>
    <w:rsid w:val="48BC5937"/>
    <w:rsid w:val="49560276"/>
    <w:rsid w:val="49DB1F4F"/>
    <w:rsid w:val="4A1F1E57"/>
    <w:rsid w:val="4A2C0E3C"/>
    <w:rsid w:val="4A6844D4"/>
    <w:rsid w:val="4B8A2C90"/>
    <w:rsid w:val="4BFB1038"/>
    <w:rsid w:val="4C3857CB"/>
    <w:rsid w:val="4C534C30"/>
    <w:rsid w:val="4D072573"/>
    <w:rsid w:val="4E3E1D97"/>
    <w:rsid w:val="4F522371"/>
    <w:rsid w:val="4FA422F6"/>
    <w:rsid w:val="510E11AC"/>
    <w:rsid w:val="54A71351"/>
    <w:rsid w:val="5523352E"/>
    <w:rsid w:val="55851320"/>
    <w:rsid w:val="577B334F"/>
    <w:rsid w:val="57F4318D"/>
    <w:rsid w:val="5A6B3083"/>
    <w:rsid w:val="5AB972A9"/>
    <w:rsid w:val="5AC41FE9"/>
    <w:rsid w:val="5D13683D"/>
    <w:rsid w:val="5D2B5019"/>
    <w:rsid w:val="5D7002D3"/>
    <w:rsid w:val="604D11B9"/>
    <w:rsid w:val="60A16C23"/>
    <w:rsid w:val="62C47C43"/>
    <w:rsid w:val="63883E5B"/>
    <w:rsid w:val="6509245E"/>
    <w:rsid w:val="65662E04"/>
    <w:rsid w:val="66527E86"/>
    <w:rsid w:val="668A652A"/>
    <w:rsid w:val="68773BBF"/>
    <w:rsid w:val="68EE40FC"/>
    <w:rsid w:val="69182631"/>
    <w:rsid w:val="69954A88"/>
    <w:rsid w:val="69E73AC8"/>
    <w:rsid w:val="6A577A5F"/>
    <w:rsid w:val="6DED61C8"/>
    <w:rsid w:val="6E5968A0"/>
    <w:rsid w:val="6E867CCA"/>
    <w:rsid w:val="6EA934B6"/>
    <w:rsid w:val="6F975F07"/>
    <w:rsid w:val="706E041E"/>
    <w:rsid w:val="70F97914"/>
    <w:rsid w:val="712A4741"/>
    <w:rsid w:val="72023811"/>
    <w:rsid w:val="74D1029E"/>
    <w:rsid w:val="74D55507"/>
    <w:rsid w:val="75354924"/>
    <w:rsid w:val="75843174"/>
    <w:rsid w:val="76B7003F"/>
    <w:rsid w:val="773F7634"/>
    <w:rsid w:val="77E03419"/>
    <w:rsid w:val="78315E04"/>
    <w:rsid w:val="78B2187B"/>
    <w:rsid w:val="79757E4E"/>
    <w:rsid w:val="7A2A6204"/>
    <w:rsid w:val="7AF5326F"/>
    <w:rsid w:val="7B3B220F"/>
    <w:rsid w:val="7BBF22D0"/>
    <w:rsid w:val="7CE86D20"/>
    <w:rsid w:val="7D256A57"/>
    <w:rsid w:val="7E8D57A7"/>
    <w:rsid w:val="7F097B6F"/>
    <w:rsid w:val="7F42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link w:val="62"/>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character" w:default="1" w:styleId="24">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6"/>
    <w:link w:val="41"/>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3">
    <w:name w:val="Body Text Indent"/>
    <w:basedOn w:val="1"/>
    <w:next w:val="4"/>
    <w:link w:val="40"/>
    <w:qFormat/>
    <w:uiPriority w:val="0"/>
    <w:pPr>
      <w:spacing w:after="120" w:afterLines="0" w:afterAutospacing="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6">
    <w:name w:val="List"/>
    <w:basedOn w:val="1"/>
    <w:next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8">
    <w:name w:val="table of authorities"/>
    <w:basedOn w:val="1"/>
    <w:next w:val="1"/>
    <w:unhideWhenUsed/>
    <w:qFormat/>
    <w:uiPriority w:val="0"/>
    <w:pPr>
      <w:ind w:left="420" w:leftChars="200"/>
    </w:pPr>
  </w:style>
  <w:style w:type="paragraph" w:styleId="9">
    <w:name w:val="Normal Indent"/>
    <w:basedOn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10">
    <w:name w:val="Document Map"/>
    <w:basedOn w:val="1"/>
    <w:next w:val="1"/>
    <w:semiHidden/>
    <w:qFormat/>
    <w:uiPriority w:val="0"/>
    <w:pPr>
      <w:shd w:val="clear" w:color="auto" w:fill="000080"/>
    </w:pPr>
  </w:style>
  <w:style w:type="paragraph" w:styleId="11">
    <w:name w:val="annotation text"/>
    <w:basedOn w:val="1"/>
    <w:qFormat/>
    <w:uiPriority w:val="0"/>
    <w:pPr>
      <w:jc w:val="left"/>
    </w:pPr>
  </w:style>
  <w:style w:type="paragraph" w:styleId="12">
    <w:name w:val="Body Text 3"/>
    <w:basedOn w:val="1"/>
    <w:qFormat/>
    <w:uiPriority w:val="0"/>
    <w:rPr>
      <w:rFonts w:ascii="宋体" w:hAnsi="Calibri" w:eastAsia="宋体" w:cs="Times New Roman"/>
      <w:sz w:val="24"/>
      <w:szCs w:val="20"/>
    </w:rPr>
  </w:style>
  <w:style w:type="paragraph" w:styleId="13">
    <w:name w:val="Body Text"/>
    <w:basedOn w:val="1"/>
    <w:qFormat/>
    <w:uiPriority w:val="0"/>
    <w:pPr>
      <w:widowControl w:val="0"/>
      <w:snapToGrid w:val="0"/>
      <w:spacing w:line="360" w:lineRule="auto"/>
    </w:pPr>
    <w:rPr>
      <w:rFonts w:ascii="Arial" w:hAnsi="Arial" w:eastAsia="仿宋_GB2312"/>
      <w:sz w:val="31"/>
    </w:rPr>
  </w:style>
  <w:style w:type="paragraph" w:styleId="14">
    <w:name w:val="Plain Text"/>
    <w:basedOn w:val="1"/>
    <w:next w:val="1"/>
    <w:link w:val="45"/>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5">
    <w:name w:val="Date"/>
    <w:basedOn w:val="1"/>
    <w:next w:val="1"/>
    <w:link w:val="42"/>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6">
    <w:name w:val="Body Text Indent 2"/>
    <w:basedOn w:val="1"/>
    <w:qFormat/>
    <w:uiPriority w:val="0"/>
    <w:pPr>
      <w:spacing w:line="360" w:lineRule="exact"/>
      <w:ind w:firstLine="600" w:firstLineChars="250"/>
      <w:jc w:val="left"/>
    </w:pPr>
    <w:rPr>
      <w:sz w:val="24"/>
    </w:rPr>
  </w:style>
  <w:style w:type="paragraph" w:styleId="17">
    <w:name w:val="footer"/>
    <w:basedOn w:val="1"/>
    <w:link w:val="46"/>
    <w:qFormat/>
    <w:uiPriority w:val="0"/>
    <w:pPr>
      <w:tabs>
        <w:tab w:val="center" w:pos="4153"/>
        <w:tab w:val="right" w:pos="8306"/>
      </w:tabs>
      <w:snapToGrid w:val="0"/>
      <w:jc w:val="left"/>
    </w:pPr>
    <w:rPr>
      <w:sz w:val="18"/>
    </w:rPr>
  </w:style>
  <w:style w:type="paragraph" w:styleId="18">
    <w:name w:val="header"/>
    <w:basedOn w:val="1"/>
    <w:link w:val="4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List 4"/>
    <w:basedOn w:val="1"/>
    <w:qFormat/>
    <w:uiPriority w:val="0"/>
    <w:pPr>
      <w:ind w:left="1680" w:hanging="420"/>
    </w:pPr>
  </w:style>
  <w:style w:type="paragraph" w:styleId="20">
    <w:name w:val="Normal (Web)"/>
    <w:basedOn w:val="1"/>
    <w:next w:val="3"/>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1">
    <w:name w:val="Body Text First Indent"/>
    <w:basedOn w:val="13"/>
    <w:qFormat/>
    <w:uiPriority w:val="0"/>
    <w:pPr>
      <w:adjustRightInd/>
      <w:spacing w:after="120" w:line="240" w:lineRule="auto"/>
      <w:ind w:firstLine="420" w:firstLineChars="100"/>
      <w:jc w:val="both"/>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rPr>
      <w:b/>
      <w:bCs/>
    </w:rPr>
  </w:style>
  <w:style w:type="character" w:styleId="29">
    <w:name w:val="HTML Definition"/>
    <w:basedOn w:val="24"/>
    <w:qFormat/>
    <w:uiPriority w:val="0"/>
    <w:rPr>
      <w:color w:val="FFFFFF"/>
      <w:sz w:val="19"/>
      <w:szCs w:val="19"/>
      <w:shd w:val="clear" w:fill="F6F6F6"/>
    </w:rPr>
  </w:style>
  <w:style w:type="character" w:styleId="30">
    <w:name w:val="HTML Typewriter"/>
    <w:basedOn w:val="24"/>
    <w:qFormat/>
    <w:uiPriority w:val="0"/>
    <w:rPr>
      <w:rFonts w:hint="default" w:ascii="monospace" w:hAnsi="monospace" w:eastAsia="monospace" w:cs="monospace"/>
      <w:vanish/>
      <w:sz w:val="20"/>
    </w:rPr>
  </w:style>
  <w:style w:type="character" w:styleId="31">
    <w:name w:val="HTML Acronym"/>
    <w:basedOn w:val="24"/>
    <w:qFormat/>
    <w:uiPriority w:val="0"/>
    <w:rPr>
      <w:rFonts w:ascii="微软雅黑" w:hAnsi="微软雅黑" w:eastAsia="微软雅黑" w:cs="微软雅黑"/>
      <w:color w:val="3D4B64"/>
      <w:sz w:val="19"/>
      <w:szCs w:val="19"/>
    </w:rPr>
  </w:style>
  <w:style w:type="character" w:styleId="32">
    <w:name w:val="HTML Variable"/>
    <w:basedOn w:val="24"/>
    <w:qFormat/>
    <w:uiPriority w:val="0"/>
  </w:style>
  <w:style w:type="character" w:styleId="33">
    <w:name w:val="Hyperlink"/>
    <w:basedOn w:val="24"/>
    <w:qFormat/>
    <w:uiPriority w:val="99"/>
    <w:rPr>
      <w:color w:val="333333"/>
      <w:u w:val="none"/>
    </w:rPr>
  </w:style>
  <w:style w:type="character" w:styleId="34">
    <w:name w:val="HTML Code"/>
    <w:basedOn w:val="24"/>
    <w:qFormat/>
    <w:uiPriority w:val="0"/>
    <w:rPr>
      <w:rFonts w:hint="default" w:ascii="monospace" w:hAnsi="monospace" w:eastAsia="monospace" w:cs="monospace"/>
      <w:sz w:val="20"/>
    </w:rPr>
  </w:style>
  <w:style w:type="character" w:styleId="35">
    <w:name w:val="HTML Cite"/>
    <w:basedOn w:val="24"/>
    <w:qFormat/>
    <w:uiPriority w:val="0"/>
  </w:style>
  <w:style w:type="character" w:styleId="36">
    <w:name w:val="HTML Keyboard"/>
    <w:basedOn w:val="24"/>
    <w:qFormat/>
    <w:uiPriority w:val="0"/>
    <w:rPr>
      <w:rFonts w:ascii="monospace" w:hAnsi="monospace" w:eastAsia="monospace" w:cs="monospace"/>
      <w:vanish/>
      <w:sz w:val="20"/>
    </w:rPr>
  </w:style>
  <w:style w:type="character" w:styleId="37">
    <w:name w:val="HTML Sample"/>
    <w:basedOn w:val="24"/>
    <w:qFormat/>
    <w:uiPriority w:val="0"/>
    <w:rPr>
      <w:rFonts w:hint="default" w:ascii="monospace" w:hAnsi="monospace" w:eastAsia="monospace" w:cs="monospace"/>
    </w:rPr>
  </w:style>
  <w:style w:type="paragraph" w:customStyle="1" w:styleId="38">
    <w:name w:val="正文文字 8"/>
    <w:basedOn w:val="1"/>
    <w:next w:val="1"/>
    <w:qFormat/>
    <w:uiPriority w:val="0"/>
    <w:pPr>
      <w:ind w:left="240"/>
    </w:pPr>
    <w:rPr>
      <w:sz w:val="16"/>
    </w:rPr>
  </w:style>
  <w:style w:type="paragraph" w:customStyle="1" w:styleId="39">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0">
    <w:name w:val="正文文本缩进 Char"/>
    <w:basedOn w:val="24"/>
    <w:link w:val="3"/>
    <w:qFormat/>
    <w:uiPriority w:val="0"/>
    <w:rPr>
      <w:rFonts w:hint="default" w:ascii="Times New Roman" w:hAnsi="Times New Roman" w:eastAsia="宋体" w:cs="Times New Roman"/>
      <w:color w:val="000000"/>
      <w:kern w:val="0"/>
      <w:szCs w:val="21"/>
      <w:u w:color="000000"/>
    </w:rPr>
  </w:style>
  <w:style w:type="character" w:customStyle="1" w:styleId="41">
    <w:name w:val="正文首行缩进 2 Char"/>
    <w:basedOn w:val="40"/>
    <w:link w:val="2"/>
    <w:qFormat/>
    <w:uiPriority w:val="0"/>
    <w:rPr>
      <w:rFonts w:hint="default" w:ascii="Times New Roman" w:hAnsi="Times New Roman" w:eastAsia="宋体" w:cs="Times New Roman"/>
      <w:color w:val="000000"/>
      <w:kern w:val="0"/>
      <w:szCs w:val="21"/>
      <w:u w:color="000000"/>
    </w:rPr>
  </w:style>
  <w:style w:type="character" w:customStyle="1" w:styleId="42">
    <w:name w:val="日期 Char"/>
    <w:basedOn w:val="24"/>
    <w:link w:val="15"/>
    <w:qFormat/>
    <w:uiPriority w:val="0"/>
    <w:rPr>
      <w:rFonts w:ascii="Arial" w:hAnsi="Arial" w:eastAsia="仿宋_GB2312" w:cs="Arial"/>
      <w:color w:val="000000"/>
      <w:sz w:val="32"/>
      <w:szCs w:val="32"/>
      <w:u w:color="000000"/>
    </w:rPr>
  </w:style>
  <w:style w:type="character" w:customStyle="1" w:styleId="43">
    <w:name w:val="标题 2 Char"/>
    <w:basedOn w:val="24"/>
    <w:link w:val="7"/>
    <w:qFormat/>
    <w:uiPriority w:val="0"/>
    <w:rPr>
      <w:rFonts w:hint="default" w:ascii="Times New Roman" w:hAnsi="Times New Roman" w:eastAsia="宋体" w:cs="Times New Roman"/>
      <w:kern w:val="0"/>
      <w:sz w:val="24"/>
      <w:szCs w:val="24"/>
    </w:rPr>
  </w:style>
  <w:style w:type="character" w:customStyle="1" w:styleId="44">
    <w:name w:val="页眉 Char"/>
    <w:basedOn w:val="24"/>
    <w:link w:val="18"/>
    <w:qFormat/>
    <w:uiPriority w:val="0"/>
    <w:rPr>
      <w:rFonts w:hint="default" w:ascii="Times New Roman" w:hAnsi="Times New Roman" w:eastAsia="宋体" w:cs="Times New Roman"/>
      <w:color w:val="000000"/>
      <w:kern w:val="0"/>
      <w:sz w:val="18"/>
      <w:szCs w:val="18"/>
      <w:u w:color="000000"/>
    </w:rPr>
  </w:style>
  <w:style w:type="character" w:customStyle="1" w:styleId="45">
    <w:name w:val="纯文本 Char"/>
    <w:basedOn w:val="24"/>
    <w:link w:val="14"/>
    <w:qFormat/>
    <w:uiPriority w:val="0"/>
    <w:rPr>
      <w:rFonts w:hint="eastAsia" w:ascii="宋体" w:hAnsi="宋体" w:eastAsia="宋体" w:cs="宋体"/>
      <w:szCs w:val="21"/>
    </w:rPr>
  </w:style>
  <w:style w:type="character" w:customStyle="1" w:styleId="46">
    <w:name w:val="页脚 Char"/>
    <w:basedOn w:val="24"/>
    <w:link w:val="17"/>
    <w:qFormat/>
    <w:uiPriority w:val="0"/>
    <w:rPr>
      <w:rFonts w:hint="default" w:ascii="Times New Roman" w:hAnsi="Times New Roman" w:eastAsia="宋体" w:cs="Times New Roman"/>
      <w:color w:val="000000"/>
      <w:kern w:val="0"/>
      <w:sz w:val="18"/>
      <w:szCs w:val="18"/>
      <w:u w:color="000000"/>
    </w:rPr>
  </w:style>
  <w:style w:type="paragraph" w:customStyle="1" w:styleId="47">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8">
    <w:name w:val="List Paragraph"/>
    <w:basedOn w:val="1"/>
    <w:qFormat/>
    <w:uiPriority w:val="0"/>
    <w:pPr>
      <w:widowControl w:val="0"/>
      <w:spacing w:line="240" w:lineRule="auto"/>
      <w:ind w:firstLine="200" w:firstLineChars="200"/>
      <w:textAlignment w:val="auto"/>
    </w:pPr>
    <w:rPr>
      <w:u w:val="none" w:color="000000"/>
    </w:rPr>
  </w:style>
  <w:style w:type="character" w:customStyle="1" w:styleId="49">
    <w:name w:val="NormalCharacter"/>
    <w:semiHidden/>
    <w:qFormat/>
    <w:uiPriority w:val="0"/>
  </w:style>
  <w:style w:type="paragraph" w:customStyle="1" w:styleId="50">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1">
    <w:name w:val="font51"/>
    <w:basedOn w:val="24"/>
    <w:qFormat/>
    <w:uiPriority w:val="0"/>
    <w:rPr>
      <w:rFonts w:hint="eastAsia" w:ascii="宋体" w:hAnsi="宋体" w:eastAsia="宋体" w:cs="宋体"/>
      <w:color w:val="000000"/>
      <w:sz w:val="22"/>
      <w:szCs w:val="22"/>
      <w:u w:val="none"/>
    </w:rPr>
  </w:style>
  <w:style w:type="character" w:customStyle="1" w:styleId="52">
    <w:name w:val="font31"/>
    <w:basedOn w:val="24"/>
    <w:qFormat/>
    <w:uiPriority w:val="0"/>
    <w:rPr>
      <w:rFonts w:hint="default" w:ascii="Times New Roman" w:hAnsi="Times New Roman" w:cs="Times New Roman"/>
      <w:color w:val="000000"/>
      <w:sz w:val="22"/>
      <w:szCs w:val="22"/>
      <w:u w:val="none"/>
    </w:rPr>
  </w:style>
  <w:style w:type="character" w:customStyle="1" w:styleId="53">
    <w:name w:val="font61"/>
    <w:basedOn w:val="24"/>
    <w:qFormat/>
    <w:uiPriority w:val="0"/>
    <w:rPr>
      <w:rFonts w:hint="default" w:ascii="Times New Roman" w:hAnsi="Times New Roman" w:cs="Times New Roman"/>
      <w:color w:val="000000"/>
      <w:sz w:val="21"/>
      <w:szCs w:val="21"/>
      <w:u w:val="none"/>
    </w:rPr>
  </w:style>
  <w:style w:type="character" w:customStyle="1" w:styleId="54">
    <w:name w:val="font71"/>
    <w:basedOn w:val="24"/>
    <w:qFormat/>
    <w:uiPriority w:val="0"/>
    <w:rPr>
      <w:rFonts w:hint="eastAsia" w:ascii="宋体" w:hAnsi="宋体" w:eastAsia="宋体" w:cs="宋体"/>
      <w:color w:val="000000"/>
      <w:sz w:val="21"/>
      <w:szCs w:val="21"/>
      <w:u w:val="none"/>
    </w:rPr>
  </w:style>
  <w:style w:type="character" w:customStyle="1" w:styleId="55">
    <w:name w:val="font01"/>
    <w:basedOn w:val="24"/>
    <w:qFormat/>
    <w:uiPriority w:val="0"/>
    <w:rPr>
      <w:rFonts w:hint="eastAsia" w:ascii="宋体" w:hAnsi="宋体" w:eastAsia="宋体" w:cs="宋体"/>
      <w:color w:val="000000"/>
      <w:sz w:val="22"/>
      <w:szCs w:val="22"/>
      <w:u w:val="none"/>
    </w:rPr>
  </w:style>
  <w:style w:type="character" w:customStyle="1" w:styleId="56">
    <w:name w:val="font11"/>
    <w:basedOn w:val="24"/>
    <w:qFormat/>
    <w:uiPriority w:val="0"/>
    <w:rPr>
      <w:rFonts w:hint="eastAsia" w:ascii="宋体" w:hAnsi="宋体" w:eastAsia="宋体" w:cs="宋体"/>
      <w:color w:val="000000"/>
      <w:sz w:val="21"/>
      <w:szCs w:val="21"/>
      <w:u w:val="none"/>
    </w:rPr>
  </w:style>
  <w:style w:type="character" w:customStyle="1" w:styleId="57">
    <w:name w:val="font41"/>
    <w:basedOn w:val="24"/>
    <w:qFormat/>
    <w:uiPriority w:val="0"/>
    <w:rPr>
      <w:rFonts w:hint="default" w:ascii="Times New Roman" w:hAnsi="Times New Roman" w:cs="Times New Roman"/>
      <w:color w:val="000000"/>
      <w:sz w:val="22"/>
      <w:szCs w:val="22"/>
      <w:u w:val="none"/>
    </w:rPr>
  </w:style>
  <w:style w:type="paragraph" w:customStyle="1" w:styleId="58">
    <w:name w:val="二级标题"/>
    <w:basedOn w:val="1"/>
    <w:next w:val="1"/>
    <w:qFormat/>
    <w:uiPriority w:val="0"/>
    <w:rPr>
      <w:rFonts w:hint="eastAsia" w:eastAsia="楷体"/>
    </w:rPr>
  </w:style>
  <w:style w:type="paragraph" w:customStyle="1" w:styleId="59">
    <w:name w:val="正文 New"/>
    <w:next w:val="60"/>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60">
    <w:name w:val="正文缩进1"/>
    <w:basedOn w:val="1"/>
    <w:next w:val="10"/>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1">
    <w:name w:val="Table Paragraph"/>
    <w:basedOn w:val="1"/>
    <w:next w:val="19"/>
    <w:qFormat/>
    <w:uiPriority w:val="0"/>
    <w:pPr>
      <w:autoSpaceDE w:val="0"/>
      <w:autoSpaceDN w:val="0"/>
      <w:jc w:val="left"/>
    </w:pPr>
    <w:rPr>
      <w:rFonts w:ascii="宋体" w:hAnsi="宋体" w:cs="宋体"/>
      <w:kern w:val="0"/>
      <w:sz w:val="22"/>
      <w:szCs w:val="22"/>
      <w:lang w:val="zh-CN"/>
    </w:rPr>
  </w:style>
  <w:style w:type="character" w:customStyle="1" w:styleId="62">
    <w:name w:val="标题 2 Char2"/>
    <w:link w:val="7"/>
    <w:qFormat/>
    <w:uiPriority w:val="0"/>
    <w:rPr>
      <w:rFonts w:ascii="Arial" w:hAnsi="Arial" w:eastAsia="黑体"/>
      <w:b/>
      <w:bCs/>
      <w:kern w:val="2"/>
      <w:sz w:val="21"/>
      <w:szCs w:val="32"/>
      <w:lang w:val="en-US" w:eastAsia="zh-CN" w:bidi="ar-SA"/>
    </w:rPr>
  </w:style>
  <w:style w:type="paragraph" w:customStyle="1" w:styleId="63">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20361</Words>
  <Characters>22360</Characters>
  <Lines>0</Lines>
  <Paragraphs>0</Paragraphs>
  <TotalTime>32</TotalTime>
  <ScaleCrop>false</ScaleCrop>
  <LinksUpToDate>false</LinksUpToDate>
  <CharactersWithSpaces>24702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郑水云</cp:lastModifiedBy>
  <cp:lastPrinted>2022-04-11T07:26:00Z</cp:lastPrinted>
  <dcterms:modified xsi:type="dcterms:W3CDTF">2025-08-05T07:12:09Z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63BE5931AFBA413091D2D30907DA75FB_13</vt:lpwstr>
  </property>
  <property fmtid="{D5CDD505-2E9C-101B-9397-08002B2CF9AE}" pid="4" name="KSOTemplateDocerSaveRecord">
    <vt:lpwstr>eyJoZGlkIjoiMzE0NGYzNWEwOTM5ZTcwZGRhMTc5NjliMzhiZDRlNzgiLCJ1c2VySWQiOiI3MDg0MDUzMTcifQ==</vt:lpwstr>
  </property>
</Properties>
</file>