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7085669"/>
      <w:bookmarkStart w:id="1" w:name="_Toc246996898"/>
      <w:bookmarkStart w:id="2" w:name="_Toc506107265"/>
      <w:bookmarkStart w:id="3" w:name="_Toc15058843"/>
      <w:bookmarkStart w:id="4" w:name="_Toc324404811"/>
      <w:bookmarkStart w:id="5" w:name="_Toc296602400"/>
      <w:bookmarkStart w:id="6" w:name="_Toc461631222"/>
      <w:bookmarkStart w:id="7" w:name="OLE_LINK2"/>
      <w:bookmarkStart w:id="8" w:name="OLE_LINK4"/>
      <w:bookmarkStart w:id="9" w:name="OLE_LINK5"/>
      <w:bookmarkStart w:id="10" w:name="OLE_LINK3"/>
      <w:bookmarkStart w:id="11" w:name="OLE_LINK1"/>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安徽省天长市谕兴地区建筑用玄武岩矿景观提升工程</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项目编号：HXJY1110001041236001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2225"/>
      <w:bookmarkStart w:id="13" w:name="_Toc20499"/>
      <w:bookmarkStart w:id="14" w:name="_Toc3205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8</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52042287"/>
      <w:bookmarkStart w:id="18" w:name="_Toc179632527"/>
      <w:bookmarkStart w:id="19" w:name="_Toc152045511"/>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安徽省天长市谕兴地区建筑用玄武岩矿景观提升工程</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97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7325"/>
      <w:bookmarkStart w:id="21" w:name="_Toc12261"/>
      <w:bookmarkStart w:id="22" w:name="_Toc78803320"/>
      <w:bookmarkStart w:id="23" w:name="_Toc21980"/>
      <w:bookmarkStart w:id="24" w:name="_Toc246996173"/>
      <w:bookmarkStart w:id="25" w:name="_Toc506107267"/>
      <w:bookmarkStart w:id="26" w:name="_Toc35424883"/>
      <w:bookmarkStart w:id="27" w:name="_Toc247085687"/>
      <w:bookmarkStart w:id="28" w:name="_Toc179632544"/>
      <w:bookmarkStart w:id="29" w:name="_Toc324404813"/>
      <w:bookmarkStart w:id="30" w:name="_Toc152045527"/>
      <w:bookmarkStart w:id="31" w:name="_Toc35425050"/>
      <w:bookmarkStart w:id="32" w:name="_Toc246996916"/>
      <w:bookmarkStart w:id="33" w:name="_Toc15058844"/>
      <w:bookmarkStart w:id="34" w:name="_Toc152042303"/>
      <w:bookmarkStart w:id="35" w:name="_Toc144974495"/>
      <w:r>
        <w:rPr>
          <w:rFonts w:hint="eastAsia"/>
          <w:bCs/>
          <w:color w:val="auto"/>
          <w:szCs w:val="32"/>
          <w:highlight w:val="none"/>
          <w:lang w:eastAsia="zh-CN"/>
        </w:rPr>
        <w:t>安徽省天长市谕兴地区建筑用玄武岩矿景观提升工程</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490"/>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安徽省天长市谕兴地区建筑用玄武岩矿景观提升工程</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HXJY1110001041236001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4939EC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1、投标人要求：须具备建设行政主管部门颁发的市政公用工程施工总承包叁级（或以上）资质；</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w:t>
            </w:r>
            <w:r>
              <w:rPr>
                <w:rFonts w:hint="eastAsia" w:ascii="宋体" w:hAnsi="宋体" w:cs="宋体"/>
                <w:bCs/>
                <w:color w:val="auto"/>
                <w:kern w:val="0"/>
                <w:sz w:val="21"/>
                <w:szCs w:val="21"/>
                <w:highlight w:val="none"/>
                <w:lang w:val="en-US" w:eastAsia="zh-CN" w:bidi="ar"/>
              </w:rPr>
              <w:t>须</w:t>
            </w:r>
            <w:r>
              <w:rPr>
                <w:rFonts w:hint="eastAsia" w:ascii="宋体" w:hAnsi="宋体" w:eastAsia="宋体" w:cs="宋体"/>
                <w:bCs/>
                <w:color w:val="auto"/>
                <w:kern w:val="0"/>
                <w:sz w:val="21"/>
                <w:szCs w:val="21"/>
                <w:highlight w:val="none"/>
                <w:lang w:val="en-US" w:eastAsia="zh-CN" w:bidi="ar"/>
              </w:rPr>
              <w:t>具有注册在投标单位的市政公用工程专业二级（或以上）注册建造师资格，且具备有效的安全生产考核合格(B类)证书。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135万元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招标人提供的全套设计施工图纸及工程量清单中的全部内容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13</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20</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20</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本工程建设内容包括停车场工程、挡墙工程、排水沟工程、景观绿化等工程，具体内容详见施工图纸及工程量清单。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135万元</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自筹资金</w:t>
            </w:r>
          </w:p>
        </w:tc>
        <w:tc>
          <w:tcPr>
            <w:tcW w:w="2490"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要求，投标保证金的金额：</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万元。</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5B1A7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93BD9F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5895848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w:t>
            </w:r>
          </w:p>
          <w:p w14:paraId="2AA6FFC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4009280095或者网站首页在线客服。投标人自行承担因未按要求获取招标文件导致无法上传电子投标文件的风险。</w:t>
            </w:r>
          </w:p>
          <w:p w14:paraId="0B0178E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5.本项目采用不见面开标，投标人登录滁州市城投工程咨询有限公司不见面开标系统参与网上开标（网址：http://js.etrading.cn/EpointBidOpening/bidopeninghallaction/hall/login）。</w:t>
            </w:r>
          </w:p>
          <w:p w14:paraId="5AE7D8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5858641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13</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17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滁州市兴天矿业有限公司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天长市广陵路南侧平安路东侧金融大楼B-17</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李超</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15056501345</w:t>
            </w:r>
          </w:p>
        </w:tc>
        <w:tc>
          <w:tcPr>
            <w:tcW w:w="54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滁州市兴滁矿业投资集团有限公司（http://www.xckytz.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8980"/>
      <w:bookmarkStart w:id="38" w:name="_Toc22947"/>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324404814"/>
      <w:bookmarkStart w:id="41" w:name="_Toc15058845"/>
      <w:bookmarkStart w:id="42" w:name="_Toc152042304"/>
      <w:bookmarkStart w:id="43" w:name="_Toc35424884"/>
      <w:bookmarkStart w:id="44" w:name="_Toc506107268"/>
      <w:bookmarkStart w:id="45" w:name="_Toc152045528"/>
      <w:bookmarkStart w:id="46" w:name="_Toc246996917"/>
      <w:bookmarkStart w:id="47" w:name="_Toc247085688"/>
      <w:bookmarkStart w:id="48" w:name="_Toc144974496"/>
      <w:bookmarkStart w:id="49" w:name="_Toc246996174"/>
      <w:bookmarkStart w:id="50" w:name="_Toc35425051"/>
      <w:bookmarkStart w:id="51" w:name="_Toc179632545"/>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7085689"/>
            <w:bookmarkStart w:id="53" w:name="_Toc152042305"/>
            <w:bookmarkStart w:id="54" w:name="_Toc324404815"/>
            <w:bookmarkStart w:id="55" w:name="_Toc246996175"/>
            <w:bookmarkStart w:id="56" w:name="_Toc152045529"/>
            <w:bookmarkStart w:id="57" w:name="_Toc179632546"/>
            <w:bookmarkStart w:id="58" w:name="_Toc246996918"/>
            <w:bookmarkStart w:id="59" w:name="_Toc506107269"/>
            <w:bookmarkStart w:id="60"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60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17</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将在2025年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日17时</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以澄清公告形式在滁州市城投工程咨询管理有限公司（https://www.czctgczx.com/）、</w:t>
            </w:r>
            <w:r>
              <w:rPr>
                <w:rFonts w:hint="eastAsia" w:ascii="宋体" w:hAnsi="宋体" w:cs="宋体"/>
                <w:color w:val="auto"/>
                <w:szCs w:val="21"/>
                <w:highlight w:val="none"/>
                <w:lang w:eastAsia="zh-CN"/>
              </w:rPr>
              <w:t>滁州市兴滁矿业投资集团有限公司（http://www.xckytz.com/）网站</w:t>
            </w:r>
            <w:r>
              <w:rPr>
                <w:rFonts w:hint="eastAsia" w:ascii="宋体" w:hAnsi="宋体" w:cs="宋体"/>
                <w:color w:val="auto"/>
                <w:szCs w:val="21"/>
                <w:highlight w:val="none"/>
              </w:rPr>
              <w:t>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1344573.38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3 </w:t>
            </w:r>
            <w:r>
              <w:rPr>
                <w:rFonts w:hint="eastAsia" w:ascii="宋体" w:hAnsi="宋体" w:cs="宋体"/>
                <w:color w:val="auto"/>
                <w:sz w:val="21"/>
                <w:szCs w:val="21"/>
                <w:highlight w:val="none"/>
                <w:lang w:val="en-US" w:eastAsia="zh-CN"/>
              </w:rPr>
              <w:t>万</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网上递交投标文件截止时间：2025年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20</w:t>
            </w:r>
            <w:bookmarkStart w:id="1082" w:name="_GoBack"/>
            <w:bookmarkEnd w:id="1082"/>
            <w:r>
              <w:rPr>
                <w:rFonts w:hint="eastAsia" w:ascii="宋体" w:hAnsi="宋体" w:eastAsia="宋体" w:cs="宋体"/>
                <w:color w:val="auto"/>
                <w:sz w:val="21"/>
                <w:szCs w:val="21"/>
                <w:highlight w:val="none"/>
                <w:lang w:val="en-US" w:eastAsia="zh-CN"/>
              </w:rPr>
              <w:t>日9时00分（北京时间）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共3人，其中招标人代表1人，专家评委2人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 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6190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人员到岗及履约要求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9ECF9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1）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0229E5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发包人在施工进场第一个月或施工过程中发现承包人转包、挂靠等行为的，发包人立即解除合同，清退出场，承包人已完合格工程量按合同价款70%进行结算。</w:t>
            </w:r>
          </w:p>
          <w:p w14:paraId="02750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2）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投标报价中，招标人将不再支付任何费用。③监管平台考勤范围为本项目监理部和项目部所有管理人员，监管平台信息及数据录入（包括质量、进度、安全、施工许可办理等）均由监理单位负责。④项目经理每月在岗时间不得少于20天，施工现场其他管理人员每月在岗时间不得少于22天。未按规定在岗履责的，对项目经理处罚5000元/人•天的违约金，对施工现场其他管理人员处罚1000元/人•天的违约金。项目部关键岗位人员离岗必须向发包人项目组长履行请假手续，若被</w:t>
            </w:r>
            <w:r>
              <w:rPr>
                <w:rFonts w:hint="eastAsia"/>
                <w:color w:val="auto"/>
                <w:sz w:val="21"/>
                <w:szCs w:val="21"/>
                <w:highlight w:val="none"/>
                <w:lang w:val="en-US" w:eastAsia="zh-CN"/>
              </w:rPr>
              <w:t>招标人</w:t>
            </w:r>
            <w:r>
              <w:rPr>
                <w:rFonts w:hint="default" w:eastAsia="宋体"/>
                <w:color w:val="auto"/>
                <w:sz w:val="21"/>
                <w:szCs w:val="21"/>
                <w:highlight w:val="none"/>
                <w:lang w:val="en-US" w:eastAsia="zh-CN"/>
              </w:rPr>
              <w:t>和相关部门日常检查和随机抽查中发现不在岗的，又未履行请假手续的，处罚5000元/人•次的违约金。</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项目管理机构须按照《安徽省住房和城乡建设厅关于进一步明确建设工程施工现场关键岗位人员配备标准和岗位职责的通知》（建市〔2014〕186号）相关文件配备人员，招标阶段不作要求，中标后人员配备需满足上述文件要求，否则取消其中标资格并没收其保证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人员变更</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D5787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项目经理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技术负责人、项目部“五大员”等关键岗位人员变更必须经发包人批准，工期一年内（含）各岗位人员变更不得超过1次，工期一年以上的各岗位人员变更不得超过2次，须缴纳5000元/人违约金，否则不得变更。变更后的技术负责人、项目部“五大员”等关键岗位人员必须符合本项目招标文件和投标承诺配备的同等条件人员。</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796A032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35B497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约谈制度</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5F0C3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本项目实行法定代表人和项目负责人约谈制度：项目中标公示期满，下发中标通知书前，中标单位必须按照招标人的规定时间参加约谈，中标单位的法定代表人和项目负责人必须参加约谈会议，未按照规定时间要求参加约谈或中标单位的法定代表人和项目负责人没有参加约谈会议的，视为自动放弃中标。</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（2）按关于印发《滁州市建筑工地围挡提档升级标准》的通知（建质﹝2022﹞34号文）执行。</w:t>
            </w:r>
          </w:p>
        </w:tc>
      </w:tr>
      <w:tr w14:paraId="4E7BD203">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66CFC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扬尘管理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7413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严格执行《安徽省建筑工程施工扬尘污染防治规定》、《滁州市城市扬尘管理办法》和《滁州市建筑工程施工扬尘污染防治实施细则》《重点工程建设工地扬尘污染防治管理规定》等相关规定。对违反规定或经检查达不到规定和要求，被相关部门批评、曝光、通报的，处罚承包人10000元/次的违约金，处罚监理人3000元/次的违约金。</w:t>
            </w:r>
          </w:p>
        </w:tc>
      </w:tr>
      <w:tr w14:paraId="2A525CF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9792F5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农民工工资支付</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F6D10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承包人应严格遵守《政府投资工程农民工工资信访管理办法（试行）》的相关规定。</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17DF5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6、项目经理部需在醒目位置公示经监理、业主审定批准的月进度计划表，否则，当月不支付当月工程进度款。</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7、本项目施工难度较大，投标人在标前应自行踏勘现场，充分考虑难度系数和不可预见因素。施工期间的协调工作由承包人自行解决，此部分费用包含在投标报价中。</w:t>
            </w:r>
          </w:p>
        </w:tc>
      </w:tr>
      <w:tr w14:paraId="5D6DB4C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B78CFF">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文明施工要求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1A7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（1）公共环境</w:t>
            </w:r>
          </w:p>
          <w:p w14:paraId="48EDE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768F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2766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（2）公益宣传</w:t>
            </w:r>
          </w:p>
          <w:p w14:paraId="322AE0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6E2D99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②公益广告展示面积占围挡总面积的比例不少于50%，且公益广告要与商业广告穿插展示（每3块广告中必须要有1块公益广告），且单面围挡墙体均能看到公益宣传。步行30米，达到50%面积比例。 </w:t>
            </w:r>
          </w:p>
        </w:tc>
      </w:tr>
      <w:tr w14:paraId="2A5909D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FBFF28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滁州市建筑工地围挡要求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5F71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按关于印发《滁州市建筑工地围挡提档升级标准》的通知（建质﹝2022﹞34号文）执行。</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5813"/>
      <w:bookmarkStart w:id="62" w:name="_Toc15058846"/>
      <w:bookmarkStart w:id="63" w:name="_Toc35424887"/>
      <w:bookmarkStart w:id="64" w:name="_Toc35425053"/>
      <w:bookmarkStart w:id="65" w:name="_Toc78803322"/>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15058847"/>
      <w:bookmarkStart w:id="67" w:name="_Toc296602421"/>
      <w:bookmarkStart w:id="68" w:name="_Toc35424888"/>
      <w:bookmarkStart w:id="69" w:name="_Toc35425054"/>
      <w:bookmarkStart w:id="70" w:name="_Toc246996176"/>
      <w:bookmarkStart w:id="71" w:name="_Toc152045530"/>
      <w:bookmarkStart w:id="72" w:name="_Toc78803323"/>
      <w:bookmarkStart w:id="73" w:name="_Toc246996919"/>
      <w:bookmarkStart w:id="74" w:name="_Toc144974498"/>
      <w:bookmarkStart w:id="75" w:name="_Toc4678"/>
      <w:bookmarkStart w:id="76" w:name="_Toc324404816"/>
      <w:bookmarkStart w:id="77" w:name="_Toc247085690"/>
      <w:bookmarkStart w:id="78" w:name="_Toc152042306"/>
      <w:bookmarkStart w:id="79" w:name="_Toc506107270"/>
      <w:bookmarkStart w:id="80" w:name="_Toc179632547"/>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246996177"/>
      <w:bookmarkStart w:id="82" w:name="_Toc15058848"/>
      <w:bookmarkStart w:id="83" w:name="_Toc35424889"/>
      <w:bookmarkStart w:id="84" w:name="_Toc247085691"/>
      <w:bookmarkStart w:id="85" w:name="_Toc324404817"/>
      <w:bookmarkStart w:id="86" w:name="_Toc506107271"/>
      <w:bookmarkStart w:id="87" w:name="_Toc179632548"/>
      <w:bookmarkStart w:id="88" w:name="_Toc144974499"/>
      <w:bookmarkStart w:id="89" w:name="_Toc296602422"/>
      <w:bookmarkStart w:id="90" w:name="_Toc78803324"/>
      <w:bookmarkStart w:id="91" w:name="_Toc152045531"/>
      <w:bookmarkStart w:id="92" w:name="_Toc246996920"/>
      <w:bookmarkStart w:id="93" w:name="_Toc7142"/>
      <w:bookmarkStart w:id="94" w:name="_Toc35425055"/>
      <w:bookmarkStart w:id="95" w:name="_Toc152042307"/>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78803325"/>
      <w:bookmarkStart w:id="97" w:name="_Toc144974500"/>
      <w:bookmarkStart w:id="98" w:name="_Toc246996178"/>
      <w:bookmarkStart w:id="99" w:name="_Toc35424890"/>
      <w:bookmarkStart w:id="100" w:name="_Toc152042308"/>
      <w:bookmarkStart w:id="101" w:name="_Toc6330"/>
      <w:bookmarkStart w:id="102" w:name="_Toc246996921"/>
      <w:bookmarkStart w:id="103" w:name="_Toc15058849"/>
      <w:bookmarkStart w:id="104" w:name="_Toc324404818"/>
      <w:bookmarkStart w:id="105" w:name="_Toc179632549"/>
      <w:bookmarkStart w:id="106" w:name="_Toc247085692"/>
      <w:bookmarkStart w:id="107" w:name="_Toc152045532"/>
      <w:bookmarkStart w:id="108" w:name="_Toc506107272"/>
      <w:bookmarkStart w:id="109" w:name="_Toc296602423"/>
      <w:bookmarkStart w:id="110" w:name="_Toc35425056"/>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96602424"/>
      <w:bookmarkStart w:id="112" w:name="_Toc78803326"/>
      <w:bookmarkStart w:id="113" w:name="_Toc15058850"/>
      <w:bookmarkStart w:id="114" w:name="_Toc144974502"/>
      <w:bookmarkStart w:id="115" w:name="_Toc35424891"/>
      <w:bookmarkStart w:id="116" w:name="_Toc35425057"/>
      <w:bookmarkStart w:id="117" w:name="_Toc324404819"/>
      <w:bookmarkStart w:id="118" w:name="_Toc246996922"/>
      <w:bookmarkStart w:id="119" w:name="_Toc26897"/>
      <w:bookmarkStart w:id="120" w:name="_Toc246996179"/>
      <w:bookmarkStart w:id="121" w:name="_Toc152045534"/>
      <w:bookmarkStart w:id="122" w:name="_Toc506107273"/>
      <w:bookmarkStart w:id="123" w:name="_Toc179632551"/>
      <w:bookmarkStart w:id="124" w:name="_Toc247085693"/>
      <w:bookmarkStart w:id="125" w:name="_Toc152042310"/>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247085694"/>
      <w:bookmarkStart w:id="127" w:name="_Toc296602425"/>
      <w:bookmarkStart w:id="128" w:name="_Toc144974503"/>
      <w:bookmarkStart w:id="129" w:name="_Toc10179"/>
      <w:bookmarkStart w:id="130" w:name="_Toc246996180"/>
      <w:bookmarkStart w:id="131" w:name="_Toc179632552"/>
      <w:bookmarkStart w:id="132" w:name="_Toc152042311"/>
      <w:bookmarkStart w:id="133" w:name="_Toc152045535"/>
      <w:bookmarkStart w:id="134" w:name="_Toc78803327"/>
      <w:bookmarkStart w:id="135" w:name="_Toc35424892"/>
      <w:bookmarkStart w:id="136" w:name="_Toc15058851"/>
      <w:bookmarkStart w:id="137" w:name="_Toc324404820"/>
      <w:bookmarkStart w:id="138" w:name="_Toc35425058"/>
      <w:bookmarkStart w:id="139" w:name="_Toc246996923"/>
      <w:bookmarkStart w:id="140" w:name="_Toc50610727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246996181"/>
      <w:bookmarkStart w:id="142" w:name="_Toc296602426"/>
      <w:bookmarkStart w:id="143" w:name="_Toc35424893"/>
      <w:bookmarkStart w:id="144" w:name="_Toc324404821"/>
      <w:bookmarkStart w:id="145" w:name="_Toc152045536"/>
      <w:bookmarkStart w:id="146" w:name="_Toc144974504"/>
      <w:bookmarkStart w:id="147" w:name="_Toc78803328"/>
      <w:bookmarkStart w:id="148" w:name="_Toc247085695"/>
      <w:bookmarkStart w:id="149" w:name="_Toc246996924"/>
      <w:bookmarkStart w:id="150" w:name="_Toc15058852"/>
      <w:bookmarkStart w:id="151" w:name="_Toc35425059"/>
      <w:bookmarkStart w:id="152" w:name="_Toc4092"/>
      <w:bookmarkStart w:id="153" w:name="_Toc152042312"/>
      <w:bookmarkStart w:id="154" w:name="_Toc179632553"/>
      <w:bookmarkStart w:id="155" w:name="_Toc506107275"/>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15058853"/>
      <w:bookmarkStart w:id="158" w:name="_Toc324404822"/>
      <w:bookmarkStart w:id="159" w:name="_Toc296602427"/>
      <w:bookmarkStart w:id="160" w:name="_Toc246996925"/>
      <w:bookmarkStart w:id="161" w:name="_Toc246996182"/>
      <w:bookmarkStart w:id="162" w:name="_Toc506107276"/>
      <w:bookmarkStart w:id="163" w:name="_Toc152045537"/>
      <w:bookmarkStart w:id="164" w:name="_Toc35425060"/>
      <w:bookmarkStart w:id="165" w:name="_Toc179632554"/>
      <w:bookmarkStart w:id="166" w:name="_Toc247085696"/>
      <w:bookmarkStart w:id="167" w:name="_Toc78803329"/>
      <w:bookmarkStart w:id="168" w:name="_Toc152042313"/>
      <w:bookmarkStart w:id="169" w:name="_Toc35424894"/>
      <w:bookmarkStart w:id="170" w:name="_Toc4119"/>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44974506"/>
      <w:bookmarkStart w:id="172" w:name="_Toc179632555"/>
      <w:bookmarkStart w:id="173" w:name="_Toc247085697"/>
      <w:bookmarkStart w:id="174" w:name="_Toc246996183"/>
      <w:bookmarkStart w:id="175" w:name="_Toc152045538"/>
      <w:bookmarkStart w:id="176" w:name="_Toc246996926"/>
      <w:bookmarkStart w:id="177" w:name="_Toc152042314"/>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296602428"/>
      <w:bookmarkStart w:id="179" w:name="_Toc15058854"/>
      <w:bookmarkStart w:id="180" w:name="_Toc78803330"/>
      <w:bookmarkStart w:id="181" w:name="_Toc324404823"/>
      <w:bookmarkStart w:id="182" w:name="_Toc35425061"/>
      <w:bookmarkStart w:id="183" w:name="_Toc506107277"/>
      <w:bookmarkStart w:id="184" w:name="_Toc35424895"/>
      <w:bookmarkStart w:id="185" w:name="_Toc1340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296602429"/>
      <w:bookmarkStart w:id="187" w:name="_Toc247513962"/>
      <w:bookmarkStart w:id="188" w:name="_Toc35424896"/>
      <w:bookmarkStart w:id="189" w:name="_Toc506107278"/>
      <w:bookmarkStart w:id="190" w:name="_Toc78803331"/>
      <w:bookmarkStart w:id="191" w:name="_Toc152042315"/>
      <w:bookmarkStart w:id="192" w:name="_Toc144974507"/>
      <w:bookmarkStart w:id="193" w:name="_Toc152045539"/>
      <w:bookmarkStart w:id="194" w:name="_Toc15058855"/>
      <w:bookmarkStart w:id="195" w:name="_Toc247592876"/>
      <w:bookmarkStart w:id="196" w:name="_Toc35425062"/>
      <w:bookmarkStart w:id="197" w:name="_Toc11493"/>
      <w:bookmarkStart w:id="198" w:name="_Toc324404824"/>
      <w:bookmarkStart w:id="199" w:name="_Toc247527563"/>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2042316"/>
      <w:bookmarkStart w:id="201" w:name="_Toc35425063"/>
      <w:bookmarkStart w:id="202" w:name="_Toc144974508"/>
      <w:bookmarkStart w:id="203" w:name="_Toc78803332"/>
      <w:bookmarkStart w:id="204" w:name="_Toc506107279"/>
      <w:bookmarkStart w:id="205" w:name="_Toc22954"/>
      <w:bookmarkStart w:id="206" w:name="_Toc152045540"/>
      <w:bookmarkStart w:id="207" w:name="_Toc324404825"/>
      <w:bookmarkStart w:id="208" w:name="_Toc247513963"/>
      <w:bookmarkStart w:id="209" w:name="_Toc15058856"/>
      <w:bookmarkStart w:id="210" w:name="_Toc247527564"/>
      <w:bookmarkStart w:id="211" w:name="_Toc247592877"/>
      <w:bookmarkStart w:id="212" w:name="_Toc296602430"/>
      <w:bookmarkStart w:id="213" w:name="_Toc35424897"/>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15058857"/>
      <w:bookmarkStart w:id="215" w:name="_Toc296602431"/>
      <w:bookmarkStart w:id="216" w:name="_Toc324404826"/>
      <w:bookmarkStart w:id="217" w:name="_Toc506107280"/>
      <w:bookmarkStart w:id="218" w:name="_Toc83301699"/>
      <w:bookmarkStart w:id="219" w:name="_Toc60061444"/>
      <w:bookmarkStart w:id="220" w:name="_Toc95223347"/>
      <w:bookmarkStart w:id="221" w:name="_Toc152042318"/>
      <w:bookmarkStart w:id="222" w:name="_Toc506107281"/>
      <w:bookmarkStart w:id="223" w:name="_Toc35424899"/>
      <w:bookmarkStart w:id="224" w:name="_Toc78803334"/>
      <w:bookmarkStart w:id="225" w:name="_Toc324404827"/>
      <w:bookmarkStart w:id="226" w:name="_Toc246996930"/>
      <w:bookmarkStart w:id="227" w:name="_Toc15058858"/>
      <w:bookmarkStart w:id="228" w:name="_Toc144974510"/>
      <w:bookmarkStart w:id="229" w:name="_Toc247085701"/>
      <w:bookmarkStart w:id="230" w:name="_Toc35425065"/>
      <w:bookmarkStart w:id="231" w:name="_Toc152045542"/>
      <w:bookmarkStart w:id="232" w:name="_Toc179632560"/>
      <w:bookmarkStart w:id="233" w:name="_Toc4012"/>
      <w:bookmarkStart w:id="234" w:name="_Toc246996187"/>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83301700"/>
      <w:bookmarkStart w:id="237" w:name="_Toc95223348"/>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324404828"/>
      <w:bookmarkStart w:id="239" w:name="_Toc152042319"/>
      <w:bookmarkStart w:id="240" w:name="_Toc15058859"/>
      <w:bookmarkStart w:id="241" w:name="_Toc144974511"/>
      <w:bookmarkStart w:id="242" w:name="_Toc296602433"/>
      <w:bookmarkStart w:id="243" w:name="_Toc247085702"/>
      <w:bookmarkStart w:id="244" w:name="_Toc35424900"/>
      <w:bookmarkStart w:id="245" w:name="_Toc506107282"/>
      <w:bookmarkStart w:id="246" w:name="_Toc13213"/>
      <w:bookmarkStart w:id="247" w:name="_Toc246996188"/>
      <w:bookmarkStart w:id="248" w:name="_Toc35425066"/>
      <w:bookmarkStart w:id="249" w:name="_Toc78803335"/>
      <w:bookmarkStart w:id="250" w:name="_Toc152045543"/>
      <w:bookmarkStart w:id="251" w:name="_Toc179632561"/>
      <w:bookmarkStart w:id="252" w:name="_Toc246996931"/>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932"/>
      <w:bookmarkStart w:id="254" w:name="_Toc246996189"/>
      <w:bookmarkStart w:id="255" w:name="_Toc247085703"/>
      <w:bookmarkStart w:id="256" w:name="_Toc78803336"/>
      <w:bookmarkStart w:id="257" w:name="_Toc324404829"/>
      <w:bookmarkStart w:id="258" w:name="_Toc35425067"/>
      <w:bookmarkStart w:id="259" w:name="_Toc152042320"/>
      <w:bookmarkStart w:id="260" w:name="_Toc179632562"/>
      <w:bookmarkStart w:id="261" w:name="_Toc32239"/>
      <w:bookmarkStart w:id="262" w:name="_Toc35424901"/>
      <w:bookmarkStart w:id="263" w:name="_Toc506107283"/>
      <w:bookmarkStart w:id="264" w:name="_Toc144974512"/>
      <w:bookmarkStart w:id="265" w:name="_Toc296602434"/>
      <w:bookmarkStart w:id="266" w:name="_Toc15058860"/>
      <w:bookmarkStart w:id="267" w:name="_Toc152045544"/>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、滁州市兴滁矿业投资集团有限公司（http://www.xckytz.com/）等网站</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24633"/>
      <w:bookmarkStart w:id="269" w:name="_Toc78803337"/>
      <w:bookmarkStart w:id="270" w:name="_Toc152042321"/>
      <w:bookmarkStart w:id="271" w:name="_Toc324404830"/>
      <w:bookmarkStart w:id="272" w:name="_Toc35425068"/>
      <w:bookmarkStart w:id="273" w:name="_Toc35424902"/>
      <w:bookmarkStart w:id="274" w:name="_Toc144974513"/>
      <w:bookmarkStart w:id="275" w:name="_Toc15058861"/>
      <w:bookmarkStart w:id="276" w:name="_Toc152045545"/>
      <w:bookmarkStart w:id="277" w:name="_Toc246996933"/>
      <w:bookmarkStart w:id="278" w:name="_Toc506107284"/>
      <w:bookmarkStart w:id="279" w:name="_Toc296602435"/>
      <w:bookmarkStart w:id="280" w:name="_Toc246996190"/>
      <w:bookmarkStart w:id="281" w:name="_Toc247085704"/>
      <w:bookmarkStart w:id="282" w:name="_Toc179632563"/>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“滁州市城投工程咨询管理有限公司”（https://www.czctgczx.com/）、滁州市兴滁矿业投资集团有限公司（http://www.xckytz.com/）等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247085705"/>
      <w:bookmarkStart w:id="284" w:name="_Toc506107285"/>
      <w:bookmarkStart w:id="285" w:name="_Toc152042322"/>
      <w:bookmarkStart w:id="286" w:name="_Toc324404832"/>
      <w:bookmarkStart w:id="287" w:name="_Toc15058863"/>
      <w:bookmarkStart w:id="288" w:name="_Toc246996934"/>
      <w:bookmarkStart w:id="289" w:name="_Toc246996191"/>
      <w:bookmarkStart w:id="290" w:name="_Toc179632564"/>
      <w:bookmarkStart w:id="291" w:name="_Toc6464"/>
      <w:bookmarkStart w:id="292" w:name="_Toc35424904"/>
      <w:bookmarkStart w:id="293" w:name="_Toc35425070"/>
      <w:bookmarkStart w:id="294" w:name="_Toc78803339"/>
      <w:bookmarkStart w:id="295" w:name="_Toc152045546"/>
      <w:bookmarkStart w:id="296" w:name="_Toc144974514"/>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296602437"/>
      <w:bookmarkStart w:id="298" w:name="_Toc78803340"/>
      <w:bookmarkStart w:id="299" w:name="_Toc15058864"/>
      <w:bookmarkStart w:id="300" w:name="_Toc152045547"/>
      <w:bookmarkStart w:id="301" w:name="_Toc144974515"/>
      <w:bookmarkStart w:id="302" w:name="_Toc35425071"/>
      <w:bookmarkStart w:id="303" w:name="_Toc246996192"/>
      <w:bookmarkStart w:id="304" w:name="_Toc246996935"/>
      <w:bookmarkStart w:id="305" w:name="_Toc35424905"/>
      <w:bookmarkStart w:id="306" w:name="_Toc324404833"/>
      <w:bookmarkStart w:id="307" w:name="_Toc157"/>
      <w:bookmarkStart w:id="308" w:name="_Toc506107286"/>
      <w:bookmarkStart w:id="309" w:name="_Toc247085706"/>
      <w:bookmarkStart w:id="310" w:name="_Toc179632565"/>
      <w:bookmarkStart w:id="311" w:name="_Toc152042323"/>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296602438"/>
      <w:bookmarkStart w:id="313" w:name="_Toc35424906"/>
      <w:bookmarkStart w:id="314" w:name="_Toc324404834"/>
      <w:bookmarkStart w:id="315" w:name="_Toc506107287"/>
      <w:bookmarkStart w:id="316" w:name="_Toc246996936"/>
      <w:bookmarkStart w:id="317" w:name="_Toc247085707"/>
      <w:bookmarkStart w:id="318" w:name="_Toc179632566"/>
      <w:bookmarkStart w:id="319" w:name="_Toc78803341"/>
      <w:bookmarkStart w:id="320" w:name="_Toc15058865"/>
      <w:bookmarkStart w:id="321" w:name="_Toc152042324"/>
      <w:bookmarkStart w:id="322" w:name="_Toc6829"/>
      <w:bookmarkStart w:id="323" w:name="_Toc144974516"/>
      <w:bookmarkStart w:id="324" w:name="_Toc152045548"/>
      <w:bookmarkStart w:id="325" w:name="_Toc35425072"/>
      <w:bookmarkStart w:id="326" w:name="_Toc246996193"/>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5425073"/>
      <w:bookmarkStart w:id="328" w:name="_Toc179632567"/>
      <w:bookmarkStart w:id="329" w:name="_Toc15058866"/>
      <w:bookmarkStart w:id="330" w:name="_Toc246996194"/>
      <w:bookmarkStart w:id="331" w:name="_Toc506107288"/>
      <w:bookmarkStart w:id="332" w:name="_Toc296602439"/>
      <w:bookmarkStart w:id="333" w:name="_Toc324404835"/>
      <w:bookmarkStart w:id="334" w:name="_Toc152045549"/>
      <w:bookmarkStart w:id="335" w:name="_Toc78803342"/>
      <w:bookmarkStart w:id="336" w:name="_Toc247085708"/>
      <w:bookmarkStart w:id="337" w:name="_Toc144974517"/>
      <w:bookmarkStart w:id="338" w:name="_Toc31735"/>
      <w:bookmarkStart w:id="339" w:name="_Toc35424907"/>
      <w:bookmarkStart w:id="340" w:name="_Toc246996937"/>
      <w:bookmarkStart w:id="341" w:name="_Toc15204232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10714"/>
      <w:bookmarkStart w:id="343" w:name="_Toc35425074"/>
      <w:bookmarkStart w:id="344" w:name="_Toc247085709"/>
      <w:bookmarkStart w:id="345" w:name="_Toc78803343"/>
      <w:bookmarkStart w:id="346" w:name="_Toc15058867"/>
      <w:bookmarkStart w:id="347" w:name="_Toc179632568"/>
      <w:bookmarkStart w:id="348" w:name="_Toc246996195"/>
      <w:bookmarkStart w:id="349" w:name="_Toc35424908"/>
      <w:bookmarkStart w:id="350" w:name="_Toc152042326"/>
      <w:bookmarkStart w:id="351" w:name="_Toc246996938"/>
      <w:bookmarkStart w:id="352" w:name="_Toc152045550"/>
      <w:bookmarkStart w:id="353" w:name="_Toc324404836"/>
      <w:bookmarkStart w:id="354" w:name="_Toc144974518"/>
      <w:bookmarkStart w:id="355" w:name="_Toc296602440"/>
      <w:bookmarkStart w:id="356" w:name="_Toc506107289"/>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19037"/>
      <w:bookmarkStart w:id="358" w:name="_Toc15058868"/>
      <w:bookmarkStart w:id="359" w:name="_Toc296602442"/>
      <w:bookmarkStart w:id="360" w:name="_Toc78803344"/>
      <w:bookmarkStart w:id="361" w:name="_Toc324404837"/>
      <w:bookmarkStart w:id="362" w:name="_Toc35424909"/>
      <w:bookmarkStart w:id="363" w:name="_Toc506107290"/>
      <w:bookmarkStart w:id="364" w:name="_Toc35425075"/>
      <w:bookmarkStart w:id="365" w:name="_Toc247085711"/>
      <w:bookmarkStart w:id="366" w:name="_Toc179632571"/>
      <w:bookmarkStart w:id="367" w:name="_Toc246996197"/>
      <w:bookmarkStart w:id="368" w:name="_Toc144974521"/>
      <w:bookmarkStart w:id="369" w:name="_Toc246996940"/>
      <w:bookmarkStart w:id="370" w:name="_Toc152045553"/>
      <w:bookmarkStart w:id="371" w:name="_Toc152042329"/>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199"/>
      <w:bookmarkStart w:id="373" w:name="_Toc246996942"/>
      <w:bookmarkStart w:id="374" w:name="_Toc152042331"/>
      <w:bookmarkStart w:id="375" w:name="_Toc152045555"/>
      <w:bookmarkStart w:id="376" w:name="_Toc144974523"/>
      <w:bookmarkStart w:id="377" w:name="_Toc179632573"/>
      <w:bookmarkStart w:id="378" w:name="_Toc324404838"/>
      <w:bookmarkStart w:id="379" w:name="_Toc24708571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506107291"/>
      <w:bookmarkStart w:id="382" w:name="_Toc15058869"/>
      <w:bookmarkStart w:id="383" w:name="_Toc19455"/>
      <w:bookmarkStart w:id="384" w:name="_Toc35424910"/>
      <w:bookmarkStart w:id="385" w:name="_Toc35425076"/>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35425077"/>
      <w:bookmarkStart w:id="388" w:name="_Toc78803346"/>
      <w:bookmarkStart w:id="389" w:name="_Toc35424911"/>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投标人在投标文件编制、签章、上传过程中如有任何操作的疑问请及时联系技术支持，电话：400928009-5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78803347"/>
      <w:bookmarkStart w:id="392" w:name="_Toc152045558"/>
      <w:bookmarkStart w:id="393" w:name="_Toc246996945"/>
      <w:bookmarkStart w:id="394" w:name="_Toc152042334"/>
      <w:bookmarkStart w:id="395" w:name="_Toc19572"/>
      <w:bookmarkStart w:id="396" w:name="_Toc35424914"/>
      <w:bookmarkStart w:id="397" w:name="_Toc247085716"/>
      <w:bookmarkStart w:id="398" w:name="_Toc506107294"/>
      <w:bookmarkStart w:id="399" w:name="_Toc35425080"/>
      <w:bookmarkStart w:id="400" w:name="_Toc15058873"/>
      <w:bookmarkStart w:id="401" w:name="_Toc296602446"/>
      <w:bookmarkStart w:id="402" w:name="_Toc246996202"/>
      <w:bookmarkStart w:id="403" w:name="_Toc179632576"/>
      <w:bookmarkStart w:id="404" w:name="_Toc144974526"/>
      <w:bookmarkStart w:id="405" w:name="_Toc324404841"/>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15058874"/>
      <w:bookmarkStart w:id="407" w:name="_Toc35425081"/>
      <w:bookmarkStart w:id="408" w:name="_Toc506107295"/>
      <w:bookmarkStart w:id="409" w:name="_Toc152045559"/>
      <w:bookmarkStart w:id="410" w:name="_Toc152042335"/>
      <w:bookmarkStart w:id="411" w:name="_Toc144974527"/>
      <w:bookmarkStart w:id="412" w:name="_Toc324404842"/>
      <w:bookmarkStart w:id="413" w:name="_Toc246996203"/>
      <w:bookmarkStart w:id="414" w:name="_Toc246996946"/>
      <w:bookmarkStart w:id="415" w:name="_Toc78803348"/>
      <w:bookmarkStart w:id="416" w:name="_Toc35424915"/>
      <w:bookmarkStart w:id="417" w:name="_Toc247085717"/>
      <w:bookmarkStart w:id="418" w:name="_Toc179632577"/>
      <w:bookmarkStart w:id="419" w:name="_Toc29639"/>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44974528"/>
      <w:bookmarkStart w:id="421" w:name="_Toc506107296"/>
      <w:bookmarkStart w:id="422" w:name="_Toc152045560"/>
      <w:bookmarkStart w:id="423" w:name="_Toc35424916"/>
      <w:bookmarkStart w:id="424" w:name="_Toc152042336"/>
      <w:bookmarkStart w:id="425" w:name="_Toc247085718"/>
      <w:bookmarkStart w:id="426" w:name="_Toc246996947"/>
      <w:bookmarkStart w:id="427" w:name="_Toc13691"/>
      <w:bookmarkStart w:id="428" w:name="_Toc78803349"/>
      <w:bookmarkStart w:id="429" w:name="_Toc179632578"/>
      <w:bookmarkStart w:id="430" w:name="_Toc246996204"/>
      <w:bookmarkStart w:id="431" w:name="_Toc35425082"/>
      <w:bookmarkStart w:id="432" w:name="_Toc324404843"/>
      <w:bookmarkStart w:id="433" w:name="_Toc296602448"/>
      <w:bookmarkStart w:id="434" w:name="_Toc15058875"/>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152042337"/>
      <w:bookmarkStart w:id="436" w:name="_Toc35424917"/>
      <w:bookmarkStart w:id="437" w:name="_Toc35425083"/>
      <w:bookmarkStart w:id="438" w:name="_Toc296602449"/>
      <w:bookmarkStart w:id="439" w:name="_Toc506107297"/>
      <w:bookmarkStart w:id="440" w:name="_Toc179632579"/>
      <w:bookmarkStart w:id="441" w:name="_Toc32451"/>
      <w:bookmarkStart w:id="442" w:name="_Toc144974529"/>
      <w:bookmarkStart w:id="443" w:name="_Toc15058876"/>
      <w:bookmarkStart w:id="444" w:name="_Toc246996205"/>
      <w:bookmarkStart w:id="445" w:name="_Toc246996948"/>
      <w:bookmarkStart w:id="446" w:name="_Toc324404844"/>
      <w:bookmarkStart w:id="447" w:name="_Toc78803350"/>
      <w:bookmarkStart w:id="448" w:name="_Toc152045561"/>
      <w:bookmarkStart w:id="449" w:name="_Toc247085719"/>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52042338"/>
      <w:bookmarkStart w:id="456" w:name="_Toc20689"/>
      <w:bookmarkStart w:id="457" w:name="_Toc144974530"/>
      <w:bookmarkStart w:id="458" w:name="_Toc246996206"/>
      <w:bookmarkStart w:id="459" w:name="_Toc247085720"/>
      <w:bookmarkStart w:id="460" w:name="_Toc324404846"/>
      <w:bookmarkStart w:id="461" w:name="_Toc78803352"/>
      <w:bookmarkStart w:id="462" w:name="_Toc15058884"/>
      <w:bookmarkStart w:id="463" w:name="_Toc506107299"/>
      <w:bookmarkStart w:id="464" w:name="_Toc152045562"/>
      <w:bookmarkStart w:id="465" w:name="_Toc179632580"/>
      <w:bookmarkStart w:id="466" w:name="_Toc246996949"/>
      <w:bookmarkStart w:id="467" w:name="_Toc35425085"/>
      <w:bookmarkStart w:id="468" w:name="_Toc3542491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35424920"/>
      <w:bookmarkStart w:id="470" w:name="_Toc14249"/>
      <w:bookmarkStart w:id="471" w:name="_Toc296602452"/>
      <w:bookmarkStart w:id="472" w:name="_Toc246996207"/>
      <w:bookmarkStart w:id="473" w:name="_Toc324404847"/>
      <w:bookmarkStart w:id="474" w:name="_Toc144974531"/>
      <w:bookmarkStart w:id="475" w:name="_Toc78803353"/>
      <w:bookmarkStart w:id="476" w:name="_Toc152045563"/>
      <w:bookmarkStart w:id="477" w:name="_Toc35425086"/>
      <w:bookmarkStart w:id="478" w:name="_Toc152042339"/>
      <w:bookmarkStart w:id="479" w:name="_Toc247085721"/>
      <w:bookmarkStart w:id="480" w:name="_Toc506107300"/>
      <w:bookmarkStart w:id="481" w:name="_Toc179632581"/>
      <w:bookmarkStart w:id="482" w:name="_Toc246996950"/>
      <w:bookmarkStart w:id="483" w:name="_Toc15058885"/>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506107301"/>
      <w:bookmarkStart w:id="485" w:name="_Toc246996951"/>
      <w:bookmarkStart w:id="486" w:name="_Toc246996208"/>
      <w:bookmarkStart w:id="487" w:name="_Toc179632582"/>
      <w:bookmarkStart w:id="488" w:name="_Toc324404848"/>
      <w:bookmarkStart w:id="489" w:name="_Toc296602453"/>
      <w:bookmarkStart w:id="490" w:name="_Toc35425087"/>
      <w:bookmarkStart w:id="491" w:name="_Toc35424921"/>
      <w:bookmarkStart w:id="492" w:name="_Toc247085722"/>
      <w:bookmarkStart w:id="493" w:name="_Toc15058886"/>
      <w:bookmarkStart w:id="494" w:name="_Toc152042340"/>
      <w:bookmarkStart w:id="495" w:name="_Toc152045564"/>
      <w:bookmarkStart w:id="496" w:name="_Toc78803354"/>
      <w:bookmarkStart w:id="497" w:name="_Toc144974532"/>
      <w:bookmarkStart w:id="498" w:name="_Toc12948"/>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247085723"/>
      <w:bookmarkStart w:id="500" w:name="_Toc144974533"/>
      <w:bookmarkStart w:id="501" w:name="_Toc152042341"/>
      <w:bookmarkStart w:id="502" w:name="_Toc506107302"/>
      <w:bookmarkStart w:id="503" w:name="_Toc324404849"/>
      <w:bookmarkStart w:id="504" w:name="_Toc35425088"/>
      <w:bookmarkStart w:id="505" w:name="_Toc78803355"/>
      <w:bookmarkStart w:id="506" w:name="_Toc15058887"/>
      <w:bookmarkStart w:id="507" w:name="_Toc296602454"/>
      <w:bookmarkStart w:id="508" w:name="_Toc179632583"/>
      <w:bookmarkStart w:id="509" w:name="_Toc246996209"/>
      <w:bookmarkStart w:id="510" w:name="_Toc14892"/>
      <w:bookmarkStart w:id="511" w:name="_Toc152045565"/>
      <w:bookmarkStart w:id="512" w:name="_Toc246996952"/>
      <w:bookmarkStart w:id="513" w:name="_Toc3542492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79632584"/>
      <w:bookmarkStart w:id="515" w:name="_Toc247085724"/>
      <w:bookmarkStart w:id="516" w:name="_Toc152045566"/>
      <w:bookmarkStart w:id="517" w:name="_Toc144974534"/>
      <w:bookmarkStart w:id="518" w:name="_Toc246996210"/>
      <w:bookmarkStart w:id="519" w:name="_Toc324404850"/>
      <w:bookmarkStart w:id="520" w:name="_Toc246996953"/>
      <w:bookmarkStart w:id="521" w:name="_Toc152042342"/>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26182"/>
      <w:bookmarkStart w:id="523" w:name="_Toc78803356"/>
      <w:bookmarkStart w:id="524" w:name="_Toc15058888"/>
      <w:bookmarkStart w:id="525" w:name="_Toc506107303"/>
      <w:bookmarkStart w:id="526" w:name="_Toc35425089"/>
      <w:bookmarkStart w:id="527" w:name="_Toc3542492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60061472"/>
      <w:bookmarkStart w:id="529" w:name="_Toc324404852"/>
      <w:bookmarkStart w:id="530" w:name="_Toc15058890"/>
      <w:bookmarkStart w:id="531" w:name="_Toc95223374"/>
      <w:bookmarkStart w:id="532" w:name="_Toc83301726"/>
      <w:bookmarkStart w:id="533" w:name="_Toc506107305"/>
      <w:bookmarkStart w:id="534" w:name="_Toc296602457"/>
      <w:bookmarkStart w:id="535" w:name="_Toc4204"/>
      <w:bookmarkStart w:id="536" w:name="_Toc35425093"/>
      <w:bookmarkStart w:id="537" w:name="_Toc152045568"/>
      <w:bookmarkStart w:id="538" w:name="_Toc296602458"/>
      <w:bookmarkStart w:id="539" w:name="_Toc179632586"/>
      <w:bookmarkStart w:id="540" w:name="_Toc35424927"/>
      <w:bookmarkStart w:id="541" w:name="_Toc14692"/>
      <w:bookmarkStart w:id="542" w:name="_Toc246996955"/>
      <w:bookmarkStart w:id="543" w:name="_Toc247085726"/>
      <w:bookmarkStart w:id="544" w:name="_Toc78803360"/>
      <w:bookmarkStart w:id="545" w:name="_Toc152042344"/>
      <w:bookmarkStart w:id="546" w:name="_Toc246996212"/>
      <w:bookmarkStart w:id="547" w:name="_Toc324404853"/>
      <w:bookmarkStart w:id="548" w:name="_Toc506107306"/>
      <w:bookmarkStart w:id="549" w:name="_Toc144974536"/>
      <w:bookmarkStart w:id="550" w:name="_Toc15058891"/>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78803363"/>
      <w:bookmarkStart w:id="555" w:name="_Toc324404855"/>
      <w:bookmarkStart w:id="556" w:name="_Toc152042346"/>
      <w:bookmarkStart w:id="557" w:name="_Toc246996214"/>
      <w:bookmarkStart w:id="558" w:name="_Toc35425096"/>
      <w:bookmarkStart w:id="559" w:name="_Toc506107308"/>
      <w:bookmarkStart w:id="560" w:name="_Toc35424930"/>
      <w:bookmarkStart w:id="561" w:name="_Toc179632588"/>
      <w:bookmarkStart w:id="562" w:name="_Toc296602460"/>
      <w:bookmarkStart w:id="563" w:name="_Toc144974538"/>
      <w:bookmarkStart w:id="564" w:name="_Toc152045570"/>
      <w:bookmarkStart w:id="565" w:name="_Toc247085728"/>
      <w:bookmarkStart w:id="566" w:name="_Toc246996957"/>
      <w:bookmarkStart w:id="567" w:name="_Toc15058893"/>
      <w:bookmarkStart w:id="568" w:name="_Toc1101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95223378"/>
      <w:bookmarkStart w:id="573" w:name="_Toc296602459"/>
      <w:bookmarkStart w:id="574" w:name="_Toc60061476"/>
      <w:bookmarkStart w:id="575" w:name="_Toc144974537"/>
      <w:bookmarkStart w:id="576" w:name="_Toc324404854"/>
      <w:bookmarkStart w:id="577" w:name="_Toc15058892"/>
      <w:bookmarkStart w:id="578" w:name="_Toc152045569"/>
      <w:bookmarkStart w:id="579" w:name="_Toc506107307"/>
      <w:bookmarkStart w:id="580" w:name="_Toc246996213"/>
      <w:bookmarkStart w:id="581" w:name="_Toc179632587"/>
      <w:bookmarkStart w:id="582" w:name="_Toc152042345"/>
      <w:bookmarkStart w:id="583" w:name="_Toc83301730"/>
      <w:bookmarkStart w:id="584" w:name="_Toc246996956"/>
      <w:bookmarkStart w:id="585" w:name="_Toc247085727"/>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83301731"/>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95223381"/>
      <w:bookmarkStart w:id="590" w:name="_Toc152042347"/>
      <w:bookmarkStart w:id="591" w:name="_Toc144974539"/>
      <w:bookmarkStart w:id="592" w:name="_Toc152045571"/>
      <w:bookmarkStart w:id="593" w:name="_Toc179632589"/>
      <w:bookmarkStart w:id="594" w:name="_Toc60061478"/>
      <w:bookmarkStart w:id="595" w:name="_Toc83301732"/>
      <w:bookmarkStart w:id="596" w:name="_Toc26974"/>
      <w:bookmarkStart w:id="597" w:name="_Toc31686"/>
      <w:bookmarkStart w:id="598" w:name="_Toc78803367"/>
      <w:bookmarkStart w:id="599" w:name="_Toc35424931"/>
      <w:bookmarkStart w:id="600" w:name="_Toc35425097"/>
      <w:bookmarkStart w:id="601" w:name="_Toc25375"/>
      <w:bookmarkStart w:id="602" w:name="_Toc324404864"/>
      <w:bookmarkStart w:id="603" w:name="_Toc35424939"/>
      <w:bookmarkStart w:id="604" w:name="_Toc506107317"/>
      <w:bookmarkStart w:id="605" w:name="_Toc35425105"/>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60061479"/>
      <w:bookmarkStart w:id="610" w:name="_Toc179632590"/>
      <w:bookmarkStart w:id="611" w:name="_Toc144974540"/>
      <w:bookmarkStart w:id="612" w:name="_Toc152042348"/>
      <w:bookmarkStart w:id="613" w:name="_Toc95223382"/>
      <w:bookmarkStart w:id="614" w:name="_Toc152045572"/>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5573"/>
      <w:bookmarkStart w:id="616" w:name="_Toc144974541"/>
      <w:bookmarkStart w:id="617" w:name="_Toc152042349"/>
      <w:bookmarkStart w:id="618" w:name="_Toc83301734"/>
      <w:bookmarkStart w:id="619" w:name="_Toc60061480"/>
      <w:bookmarkStart w:id="620" w:name="_Toc179632591"/>
      <w:bookmarkStart w:id="621" w:name="_Toc9522338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5575"/>
      <w:bookmarkStart w:id="623" w:name="_Toc144974543"/>
      <w:bookmarkStart w:id="624" w:name="_Toc246996962"/>
      <w:bookmarkStart w:id="625" w:name="_Toc247085733"/>
      <w:bookmarkStart w:id="626" w:name="_Toc78803368"/>
      <w:bookmarkStart w:id="627" w:name="_Toc35425098"/>
      <w:bookmarkStart w:id="628" w:name="_Toc179632593"/>
      <w:bookmarkStart w:id="629" w:name="_Toc324404857"/>
      <w:bookmarkStart w:id="630" w:name="_Toc246996219"/>
      <w:bookmarkStart w:id="631" w:name="_Toc152042351"/>
      <w:bookmarkStart w:id="632" w:name="_Toc15607"/>
      <w:bookmarkStart w:id="633" w:name="_Toc506107310"/>
      <w:bookmarkStart w:id="634" w:name="_Toc296602462"/>
      <w:bookmarkStart w:id="635" w:name="_Toc296590983"/>
      <w:bookmarkStart w:id="636" w:name="_Toc15058895"/>
      <w:bookmarkStart w:id="637" w:name="_Toc2855"/>
      <w:bookmarkStart w:id="638" w:name="_Toc3542493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35425099"/>
      <w:bookmarkStart w:id="640" w:name="_Toc144974544"/>
      <w:bookmarkStart w:id="641" w:name="_Toc152042352"/>
      <w:bookmarkStart w:id="642" w:name="_Toc324404858"/>
      <w:bookmarkStart w:id="643" w:name="_Toc32177"/>
      <w:bookmarkStart w:id="644" w:name="_Toc35424933"/>
      <w:bookmarkStart w:id="645" w:name="_Toc15058896"/>
      <w:bookmarkStart w:id="646" w:name="_Toc152045576"/>
      <w:bookmarkStart w:id="647" w:name="_Toc246996220"/>
      <w:bookmarkStart w:id="648" w:name="_Toc506107311"/>
      <w:bookmarkStart w:id="649" w:name="_Toc78803369"/>
      <w:bookmarkStart w:id="650" w:name="_Toc19779"/>
      <w:bookmarkStart w:id="651" w:name="_Toc179632594"/>
      <w:bookmarkStart w:id="652" w:name="_Toc246996963"/>
      <w:bookmarkStart w:id="653" w:name="_Toc296602463"/>
      <w:bookmarkStart w:id="654" w:name="_Toc24708573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44974545"/>
      <w:bookmarkStart w:id="656" w:name="_Toc506107312"/>
      <w:bookmarkStart w:id="657" w:name="_Toc152045577"/>
      <w:bookmarkStart w:id="658" w:name="_Toc35424934"/>
      <w:bookmarkStart w:id="659" w:name="_Toc152042353"/>
      <w:bookmarkStart w:id="660" w:name="_Toc246996964"/>
      <w:bookmarkStart w:id="661" w:name="_Toc324404859"/>
      <w:bookmarkStart w:id="662" w:name="_Toc179632595"/>
      <w:bookmarkStart w:id="663" w:name="_Toc246996221"/>
      <w:bookmarkStart w:id="664" w:name="_Toc12564"/>
      <w:bookmarkStart w:id="665" w:name="_Toc296602464"/>
      <w:bookmarkStart w:id="666" w:name="_Toc15058897"/>
      <w:bookmarkStart w:id="667" w:name="_Toc247085735"/>
      <w:bookmarkStart w:id="668" w:name="_Toc13043"/>
      <w:bookmarkStart w:id="669" w:name="_Toc35425100"/>
      <w:bookmarkStart w:id="670" w:name="_Toc78803370"/>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324404860"/>
      <w:bookmarkStart w:id="672" w:name="_Toc18329"/>
      <w:bookmarkStart w:id="673" w:name="_Toc179632596"/>
      <w:bookmarkStart w:id="674" w:name="_Toc246996222"/>
      <w:bookmarkStart w:id="675" w:name="_Toc247085736"/>
      <w:bookmarkStart w:id="676" w:name="_Toc152042354"/>
      <w:bookmarkStart w:id="677" w:name="_Toc35424935"/>
      <w:bookmarkStart w:id="678" w:name="_Toc15058898"/>
      <w:bookmarkStart w:id="679" w:name="_Toc152045578"/>
      <w:bookmarkStart w:id="680" w:name="_Toc506107313"/>
      <w:bookmarkStart w:id="681" w:name="_Toc32214"/>
      <w:bookmarkStart w:id="682" w:name="_Toc78803371"/>
      <w:bookmarkStart w:id="683" w:name="_Toc296602465"/>
      <w:bookmarkStart w:id="684" w:name="_Toc35425101"/>
      <w:bookmarkStart w:id="685" w:name="_Toc246996965"/>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79632597"/>
      <w:bookmarkStart w:id="689" w:name="_Toc23607"/>
      <w:bookmarkStart w:id="690" w:name="_Toc2811"/>
      <w:bookmarkStart w:id="691" w:name="_Toc296602466"/>
      <w:bookmarkStart w:id="692" w:name="_Toc78803372"/>
      <w:bookmarkStart w:id="693" w:name="_Toc247085737"/>
      <w:bookmarkStart w:id="694" w:name="_Toc506107314"/>
      <w:bookmarkStart w:id="695" w:name="_Toc324404861"/>
      <w:bookmarkStart w:id="696" w:name="_Toc15058899"/>
      <w:bookmarkStart w:id="697" w:name="_Toc35425102"/>
      <w:bookmarkStart w:id="698" w:name="_Toc35424936"/>
      <w:bookmarkStart w:id="699" w:name="_Toc152045579"/>
      <w:bookmarkStart w:id="700" w:name="_Toc152042356"/>
      <w:bookmarkStart w:id="701" w:name="_Toc246996223"/>
      <w:bookmarkStart w:id="702" w:name="_Toc246996966"/>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24404862"/>
      <w:bookmarkStart w:id="704" w:name="_Toc16463"/>
      <w:bookmarkStart w:id="705" w:name="_Toc35424937"/>
      <w:bookmarkStart w:id="706" w:name="_Toc144974547"/>
      <w:bookmarkStart w:id="707" w:name="_Toc246996967"/>
      <w:bookmarkStart w:id="708" w:name="_Toc78803373"/>
      <w:bookmarkStart w:id="709" w:name="_Toc35425103"/>
      <w:bookmarkStart w:id="710" w:name="_Toc152045580"/>
      <w:bookmarkStart w:id="711" w:name="_Toc179632598"/>
      <w:bookmarkStart w:id="712" w:name="_Toc20669"/>
      <w:bookmarkStart w:id="713" w:name="_Toc15058900"/>
      <w:bookmarkStart w:id="714" w:name="_Toc247085738"/>
      <w:bookmarkStart w:id="715" w:name="_Toc31643"/>
      <w:bookmarkStart w:id="716" w:name="_Toc506107315"/>
      <w:bookmarkStart w:id="717" w:name="_Toc246996224"/>
      <w:bookmarkStart w:id="718" w:name="_Toc15204235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10676"/>
      <w:bookmarkStart w:id="721" w:name="_Toc78803375"/>
      <w:bookmarkStart w:id="722"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339E13A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bookmarkStart w:id="723" w:name="_Toc15058903"/>
      <w:bookmarkStart w:id="724" w:name="_Toc35424940"/>
      <w:bookmarkStart w:id="725" w:name="_Toc35425106"/>
      <w:bookmarkStart w:id="726" w:name="_Toc324404865"/>
      <w:bookmarkStart w:id="727" w:name="_Toc506107318"/>
      <w:r>
        <w:rPr>
          <w:rFonts w:hint="eastAsia" w:ascii="宋体" w:hAnsi="宋体" w:eastAsia="宋体" w:cs="宋体"/>
          <w:color w:val="000000"/>
          <w:kern w:val="2"/>
          <w:sz w:val="21"/>
          <w:szCs w:val="21"/>
          <w:highlight w:val="none"/>
          <w:lang w:val="en-US" w:eastAsia="zh-CN" w:bidi="ar"/>
        </w:rPr>
        <w:t>先对解密成功的投标人报价按计算标准计算得分后汇总，总得分按照从高到低进行排序（如总得分相等，以投标报价低的优先，投标报价仍相等，由评标委员会或招标人随机抽取确定排名，不得并列）。对排序前三名的投标人资信、技术、商务标文件进行评审并确定中标候选人。若排序前三名的投标人资信或技术或商务标文件评审不通过，则按得分排序递补</w:t>
      </w:r>
      <w:r>
        <w:rPr>
          <w:rFonts w:hint="eastAsia" w:ascii="宋体" w:hAnsi="宋体" w:eastAsia="宋体" w:cs="宋体"/>
          <w:b/>
          <w:bCs w:val="0"/>
          <w:color w:val="000000"/>
          <w:kern w:val="2"/>
          <w:sz w:val="21"/>
          <w:szCs w:val="21"/>
          <w:highlight w:val="none"/>
          <w:lang w:val="en-US" w:eastAsia="zh-CN" w:bidi="ar"/>
        </w:rPr>
        <w:t>至3家</w:t>
      </w:r>
      <w:r>
        <w:rPr>
          <w:rFonts w:hint="eastAsia" w:ascii="宋体" w:hAnsi="宋体" w:eastAsia="宋体" w:cs="宋体"/>
          <w:color w:val="000000"/>
          <w:kern w:val="2"/>
          <w:sz w:val="21"/>
          <w:szCs w:val="21"/>
          <w:highlight w:val="none"/>
          <w:lang w:val="en-US" w:eastAsia="zh-CN" w:bidi="ar"/>
        </w:rPr>
        <w:t>投标人进行资信、技术、商务文件进行评审。</w:t>
      </w:r>
    </w:p>
    <w:p w14:paraId="1D8DE4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cs="Times New Roman"/>
          <w:b/>
          <w:bCs/>
          <w:color w:val="000000"/>
          <w:kern w:val="2"/>
          <w:sz w:val="28"/>
          <w:szCs w:val="28"/>
          <w:highlight w:val="none"/>
        </w:rPr>
      </w:pPr>
      <w:r>
        <w:rPr>
          <w:rFonts w:hint="eastAsia" w:ascii="宋体" w:hAnsi="宋体" w:eastAsia="宋体" w:cs="宋体"/>
          <w:b/>
          <w:bCs/>
          <w:color w:val="000000"/>
          <w:kern w:val="2"/>
          <w:sz w:val="28"/>
          <w:szCs w:val="28"/>
          <w:highlight w:val="none"/>
          <w:lang w:val="en-US" w:eastAsia="zh-CN" w:bidi="ar"/>
        </w:rPr>
        <w:t>（一）得分计算</w:t>
      </w:r>
    </w:p>
    <w:tbl>
      <w:tblPr>
        <w:tblStyle w:val="4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6"/>
        <w:gridCol w:w="7685"/>
      </w:tblGrid>
      <w:tr w14:paraId="3A5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5118AC5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条款号</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3D0795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计算标准</w:t>
            </w:r>
          </w:p>
        </w:tc>
      </w:tr>
      <w:tr w14:paraId="630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14:paraId="6A27287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报价评分</w:t>
            </w:r>
          </w:p>
          <w:p w14:paraId="0C7FB3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（100分）</w:t>
            </w:r>
          </w:p>
        </w:tc>
        <w:tc>
          <w:tcPr>
            <w:tcW w:w="7685" w:type="dxa"/>
            <w:tcBorders>
              <w:top w:val="single" w:color="auto" w:sz="4" w:space="0"/>
              <w:left w:val="single" w:color="auto" w:sz="4" w:space="0"/>
              <w:bottom w:val="single" w:color="auto" w:sz="4" w:space="0"/>
              <w:right w:val="single" w:color="auto" w:sz="4" w:space="0"/>
            </w:tcBorders>
            <w:shd w:val="clear" w:color="auto" w:fill="auto"/>
            <w:vAlign w:val="center"/>
          </w:tcPr>
          <w:p w14:paraId="5A52CBC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得分按下列步骤计算：</w:t>
            </w:r>
          </w:p>
          <w:p w14:paraId="4600B3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第一步：计算B值。</w:t>
            </w:r>
          </w:p>
          <w:p w14:paraId="43E79B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①本项目T取值为50。</w:t>
            </w:r>
          </w:p>
          <w:p w14:paraId="5AAB0A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②投标报价不超过A值的投标人数量为M。</w:t>
            </w:r>
          </w:p>
          <w:p w14:paraId="7F05B14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③若M 未超过 T 时，B值为符合上述条件的M个投标人投标报价的算术平均值。</w:t>
            </w:r>
          </w:p>
          <w:p w14:paraId="3990DF3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④若M 超过 T 时，B值为符合上述条件的M个投标人投标报价中去除(M-T)/2【M-T 为奇数时，则为(M-T+1)/2】个最高价和(M-T)/2【M-T为奇数时，则为(M-T-1)/2】个最低价后，剩余有效投标报价的算术平均值（如去高去低的最后一名存在报价相同的，则通过随机抽取确定被去除的投标人。只保留T个投标人的投标报价）。</w:t>
            </w:r>
          </w:p>
          <w:p w14:paraId="4699E5D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第二步：计算评标基准价F值。</w:t>
            </w:r>
          </w:p>
          <w:p w14:paraId="23FA3A8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①F=B×（1-K），其中K为调整系数，K的取值为-0.5%（1号），0%（2号），0.5%（3号），1.0%（4号），1.5%（5号）。</w:t>
            </w:r>
          </w:p>
          <w:p w14:paraId="25F4000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第三步：计算报价偏差率。</w:t>
            </w:r>
          </w:p>
          <w:p w14:paraId="587E8F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①偏差率=|（投标报价-评标基准价）/评标基准价|×100%</w:t>
            </w:r>
          </w:p>
          <w:p w14:paraId="4CC7269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第四步：计算报价得分</w:t>
            </w:r>
          </w:p>
          <w:p w14:paraId="418C901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①投标报价等于评标基准价的得满分。</w:t>
            </w:r>
          </w:p>
          <w:p w14:paraId="3B06645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②投标报价高于评标基准价的，投标报价得分=报价满分值-偏差率×100×1</w:t>
            </w:r>
          </w:p>
          <w:p w14:paraId="367CE39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③投标报价低于评标基准价的，投标报价得分=报价满分值-偏差率×100×0.5</w:t>
            </w:r>
          </w:p>
          <w:p w14:paraId="6A11EFDE">
            <w:pPr>
              <w:keepNext w:val="0"/>
              <w:keepLines w:val="0"/>
              <w:widowControl w:val="0"/>
              <w:suppressLineNumbers w:val="0"/>
              <w:adjustRightInd w:val="0"/>
              <w:snapToGrid w:val="0"/>
              <w:spacing w:before="0" w:beforeAutospacing="0" w:after="0" w:afterAutospacing="0" w:line="560" w:lineRule="exact"/>
              <w:ind w:left="0" w:right="0"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注：计算过程中，B值、评标基准价F值、偏差率、报价得分均保留两位小数，小数点后第三位四舍五入。</w:t>
            </w:r>
          </w:p>
        </w:tc>
      </w:tr>
    </w:tbl>
    <w:p w14:paraId="33149AA1">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eastAsia" w:ascii="黑体" w:hAnsi="宋体" w:eastAsia="黑体" w:cs="黑体"/>
          <w:b/>
          <w:bCs w:val="0"/>
          <w:color w:val="000000"/>
          <w:kern w:val="2"/>
          <w:sz w:val="21"/>
          <w:szCs w:val="21"/>
          <w:highlight w:val="none"/>
        </w:rPr>
      </w:pPr>
      <w:r>
        <w:rPr>
          <w:rFonts w:hint="eastAsia" w:ascii="黑体" w:hAnsi="宋体" w:eastAsia="黑体" w:cs="黑体"/>
          <w:b/>
          <w:bCs w:val="0"/>
          <w:color w:val="000000"/>
          <w:kern w:val="2"/>
          <w:sz w:val="21"/>
          <w:szCs w:val="21"/>
          <w:highlight w:val="none"/>
          <w:lang w:val="en-US" w:eastAsia="zh-CN" w:bidi="ar"/>
        </w:rPr>
        <w:t>注：</w:t>
      </w:r>
      <w:r>
        <w:rPr>
          <w:rFonts w:hint="eastAsia" w:ascii="黑体" w:hAnsi="宋体" w:eastAsia="黑体" w:cs="黑体"/>
          <w:color w:val="000000"/>
          <w:kern w:val="2"/>
          <w:sz w:val="21"/>
          <w:szCs w:val="21"/>
          <w:highlight w:val="none"/>
          <w:lang w:val="en-US" w:eastAsia="zh-CN" w:bidi="ar"/>
        </w:rPr>
        <w:t>1、</w:t>
      </w:r>
      <w:r>
        <w:rPr>
          <w:rFonts w:hint="eastAsia" w:ascii="黑体" w:hAnsi="宋体" w:eastAsia="黑体" w:cs="黑体"/>
          <w:b/>
          <w:bCs/>
          <w:color w:val="000000"/>
          <w:kern w:val="2"/>
          <w:sz w:val="21"/>
          <w:szCs w:val="21"/>
          <w:highlight w:val="none"/>
          <w:lang w:val="en-US" w:eastAsia="zh-CN" w:bidi="ar"/>
        </w:rPr>
        <w:t>投标人总报价如超过A值，A值=</w:t>
      </w:r>
      <w:r>
        <w:rPr>
          <w:rFonts w:hint="eastAsia" w:ascii="黑体" w:hAnsi="宋体" w:eastAsia="黑体" w:cs="黑体"/>
          <w:b/>
          <w:bCs/>
          <w:color w:val="000000"/>
          <w:kern w:val="2"/>
          <w:sz w:val="21"/>
          <w:szCs w:val="21"/>
          <w:highlight w:val="none"/>
          <w:u w:val="single"/>
          <w:lang w:val="en-US" w:eastAsia="zh-CN" w:bidi="ar"/>
        </w:rPr>
        <w:t>最高投标限价×（1-J） +（暂列金额+暂估价）×1.09×J（其中</w:t>
      </w:r>
      <w:r>
        <w:rPr>
          <w:rFonts w:hint="eastAsia" w:ascii="黑体" w:hAnsi="宋体" w:eastAsia="黑体" w:cs="黑体"/>
          <w:b/>
          <w:bCs/>
          <w:color w:val="FF0000"/>
          <w:kern w:val="2"/>
          <w:sz w:val="21"/>
          <w:szCs w:val="21"/>
          <w:highlight w:val="none"/>
          <w:u w:val="single"/>
          <w:lang w:val="en-US" w:eastAsia="zh-CN" w:bidi="ar"/>
        </w:rPr>
        <w:t>J= 14 %，</w:t>
      </w:r>
      <w:r>
        <w:rPr>
          <w:rFonts w:hint="eastAsia" w:ascii="黑体" w:hAnsi="宋体" w:eastAsia="黑体" w:cs="黑体"/>
          <w:b/>
          <w:bCs/>
          <w:color w:val="000000"/>
          <w:kern w:val="2"/>
          <w:sz w:val="21"/>
          <w:szCs w:val="21"/>
          <w:highlight w:val="none"/>
          <w:u w:val="single"/>
          <w:lang w:val="en-US" w:eastAsia="zh-CN" w:bidi="ar"/>
        </w:rPr>
        <w:t xml:space="preserve">该值由招标人根据具体项目情况自行设定），则商务标不得分，且该投标报价不参与B值计算。 </w:t>
      </w:r>
    </w:p>
    <w:p w14:paraId="6ECAF714">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2、本表所称投标报价是指</w:t>
      </w:r>
      <w:r>
        <w:rPr>
          <w:rFonts w:hint="eastAsia" w:ascii="宋体" w:hAnsi="宋体" w:eastAsia="宋体" w:cs="宋体"/>
          <w:b/>
          <w:bCs w:val="0"/>
          <w:color w:val="000000"/>
          <w:kern w:val="2"/>
          <w:sz w:val="21"/>
          <w:szCs w:val="21"/>
          <w:highlight w:val="none"/>
          <w:lang w:val="en-US" w:eastAsia="zh-CN" w:bidi="ar"/>
        </w:rPr>
        <w:t>解密成功后开标记录表中投标人的报价</w:t>
      </w:r>
      <w:r>
        <w:rPr>
          <w:rFonts w:hint="eastAsia" w:ascii="宋体" w:hAnsi="宋体" w:eastAsia="宋体" w:cs="宋体"/>
          <w:color w:val="000000"/>
          <w:kern w:val="2"/>
          <w:sz w:val="21"/>
          <w:szCs w:val="21"/>
          <w:highlight w:val="none"/>
          <w:lang w:val="en-US" w:eastAsia="zh-CN" w:bidi="ar"/>
        </w:rPr>
        <w:t>，报价以元为单位，保留两位小数，小数点后第三位四舍五入。</w:t>
      </w:r>
    </w:p>
    <w:p w14:paraId="29E62D91">
      <w:pPr>
        <w:keepNext w:val="0"/>
        <w:keepLines w:val="0"/>
        <w:widowControl w:val="0"/>
        <w:suppressLineNumbers w:val="0"/>
        <w:adjustRightInd w:val="0"/>
        <w:snapToGrid w:val="0"/>
        <w:spacing w:before="0" w:beforeAutospacing="0" w:after="0" w:afterAutospacing="0" w:line="560" w:lineRule="exact"/>
        <w:ind w:left="0" w:right="0" w:firstLine="315" w:firstLineChars="15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3、K值（评标基准价系数）的抽取：招标人现场随机抽取K值，评标委员会根据抽取的K值计算F值。</w:t>
      </w:r>
    </w:p>
    <w:p w14:paraId="37875F83">
      <w:pPr>
        <w:keepNext w:val="0"/>
        <w:keepLines w:val="0"/>
        <w:widowControl w:val="0"/>
        <w:suppressLineNumbers w:val="0"/>
        <w:adjustRightInd w:val="0"/>
        <w:snapToGrid w:val="0"/>
        <w:spacing w:before="0" w:beforeAutospacing="0" w:after="0" w:afterAutospacing="0" w:line="560" w:lineRule="exact"/>
        <w:ind w:left="0" w:right="0" w:firstLine="316" w:firstLineChars="150"/>
        <w:jc w:val="both"/>
        <w:rPr>
          <w:rFonts w:hint="default"/>
          <w:highlight w:val="none"/>
          <w:lang w:val="en-US"/>
        </w:rPr>
      </w:pPr>
      <w:r>
        <w:rPr>
          <w:rFonts w:hint="eastAsia" w:ascii="宋体" w:hAnsi="宋体" w:eastAsia="宋体" w:cs="宋体"/>
          <w:b/>
          <w:bCs/>
          <w:color w:val="000000"/>
          <w:kern w:val="2"/>
          <w:sz w:val="21"/>
          <w:szCs w:val="21"/>
          <w:highlight w:val="none"/>
          <w:lang w:val="en-US" w:eastAsia="zh-CN" w:bidi="ar"/>
        </w:rPr>
        <w:t>4、评标办法中的评标基准价计算出来后，除数字计算错误外，其他情况均不再调整。</w:t>
      </w:r>
    </w:p>
    <w:p w14:paraId="663679ED">
      <w:pPr>
        <w:spacing w:beforeLines="50" w:afterLines="50" w:line="440" w:lineRule="exact"/>
        <w:jc w:val="center"/>
        <w:rPr>
          <w:rFonts w:hint="eastAsia" w:ascii="宋体" w:hAnsi="宋体" w:cs="宋体"/>
          <w:b/>
          <w:bCs/>
          <w:color w:val="auto"/>
          <w:sz w:val="28"/>
          <w:szCs w:val="22"/>
          <w:highlight w:val="none"/>
        </w:rPr>
      </w:pPr>
    </w:p>
    <w:p w14:paraId="2C0EA906">
      <w:pPr>
        <w:spacing w:beforeLines="50" w:afterLines="50" w:line="440" w:lineRule="exact"/>
        <w:jc w:val="center"/>
        <w:rPr>
          <w:rFonts w:hint="eastAsia" w:ascii="宋体" w:hAnsi="宋体" w:cs="宋体"/>
          <w:b/>
          <w:bCs/>
          <w:color w:val="auto"/>
          <w:sz w:val="28"/>
          <w:szCs w:val="22"/>
          <w:highlight w:val="none"/>
        </w:rPr>
      </w:pPr>
    </w:p>
    <w:p w14:paraId="5AAB9C2F">
      <w:pPr>
        <w:spacing w:beforeLines="50" w:afterLines="50" w:line="440" w:lineRule="exact"/>
        <w:jc w:val="center"/>
        <w:rPr>
          <w:rFonts w:hint="eastAsia" w:ascii="宋体" w:hAnsi="宋体" w:cs="宋体"/>
          <w:b/>
          <w:bCs/>
          <w:color w:val="auto"/>
          <w:sz w:val="28"/>
          <w:szCs w:val="22"/>
          <w:highlight w:val="none"/>
        </w:rPr>
      </w:pPr>
    </w:p>
    <w:p w14:paraId="4832DBA4">
      <w:pPr>
        <w:rPr>
          <w:rFonts w:hint="eastAsia" w:ascii="宋体" w:hAnsi="宋体" w:cs="宋体"/>
          <w:b/>
          <w:bCs/>
          <w:color w:val="auto"/>
          <w:sz w:val="28"/>
          <w:szCs w:val="22"/>
          <w:highlight w:val="none"/>
          <w:lang w:eastAsia="zh-CN"/>
        </w:rPr>
      </w:pPr>
      <w:r>
        <w:rPr>
          <w:rFonts w:hint="eastAsia" w:ascii="宋体" w:hAnsi="宋体" w:cs="宋体"/>
          <w:b/>
          <w:bCs/>
          <w:color w:val="auto"/>
          <w:sz w:val="28"/>
          <w:szCs w:val="22"/>
          <w:highlight w:val="none"/>
          <w:lang w:eastAsia="zh-CN"/>
        </w:rPr>
        <w:br w:type="page"/>
      </w:r>
    </w:p>
    <w:p w14:paraId="1680BB4F">
      <w:pPr>
        <w:spacing w:beforeLines="50" w:afterLines="50" w:line="440" w:lineRule="exact"/>
        <w:jc w:val="center"/>
        <w:rPr>
          <w:rFonts w:ascii="宋体" w:hAnsi="宋体" w:cs="宋体"/>
          <w:b/>
          <w:bCs/>
          <w:color w:val="auto"/>
          <w:sz w:val="28"/>
          <w:szCs w:val="22"/>
          <w:highlight w:val="none"/>
        </w:rPr>
      </w:pP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lang w:val="en-US" w:eastAsia="zh-CN"/>
        </w:rPr>
        <w:t>二</w:t>
      </w:r>
      <w:r>
        <w:rPr>
          <w:rFonts w:hint="eastAsia" w:ascii="宋体" w:hAnsi="宋体" w:cs="宋体"/>
          <w:b/>
          <w:bCs/>
          <w:color w:val="auto"/>
          <w:sz w:val="28"/>
          <w:szCs w:val="22"/>
          <w:highlight w:val="none"/>
          <w:lang w:eastAsia="zh-CN"/>
        </w:rPr>
        <w:t>）</w:t>
      </w:r>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项目管理机构</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78803377"/>
      <w:bookmarkStart w:id="729" w:name="_Toc35425108"/>
      <w:bookmarkStart w:id="730" w:name="_Toc15058909"/>
      <w:bookmarkStart w:id="731" w:name="_Toc324404867"/>
      <w:bookmarkStart w:id="732" w:name="_Toc35424942"/>
      <w:bookmarkStart w:id="733" w:name="_Toc12549"/>
      <w:bookmarkStart w:id="734" w:name="_Toc506107320"/>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78803378"/>
      <w:bookmarkStart w:id="736" w:name="_Toc35425109"/>
      <w:bookmarkStart w:id="737" w:name="_Toc324404868"/>
      <w:bookmarkStart w:id="738" w:name="_Toc35424943"/>
      <w:bookmarkStart w:id="739" w:name="_Toc506107321"/>
      <w:bookmarkStart w:id="740" w:name="_Toc15058910"/>
      <w:bookmarkStart w:id="741" w:name="_Toc15626"/>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10330"/>
      <w:bookmarkStart w:id="743" w:name="_Toc35425110"/>
      <w:bookmarkStart w:id="744" w:name="_Toc78803379"/>
      <w:bookmarkStart w:id="745" w:name="_Toc324404869"/>
      <w:bookmarkStart w:id="746" w:name="_Toc506107322"/>
      <w:bookmarkStart w:id="747" w:name="_Toc35424944"/>
      <w:bookmarkStart w:id="748"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4945"/>
      <w:bookmarkStart w:id="751" w:name="_Toc35425111"/>
      <w:bookmarkStart w:id="752" w:name="_Toc15058912"/>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1286"/>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w:t>
      </w:r>
      <w:r>
        <w:rPr>
          <w:rFonts w:hint="eastAsia" w:cs="Times New Roman"/>
          <w:b/>
          <w:color w:val="auto"/>
          <w:sz w:val="24"/>
          <w:szCs w:val="24"/>
          <w:highlight w:val="none"/>
          <w:lang w:val="en-US" w:eastAsia="zh-CN"/>
        </w:rPr>
        <w:t>技术标评审</w:t>
      </w:r>
    </w:p>
    <w:tbl>
      <w:tblPr>
        <w:tblStyle w:val="4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8"/>
        <w:gridCol w:w="1276"/>
        <w:gridCol w:w="675"/>
        <w:gridCol w:w="545"/>
        <w:gridCol w:w="2135"/>
        <w:gridCol w:w="4452"/>
      </w:tblGrid>
      <w:tr w14:paraId="303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2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D0C0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条款号</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4D889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评</w:t>
            </w:r>
            <w:bookmarkStart w:id="757" w:name="_Toc246996995"/>
            <w:r>
              <w:rPr>
                <w:rFonts w:hint="eastAsia" w:ascii="宋体" w:hAnsi="宋体" w:eastAsia="宋体" w:cs="宋体"/>
                <w:color w:val="000000"/>
                <w:kern w:val="2"/>
                <w:sz w:val="21"/>
                <w:szCs w:val="21"/>
                <w:highlight w:val="none"/>
                <w:lang w:val="en-US" w:eastAsia="zh-CN" w:bidi="ar"/>
              </w:rPr>
              <w:t>审因</w:t>
            </w:r>
            <w:bookmarkEnd w:id="757"/>
            <w:bookmarkStart w:id="758" w:name="_Toc60061510"/>
            <w:bookmarkEnd w:id="758"/>
            <w:r>
              <w:rPr>
                <w:rFonts w:hint="eastAsia" w:ascii="宋体" w:hAnsi="宋体" w:eastAsia="宋体" w:cs="宋体"/>
                <w:color w:val="000000"/>
                <w:kern w:val="2"/>
                <w:sz w:val="21"/>
                <w:szCs w:val="21"/>
                <w:highlight w:val="none"/>
                <w:lang w:val="en-US" w:eastAsia="zh-CN" w:bidi="ar"/>
              </w:rPr>
              <w:t>素</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9E200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评审标准</w:t>
            </w:r>
          </w:p>
        </w:tc>
      </w:tr>
      <w:tr w14:paraId="4F4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66660A2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1A10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形式评审</w:t>
            </w:r>
          </w:p>
          <w:p w14:paraId="4FEB3C9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标准</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9D4602">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投标人名称</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5A3D27B">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与营业执照、资质证书、安全生产许可证一致。</w:t>
            </w:r>
          </w:p>
        </w:tc>
      </w:tr>
      <w:tr w14:paraId="6A7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A55D6C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56D9F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68B1A">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投标文件格式</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D22691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符合第八章“投标文件格式”的要求，否则经评委会一致认定后</w:t>
            </w:r>
            <w:r>
              <w:rPr>
                <w:rFonts w:hint="default" w:ascii="Times New Roman" w:hAnsi="Times New Roman" w:eastAsia="宋体" w:cs="Times New Roman"/>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按照无效投标处理。</w:t>
            </w:r>
          </w:p>
        </w:tc>
      </w:tr>
      <w:tr w14:paraId="0C58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shd w:val="clear" w:color="auto" w:fill="auto"/>
            <w:vAlign w:val="center"/>
          </w:tcPr>
          <w:p w14:paraId="41F5CF3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91028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响应性评审标准（初步评审）</w:t>
            </w: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BBF235">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投标内容</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5B983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符合第一章“投标人须知”规定。</w:t>
            </w:r>
          </w:p>
        </w:tc>
      </w:tr>
      <w:tr w14:paraId="105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B42C3B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B25B2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502B0E">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权利义务</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97FBAA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符合第四章“合同条款及格式”规定。</w:t>
            </w:r>
          </w:p>
        </w:tc>
      </w:tr>
      <w:tr w14:paraId="3E1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116214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2788B2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9C493">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技术标准和要求</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4EF8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符合第七章“技术标准和要求”规定。</w:t>
            </w:r>
          </w:p>
        </w:tc>
      </w:tr>
      <w:tr w14:paraId="6C4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6E6DA7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49F450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响应性评审标准（符合性评审）</w:t>
            </w:r>
          </w:p>
        </w:tc>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7128F72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2D6B9A7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20E9B1F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584515F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196E400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p>
          <w:p w14:paraId="134DDB2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施工组织设计</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7110079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5CDEC6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工程概况</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242137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描述是否准确。</w:t>
            </w:r>
          </w:p>
        </w:tc>
      </w:tr>
      <w:tr w14:paraId="66B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C1BB1F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B4567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2D593DB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B53979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FB5449B">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主要施工方法</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BDCFD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3C9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5"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9FA70D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C96488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79E542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825537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171FFF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拟投入的主要物资计划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D036EB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投入的施工材料有详细计划且计划周密，数量、选型配置、进场数量、时间安排合理，满足施工需要。</w:t>
            </w:r>
          </w:p>
        </w:tc>
      </w:tr>
      <w:tr w14:paraId="0D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003A3AB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2E76876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6BB1CF0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FEE85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69C46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拟投入的主要施工机械、设备计划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90402C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投入的施工机械、设备、机具有详细计划且计划周密，设备数量、选型配置、进场数量、时间 合理、满足施工需要。</w:t>
            </w:r>
          </w:p>
        </w:tc>
      </w:tr>
      <w:tr w14:paraId="23D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BBEC32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18A228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67389D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1C0ACAC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B14F91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劳动力安排计划</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4AE4015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各主要施工工序应有详细周密的劳动力安排计划明细，有各工种劳动力安排计划。劳动力投入经济合理，满足施工需要。</w:t>
            </w:r>
          </w:p>
        </w:tc>
      </w:tr>
      <w:tr w14:paraId="7A5C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199A7BC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D2C22D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22EBA4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8131DE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6C3E2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确保工程质量的技术组织措施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76E6709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0F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D6B432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FA847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5D31E9A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5A52864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C9EE6A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确保安全生产的技术组织措施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375568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66D0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9"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71E7EDA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CA68D3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3DAA26C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23C9929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3042B43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确保工期的技术组织措施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6EBD14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7151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4"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E66234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844D33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4FCF79E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3E581D5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2D3690D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确保文明施工的技术组织措施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0247CEE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456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6743769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4F727E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16230D5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C52396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10</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69371D4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工程施工重点和难点及保证措施</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18758B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是否正确（本条内容须与前附表要求对应）。</w:t>
            </w:r>
          </w:p>
        </w:tc>
      </w:tr>
      <w:tr w14:paraId="69B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52A02BC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7C609E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94A0F1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34F73F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13768A6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危大工程安全管理（如有）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top"/>
          </w:tcPr>
          <w:p w14:paraId="635C254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701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D6E4A0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931DBC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46A535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6D9A508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712E0A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施工总平面布置图</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117534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应有施工总平面布置图，安排科学合理，符合本项目施工实际要求。</w:t>
            </w:r>
          </w:p>
        </w:tc>
      </w:tr>
      <w:tr w14:paraId="1CB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415C58C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65318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7827857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0619CA1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57C0600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施工组织设计整体</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303E77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针对性、完整性符合要求。</w:t>
            </w:r>
          </w:p>
        </w:tc>
      </w:tr>
      <w:tr w14:paraId="4B3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jc w:val="center"/>
        </w:trPr>
        <w:tc>
          <w:tcPr>
            <w:tcW w:w="908" w:type="dxa"/>
            <w:vMerge w:val="continue"/>
            <w:tcBorders>
              <w:top w:val="nil"/>
              <w:left w:val="single" w:color="auto" w:sz="4" w:space="0"/>
              <w:bottom w:val="single" w:color="auto" w:sz="4" w:space="0"/>
              <w:right w:val="single" w:color="auto" w:sz="4" w:space="0"/>
            </w:tcBorders>
            <w:shd w:val="clear" w:color="auto" w:fill="auto"/>
            <w:vAlign w:val="center"/>
          </w:tcPr>
          <w:p w14:paraId="3B4EB8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16D3A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675" w:type="dxa"/>
            <w:vMerge w:val="continue"/>
            <w:tcBorders>
              <w:top w:val="nil"/>
              <w:left w:val="single" w:color="auto" w:sz="4" w:space="0"/>
              <w:bottom w:val="single" w:color="auto" w:sz="4" w:space="0"/>
              <w:right w:val="single" w:color="auto" w:sz="4" w:space="0"/>
            </w:tcBorders>
            <w:shd w:val="clear" w:color="auto" w:fill="auto"/>
            <w:vAlign w:val="center"/>
          </w:tcPr>
          <w:p w14:paraId="01B4438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14:paraId="4DA9E4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14</w:t>
            </w:r>
          </w:p>
        </w:tc>
        <w:tc>
          <w:tcPr>
            <w:tcW w:w="2135" w:type="dxa"/>
            <w:tcBorders>
              <w:top w:val="single" w:color="auto" w:sz="4" w:space="0"/>
              <w:left w:val="single" w:color="auto" w:sz="4" w:space="0"/>
              <w:bottom w:val="single" w:color="auto" w:sz="4" w:space="0"/>
              <w:right w:val="single" w:color="auto" w:sz="4" w:space="0"/>
            </w:tcBorders>
            <w:shd w:val="clear" w:color="auto" w:fill="auto"/>
            <w:vAlign w:val="center"/>
          </w:tcPr>
          <w:p w14:paraId="4884AD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其他内容（如有）</w:t>
            </w:r>
          </w:p>
        </w:tc>
        <w:tc>
          <w:tcPr>
            <w:tcW w:w="4452" w:type="dxa"/>
            <w:tcBorders>
              <w:top w:val="single" w:color="auto" w:sz="4" w:space="0"/>
              <w:left w:val="single" w:color="auto" w:sz="4" w:space="0"/>
              <w:bottom w:val="single" w:color="auto" w:sz="4" w:space="0"/>
              <w:right w:val="single" w:color="auto" w:sz="4" w:space="0"/>
            </w:tcBorders>
            <w:shd w:val="clear" w:color="auto" w:fill="auto"/>
            <w:vAlign w:val="center"/>
          </w:tcPr>
          <w:p w14:paraId="2E82215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tc>
      </w:tr>
    </w:tbl>
    <w:p w14:paraId="65A1DC2A">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bookmarkStart w:id="759" w:name="_Toc179632607"/>
            <w:bookmarkStart w:id="760" w:name="_Toc35424947"/>
            <w:bookmarkStart w:id="761" w:name="_Toc152045589"/>
            <w:bookmarkStart w:id="762" w:name="_Toc247085747"/>
            <w:bookmarkStart w:id="763" w:name="_Toc78803381"/>
            <w:bookmarkStart w:id="764" w:name="_Toc246996975"/>
            <w:bookmarkStart w:id="765" w:name="_Toc152042366"/>
            <w:bookmarkStart w:id="766" w:name="_Toc506107324"/>
            <w:bookmarkStart w:id="767" w:name="_Toc6491"/>
            <w:bookmarkStart w:id="768" w:name="_Toc35425113"/>
            <w:bookmarkStart w:id="769" w:name="_Toc324404872"/>
            <w:bookmarkStart w:id="770" w:name="_Toc144974556"/>
            <w:bookmarkStart w:id="771" w:name="_Toc246996232"/>
            <w:bookmarkStart w:id="772" w:name="_Toc15058913"/>
            <w:r>
              <w:rPr>
                <w:rFonts w:hint="eastAsia" w:ascii="宋体" w:hAnsi="宋体" w:eastAsia="宋体" w:cs="宋体"/>
                <w:color w:val="000000"/>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与招标人发布的招标工程量清单（含需评审材料清单）排序一致，能有效导入计算机辅助评标系统。</w:t>
            </w:r>
          </w:p>
        </w:tc>
      </w:tr>
      <w:tr w14:paraId="3545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47B81B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3D70381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234A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62054D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spacing w:val="-6"/>
                <w:kern w:val="2"/>
                <w:sz w:val="21"/>
                <w:szCs w:val="21"/>
                <w:highlight w:val="none"/>
              </w:rPr>
            </w:pPr>
            <w:r>
              <w:rPr>
                <w:rFonts w:hint="eastAsia" w:ascii="宋体" w:hAnsi="宋体" w:eastAsia="宋体" w:cs="宋体"/>
                <w:color w:val="000000"/>
                <w:spacing w:val="-6"/>
                <w:kern w:val="2"/>
                <w:sz w:val="21"/>
                <w:szCs w:val="21"/>
                <w:highlight w:val="none"/>
                <w:lang w:val="en-US" w:eastAsia="zh-CN" w:bidi="ar"/>
              </w:rPr>
              <w:t>不得高于最高投标限价，也不得低于工程成本价。</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暂列金额、专业工程暂估价、分部分项工程材料及设备暂估价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与招标人发布的招标工程量清单一致。</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spacing w:val="-6"/>
                <w:kern w:val="2"/>
                <w:sz w:val="21"/>
                <w:szCs w:val="21"/>
                <w:highlight w:val="none"/>
              </w:rPr>
            </w:pPr>
            <w:r>
              <w:rPr>
                <w:rFonts w:hint="eastAsia" w:ascii="宋体" w:hAnsi="宋体" w:eastAsia="宋体" w:cs="宋体"/>
                <w:color w:val="000000"/>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投标报价低于本项目通过资信、技术评审且商务标初步评审合格的有效投标报价平均值10%以上。</w:t>
            </w:r>
          </w:p>
        </w:tc>
      </w:tr>
      <w:tr w14:paraId="1264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D836B1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8F261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45B4284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E92ECB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F54851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000000"/>
                <w:spacing w:val="-6"/>
                <w:kern w:val="2"/>
                <w:sz w:val="21"/>
                <w:szCs w:val="21"/>
                <w:highlight w:val="none"/>
                <w:lang w:val="en-US" w:eastAsia="zh-CN" w:bidi="ar"/>
              </w:rPr>
              <w:t>有效投标总报价平均值5%以上。</w:t>
            </w:r>
          </w:p>
        </w:tc>
      </w:tr>
      <w:tr w14:paraId="3CA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CE837F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7038E6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958D32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DA7ABE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人工工日单价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7613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不得低于招标人发布的最高投标限价中的人工工日单价</w:t>
            </w:r>
          </w:p>
        </w:tc>
      </w:tr>
      <w:tr w14:paraId="5EB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21E4B4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AD212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4369CC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810E3F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需评审材料数量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935120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需评审的主要材料消耗量低于最高投标限价相应材料数量的5%以上，且低于本项目通过资信、技术评审且商务标初步评审合格有效投标报价相应材料消耗量平均值的3%以上。</w:t>
            </w:r>
          </w:p>
        </w:tc>
      </w:tr>
      <w:tr w14:paraId="6127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340039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ECCCFB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15965A3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CAD0E4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施工机具使用费</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DE01CB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施工机具使用费低于本项目通过资信、技术评审且商务标初步评审合格有效投标报价施工机具使用费平均值的10%以上。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管理费和利润费率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管理费、利润投标费率低于0%。</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低于《关于调整我省现行建设工程计价依据增值税税率的通知》（皖造价〔2019〕7号）规定的费率。</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188C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1、缺漏项金额是指投标人漏计招标人发布的清单项目，按最高投标限价对应清单综合单价计算缺漏金额。</w:t>
      </w:r>
    </w:p>
    <w:p w14:paraId="128EA0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2、本表所述累计投标报价缺漏错总额占原投标报价格 5%以下者，视为投标人主动让利或包含在其他项目中，不修正总价，工程结算时亦不予调整。</w:t>
      </w:r>
    </w:p>
    <w:p w14:paraId="63B190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3、投标函报价与开标记录表中的投标总价、标书信息确认中的投标总价不一致的，商务标审查不合格。</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4、投标人（如投标人为联合体，联合体各方均需提供）的注册建造师必须满足相应建筑业企业资质标准要求，评标委员会在评审时，将对此进行评审。投标单位（如投标人为联合体，联合体各方均需提供）应在商务标文件中提供全国建筑市场监管公共服务平台(四库一平台)企业注册人员网页截图，未提供相关截图，按无效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3" w:name="_Toc324404873"/>
      <w:bookmarkStart w:id="774" w:name="_Toc15058914"/>
      <w:bookmarkStart w:id="775" w:name="_Toc78803382"/>
      <w:bookmarkStart w:id="776" w:name="_Toc35425114"/>
      <w:bookmarkStart w:id="777" w:name="_Toc506107325"/>
      <w:bookmarkStart w:id="778" w:name="_Toc11945"/>
      <w:bookmarkStart w:id="779" w:name="_Toc35424948"/>
      <w:bookmarkStart w:id="780" w:name="_Toc246996233"/>
      <w:bookmarkStart w:id="781" w:name="_Toc144974557"/>
      <w:bookmarkStart w:id="782" w:name="_Toc152045590"/>
      <w:bookmarkStart w:id="783" w:name="_Toc152042367"/>
      <w:bookmarkStart w:id="784" w:name="_Toc247085748"/>
      <w:bookmarkStart w:id="785" w:name="_Toc179632608"/>
      <w:bookmarkStart w:id="786" w:name="_Toc296602478"/>
      <w:bookmarkStart w:id="787" w:name="_Toc246996976"/>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52E88011">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评标委员会登录全国建筑市场监管公共服务平台 ( 四库一平台)https://jzsc.mohurd.gov.cn/home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21901D4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①市政公用工程施工总承包特级资质企业：注册一级建造师50人以上。</w:t>
      </w:r>
    </w:p>
    <w:p w14:paraId="5AD412F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②市政公用工程施工总承包壹级资质企业：市政公用工程专业一级注册建造师不少于12人。</w:t>
      </w:r>
    </w:p>
    <w:p w14:paraId="68CE4206">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③市政公用工程施工总承包贰级、叁级资质企业：市政公用工程专业注册建造师不少于5人。</w:t>
      </w:r>
    </w:p>
    <w:p w14:paraId="5CAAE8F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中标候选人的注册建造师不满足上述要求的，评标委员会对该投标不予认可，并将该情形报送相关行政主管部门。中标候选人依次替补，评标委员会再次对替补单位进行核查。</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3"/>
      <w:bookmarkEnd w:id="774"/>
      <w:bookmarkEnd w:id="775"/>
      <w:bookmarkEnd w:id="776"/>
      <w:bookmarkEnd w:id="777"/>
      <w:bookmarkEnd w:id="778"/>
      <w:bookmarkEnd w:id="779"/>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8" w:name="_Toc78803384"/>
      <w:bookmarkStart w:id="789" w:name="_Toc35425115"/>
      <w:bookmarkStart w:id="790" w:name="_Toc506107326"/>
      <w:bookmarkStart w:id="791" w:name="_Toc15058915"/>
      <w:bookmarkStart w:id="792" w:name="_Toc17377"/>
      <w:bookmarkStart w:id="793" w:name="_Toc324404874"/>
      <w:bookmarkStart w:id="794"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8"/>
      <w:bookmarkEnd w:id="789"/>
      <w:bookmarkEnd w:id="790"/>
      <w:bookmarkEnd w:id="791"/>
      <w:bookmarkEnd w:id="792"/>
      <w:bookmarkEnd w:id="793"/>
      <w:bookmarkEnd w:id="794"/>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5" w:name="_Toc15058916"/>
      <w:bookmarkStart w:id="796" w:name="_Toc35424950"/>
      <w:bookmarkStart w:id="797" w:name="_Toc27389"/>
      <w:bookmarkStart w:id="798" w:name="_Toc35425116"/>
      <w:bookmarkStart w:id="799" w:name="_Toc78803385"/>
      <w:r>
        <w:rPr>
          <w:rFonts w:hint="eastAsia" w:ascii="宋体" w:hAnsi="宋体" w:eastAsia="宋体" w:cs="宋体"/>
          <w:color w:val="auto"/>
          <w:highlight w:val="none"/>
        </w:rPr>
        <w:t>3.1评标准备工作</w:t>
      </w:r>
      <w:bookmarkEnd w:id="795"/>
      <w:bookmarkEnd w:id="796"/>
      <w:bookmarkEnd w:id="797"/>
      <w:bookmarkEnd w:id="798"/>
      <w:bookmarkEnd w:id="799"/>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00" w:name="_Toc35425117"/>
      <w:bookmarkStart w:id="801" w:name="_Toc15058917"/>
      <w:bookmarkStart w:id="802" w:name="_Toc1299"/>
      <w:bookmarkStart w:id="803" w:name="_Toc24650"/>
      <w:bookmarkStart w:id="804" w:name="_Toc78803386"/>
      <w:bookmarkStart w:id="805" w:name="_Toc35424951"/>
      <w:bookmarkStart w:id="806" w:name="_Toc35424954"/>
      <w:bookmarkStart w:id="807" w:name="_Toc35425120"/>
      <w:bookmarkStart w:id="808" w:name="_Toc12200"/>
      <w:bookmarkStart w:id="809" w:name="_Toc15058919"/>
      <w:bookmarkStart w:id="810" w:name="_Toc506107327"/>
      <w:bookmarkStart w:id="811" w:name="_Toc324404875"/>
      <w:r>
        <w:rPr>
          <w:rFonts w:hint="eastAsia" w:ascii="宋体" w:hAnsi="宋体" w:eastAsia="宋体" w:cs="宋体"/>
          <w:color w:val="auto"/>
          <w:highlight w:val="none"/>
        </w:rPr>
        <w:t>3.2</w:t>
      </w:r>
      <w:bookmarkEnd w:id="800"/>
      <w:bookmarkEnd w:id="801"/>
      <w:bookmarkEnd w:id="802"/>
      <w:bookmarkEnd w:id="803"/>
      <w:bookmarkEnd w:id="804"/>
      <w:bookmarkEnd w:id="805"/>
      <w:bookmarkStart w:id="812" w:name="_Toc35424952"/>
      <w:bookmarkStart w:id="813" w:name="_Toc17468"/>
      <w:bookmarkStart w:id="814" w:name="_Toc15058918"/>
      <w:bookmarkStart w:id="815" w:name="_Toc11990"/>
      <w:bookmarkStart w:id="816" w:name="_Toc35425118"/>
      <w:bookmarkStart w:id="817" w:name="_Toc78803387"/>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12"/>
      <w:bookmarkEnd w:id="813"/>
      <w:bookmarkEnd w:id="814"/>
      <w:bookmarkEnd w:id="815"/>
      <w:bookmarkEnd w:id="816"/>
      <w:bookmarkEnd w:id="817"/>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8" w:name="_Toc78803388"/>
      <w:bookmarkStart w:id="819" w:name="_Toc35425119"/>
      <w:bookmarkStart w:id="820" w:name="_Toc35424953"/>
      <w:bookmarkStart w:id="821" w:name="_Toc26895"/>
      <w:bookmarkStart w:id="822" w:name="_Toc18087"/>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8"/>
      <w:bookmarkEnd w:id="819"/>
      <w:bookmarkEnd w:id="820"/>
      <w:bookmarkEnd w:id="821"/>
      <w:bookmarkEnd w:id="822"/>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3" w:name="_Toc78803389"/>
      <w:r>
        <w:rPr>
          <w:rFonts w:hint="eastAsia" w:ascii="宋体" w:hAnsi="宋体" w:eastAsia="宋体" w:cs="宋体"/>
          <w:color w:val="auto"/>
          <w:highlight w:val="none"/>
        </w:rPr>
        <w:t>4.评审内容</w:t>
      </w:r>
      <w:bookmarkEnd w:id="806"/>
      <w:bookmarkEnd w:id="807"/>
      <w:bookmarkEnd w:id="808"/>
      <w:bookmarkEnd w:id="809"/>
      <w:bookmarkEnd w:id="810"/>
      <w:bookmarkEnd w:id="811"/>
      <w:bookmarkEnd w:id="823"/>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24" w:name="_Toc9630"/>
      <w:bookmarkStart w:id="825" w:name="_Toc78803390"/>
      <w:r>
        <w:rPr>
          <w:rFonts w:hint="eastAsia" w:ascii="宋体" w:hAnsi="宋体" w:eastAsia="宋体" w:cs="宋体"/>
          <w:color w:val="auto"/>
          <w:highlight w:val="none"/>
        </w:rPr>
        <w:t>4.1</w:t>
      </w:r>
      <w:bookmarkEnd w:id="824"/>
      <w:bookmarkEnd w:id="825"/>
      <w:bookmarkStart w:id="826" w:name="_Toc35424957"/>
      <w:bookmarkStart w:id="827" w:name="_Toc506107328"/>
      <w:bookmarkStart w:id="828" w:name="_Toc324404876"/>
      <w:bookmarkStart w:id="829" w:name="_Toc78803392"/>
      <w:bookmarkStart w:id="830" w:name="_Toc13125"/>
      <w:bookmarkStart w:id="831" w:name="_Toc15058922"/>
      <w:bookmarkStart w:id="832" w:name="_Toc35425123"/>
      <w:r>
        <w:rPr>
          <w:rFonts w:hint="eastAsia" w:ascii="宋体" w:hAnsi="宋体" w:eastAsia="宋体" w:cs="宋体"/>
          <w:color w:val="auto"/>
          <w:highlight w:val="none"/>
        </w:rPr>
        <w:t>技术标评审</w:t>
      </w:r>
    </w:p>
    <w:p w14:paraId="32E3094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5A79621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6D672E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 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D51AE0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4.2.3详细评审标准：见商务标评审表。</w:t>
      </w:r>
    </w:p>
    <w:p w14:paraId="3C8E18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4.2.3.1投标报价清标：</w:t>
      </w:r>
    </w:p>
    <w:p w14:paraId="797E34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2E0A16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（2）清标工作应当使用计算机辅助评标系统，由计算机完成。</w:t>
      </w:r>
    </w:p>
    <w:p w14:paraId="68B5619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（3）清标的内容和步骤：</w:t>
      </w:r>
    </w:p>
    <w:p w14:paraId="065F28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 投标文件在符合性、响应性等方面存在的偏差。</w:t>
      </w:r>
    </w:p>
    <w:p w14:paraId="1309DC2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② 投标文件存在的算术计算错误和修正结果。</w:t>
      </w:r>
    </w:p>
    <w:p w14:paraId="76B5C4D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③ 在列出的所有偏差中，属于重大偏差的情形和相关依据；在列出的所有偏差中、属于细微偏差的情形。</w:t>
      </w:r>
    </w:p>
    <w:p w14:paraId="4C66114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④ 列出投标价格过高或过低等的清单项目的序号、项目编码、项目名称、项目特征、与招标文件规定的标准之间存在的偏差幅度和产生原因的摘录。</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6"/>
      <w:bookmarkEnd w:id="827"/>
      <w:bookmarkEnd w:id="828"/>
      <w:bookmarkEnd w:id="829"/>
      <w:bookmarkEnd w:id="830"/>
      <w:bookmarkEnd w:id="831"/>
      <w:bookmarkEnd w:id="832"/>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1322AE6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3" w:name="_Toc27846"/>
      <w:bookmarkStart w:id="834" w:name="_Toc35424958"/>
      <w:bookmarkStart w:id="835" w:name="_Toc35425124"/>
      <w:bookmarkStart w:id="836" w:name="_Toc506107329"/>
      <w:bookmarkStart w:id="837" w:name="_Toc15058923"/>
      <w:bookmarkStart w:id="838" w:name="_Toc78803393"/>
      <w:bookmarkStart w:id="839" w:name="_Toc324404877"/>
      <w:r>
        <w:rPr>
          <w:rFonts w:hint="eastAsia" w:ascii="宋体" w:hAnsi="宋体" w:eastAsia="宋体" w:cs="宋体"/>
          <w:color w:val="auto"/>
          <w:highlight w:val="none"/>
        </w:rPr>
        <w:t>6.投标文件的澄清和补正</w:t>
      </w:r>
      <w:bookmarkEnd w:id="833"/>
      <w:bookmarkEnd w:id="834"/>
      <w:bookmarkEnd w:id="835"/>
      <w:bookmarkEnd w:id="836"/>
      <w:bookmarkEnd w:id="837"/>
      <w:bookmarkEnd w:id="838"/>
      <w:bookmarkEnd w:id="839"/>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0" w:name="_Toc35424959"/>
      <w:bookmarkStart w:id="841" w:name="_Toc15058924"/>
      <w:bookmarkStart w:id="842" w:name="_Toc13990"/>
      <w:bookmarkStart w:id="843" w:name="_Toc506107330"/>
      <w:bookmarkStart w:id="844" w:name="_Toc35425125"/>
      <w:bookmarkStart w:id="845" w:name="_Toc324404878"/>
      <w:bookmarkStart w:id="846" w:name="_Toc78803394"/>
      <w:r>
        <w:rPr>
          <w:rFonts w:hint="eastAsia" w:ascii="宋体" w:hAnsi="宋体" w:eastAsia="宋体" w:cs="宋体"/>
          <w:color w:val="auto"/>
          <w:highlight w:val="none"/>
        </w:rPr>
        <w:t>7.评分标准</w:t>
      </w:r>
      <w:bookmarkEnd w:id="840"/>
      <w:bookmarkEnd w:id="841"/>
      <w:bookmarkEnd w:id="842"/>
      <w:bookmarkEnd w:id="843"/>
      <w:bookmarkEnd w:id="844"/>
      <w:bookmarkEnd w:id="845"/>
      <w:bookmarkEnd w:id="846"/>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7" w:name="_Toc78803395"/>
      <w:bookmarkStart w:id="848" w:name="_Toc15058925"/>
      <w:bookmarkStart w:id="849" w:name="_Toc324404879"/>
      <w:bookmarkStart w:id="850" w:name="_Toc506107331"/>
      <w:bookmarkStart w:id="851" w:name="_Toc22863"/>
      <w:bookmarkStart w:id="852" w:name="_Toc35424960"/>
      <w:bookmarkStart w:id="853" w:name="_Toc35425126"/>
      <w:r>
        <w:rPr>
          <w:rFonts w:hint="eastAsia" w:ascii="宋体" w:hAnsi="宋体" w:eastAsia="宋体" w:cs="宋体"/>
          <w:color w:val="auto"/>
          <w:highlight w:val="none"/>
        </w:rPr>
        <w:t>8.评审结果</w:t>
      </w:r>
      <w:bookmarkEnd w:id="847"/>
      <w:bookmarkEnd w:id="848"/>
      <w:bookmarkEnd w:id="849"/>
      <w:bookmarkEnd w:id="850"/>
      <w:bookmarkEnd w:id="851"/>
      <w:bookmarkEnd w:id="852"/>
      <w:bookmarkEnd w:id="853"/>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4" w:name="_Toc15058926"/>
      <w:bookmarkStart w:id="855" w:name="_Toc35424961"/>
      <w:bookmarkStart w:id="856" w:name="_Toc1576"/>
      <w:bookmarkStart w:id="857" w:name="_Toc324404880"/>
      <w:bookmarkStart w:id="858" w:name="_Toc35425127"/>
      <w:bookmarkStart w:id="859" w:name="_Toc78803396"/>
      <w:bookmarkStart w:id="860" w:name="_Toc506107332"/>
      <w:r>
        <w:rPr>
          <w:rFonts w:hint="eastAsia" w:ascii="宋体" w:hAnsi="宋体" w:eastAsia="宋体" w:cs="宋体"/>
          <w:color w:val="auto"/>
          <w:highlight w:val="none"/>
        </w:rPr>
        <w:t>9.其他</w:t>
      </w:r>
      <w:bookmarkEnd w:id="854"/>
      <w:bookmarkEnd w:id="855"/>
      <w:bookmarkEnd w:id="856"/>
      <w:bookmarkEnd w:id="857"/>
      <w:bookmarkEnd w:id="858"/>
      <w:bookmarkEnd w:id="859"/>
      <w:bookmarkEnd w:id="860"/>
    </w:p>
    <w:bookmarkEnd w:id="780"/>
    <w:bookmarkEnd w:id="781"/>
    <w:bookmarkEnd w:id="782"/>
    <w:bookmarkEnd w:id="783"/>
    <w:bookmarkEnd w:id="784"/>
    <w:bookmarkEnd w:id="785"/>
    <w:bookmarkEnd w:id="786"/>
    <w:bookmarkEnd w:id="787"/>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1" w:name="_Toc15058927"/>
      <w:bookmarkStart w:id="862" w:name="_Toc506107333"/>
      <w:bookmarkStart w:id="863" w:name="_Toc35424962"/>
      <w:bookmarkStart w:id="864" w:name="_Toc35425128"/>
      <w:bookmarkStart w:id="865" w:name="_Toc179632785"/>
      <w:bookmarkStart w:id="866" w:name="_Toc144974826"/>
      <w:bookmarkStart w:id="867" w:name="_Toc152042546"/>
      <w:bookmarkStart w:id="868"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9" w:name="_Toc78803397"/>
    </w:p>
    <w:bookmarkEnd w:id="861"/>
    <w:bookmarkEnd w:id="862"/>
    <w:bookmarkEnd w:id="863"/>
    <w:bookmarkEnd w:id="864"/>
    <w:bookmarkEnd w:id="869"/>
    <w:p w14:paraId="51F85308">
      <w:pPr>
        <w:pStyle w:val="6"/>
        <w:rPr>
          <w:rFonts w:hint="eastAsia" w:ascii="Arial" w:hAnsi="Arial"/>
          <w:color w:val="auto"/>
          <w:kern w:val="0"/>
          <w:sz w:val="32"/>
          <w:szCs w:val="32"/>
          <w:highlight w:val="none"/>
        </w:rPr>
      </w:pPr>
      <w:bookmarkStart w:id="870" w:name="_Toc16721"/>
    </w:p>
    <w:p w14:paraId="47DAF6BF">
      <w:pPr>
        <w:pStyle w:val="6"/>
        <w:rPr>
          <w:color w:val="auto"/>
          <w:highlight w:val="none"/>
        </w:rPr>
      </w:pPr>
      <w:bookmarkStart w:id="871" w:name="_Toc7231"/>
      <w:bookmarkStart w:id="872" w:name="_Toc8750"/>
      <w:bookmarkStart w:id="873"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0"/>
      <w:bookmarkEnd w:id="871"/>
      <w:bookmarkEnd w:id="872"/>
      <w:bookmarkEnd w:id="873"/>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4"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5" w:name="_Toc30846"/>
      <w:bookmarkStart w:id="876" w:name="_Toc1470"/>
      <w:bookmarkStart w:id="877" w:name="_Toc32748"/>
      <w:bookmarkStart w:id="878" w:name="_Toc12138"/>
      <w:r>
        <w:rPr>
          <w:rFonts w:hint="eastAsia"/>
          <w:b/>
          <w:color w:val="auto"/>
          <w:sz w:val="32"/>
          <w:szCs w:val="28"/>
          <w:highlight w:val="none"/>
        </w:rPr>
        <w:t>国家工商行政管理总局</w:t>
      </w:r>
      <w:bookmarkEnd w:id="875"/>
      <w:bookmarkEnd w:id="876"/>
      <w:bookmarkEnd w:id="877"/>
      <w:bookmarkEnd w:id="878"/>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4"/>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9" w:name="_Toc3977"/>
      <w:bookmarkStart w:id="880" w:name="_Toc95223459"/>
      <w:bookmarkStart w:id="881" w:name="_Toc28799376"/>
      <w:bookmarkStart w:id="882" w:name="_Toc29801"/>
      <w:bookmarkStart w:id="883" w:name="_Toc2308"/>
      <w:r>
        <w:rPr>
          <w:rFonts w:hint="eastAsia" w:ascii="宋体" w:hAnsi="宋体" w:cs="宋体"/>
          <w:b/>
          <w:bCs/>
          <w:color w:val="auto"/>
          <w:sz w:val="32"/>
          <w:szCs w:val="32"/>
          <w:highlight w:val="none"/>
        </w:rPr>
        <w:t>第一节  合同协议书</w:t>
      </w:r>
      <w:bookmarkEnd w:id="879"/>
      <w:bookmarkEnd w:id="880"/>
      <w:bookmarkEnd w:id="881"/>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滁州市兴天矿业有限公司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4"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4"/>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2"/>
      <w:r>
        <w:rPr>
          <w:rFonts w:hint="eastAsia" w:ascii="宋体" w:hAnsi="宋体" w:cs="宋体"/>
          <w:b/>
          <w:color w:val="auto"/>
          <w:szCs w:val="21"/>
          <w:highlight w:val="none"/>
          <w:u w:val="single"/>
        </w:rPr>
        <w:t>二、合同工期</w:t>
      </w:r>
      <w:bookmarkEnd w:id="885"/>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6" w:name="_Toc351203483"/>
      <w:r>
        <w:rPr>
          <w:rFonts w:hint="eastAsia" w:ascii="宋体" w:hAnsi="宋体" w:cs="宋体"/>
          <w:b/>
          <w:color w:val="auto"/>
          <w:szCs w:val="21"/>
          <w:highlight w:val="none"/>
          <w:u w:val="single"/>
        </w:rPr>
        <w:t>三、质量标准</w:t>
      </w:r>
      <w:bookmarkEnd w:id="886"/>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7" w:name="_Toc351203484"/>
      <w:r>
        <w:rPr>
          <w:rFonts w:hint="eastAsia" w:ascii="宋体" w:hAnsi="宋体" w:cs="宋体"/>
          <w:b/>
          <w:color w:val="auto"/>
          <w:szCs w:val="21"/>
          <w:highlight w:val="none"/>
          <w:u w:val="single"/>
        </w:rPr>
        <w:t>四、签约合同价与合同价格形式</w:t>
      </w:r>
      <w:bookmarkEnd w:id="887"/>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highlight w:val="none"/>
        </w:rPr>
      </w:pPr>
      <w:r>
        <w:rPr>
          <w:rFonts w:hint="eastAsia" w:ascii="宋体" w:hAnsi="宋体" w:eastAsia="宋体" w:cs="宋体"/>
          <w:kern w:val="2"/>
          <w:sz w:val="21"/>
          <w:szCs w:val="21"/>
          <w:highlight w:val="none"/>
          <w:u w:val="single"/>
          <w:lang w:val="en-US" w:eastAsia="zh-CN" w:bidi="ar"/>
        </w:rPr>
        <w:t>人民币（大写）               (¥          元)</w:t>
      </w:r>
      <w:r>
        <w:rPr>
          <w:rFonts w:hint="eastAsia" w:ascii="宋体" w:hAnsi="宋体" w:eastAsia="宋体" w:cs="宋体"/>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5"/>
      <w:r>
        <w:rPr>
          <w:rFonts w:hint="eastAsia" w:ascii="宋体" w:hAnsi="宋体" w:cs="宋体"/>
          <w:b/>
          <w:color w:val="auto"/>
          <w:szCs w:val="21"/>
          <w:highlight w:val="none"/>
        </w:rPr>
        <w:t>五、</w:t>
      </w:r>
      <w:bookmarkEnd w:id="888"/>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6"/>
      <w:r>
        <w:rPr>
          <w:rFonts w:hint="eastAsia" w:ascii="宋体" w:hAnsi="宋体" w:cs="宋体"/>
          <w:b/>
          <w:color w:val="auto"/>
          <w:szCs w:val="21"/>
          <w:highlight w:val="none"/>
        </w:rPr>
        <w:t>六、合同文件构成</w:t>
      </w:r>
      <w:bookmarkEnd w:id="889"/>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7"/>
      <w:r>
        <w:rPr>
          <w:rFonts w:hint="eastAsia" w:ascii="宋体" w:hAnsi="宋体" w:cs="宋体"/>
          <w:b/>
          <w:color w:val="auto"/>
          <w:szCs w:val="21"/>
          <w:highlight w:val="none"/>
        </w:rPr>
        <w:t>七、承诺</w:t>
      </w:r>
      <w:bookmarkEnd w:id="890"/>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88"/>
      <w:r>
        <w:rPr>
          <w:rFonts w:hint="eastAsia" w:ascii="宋体" w:hAnsi="宋体" w:cs="宋体"/>
          <w:b/>
          <w:color w:val="auto"/>
          <w:szCs w:val="21"/>
          <w:highlight w:val="none"/>
        </w:rPr>
        <w:t>八、词语含义</w:t>
      </w:r>
      <w:bookmarkEnd w:id="891"/>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89"/>
      <w:r>
        <w:rPr>
          <w:rFonts w:hint="eastAsia" w:ascii="宋体" w:hAnsi="宋体" w:cs="宋体"/>
          <w:b/>
          <w:color w:val="auto"/>
          <w:szCs w:val="21"/>
          <w:highlight w:val="none"/>
        </w:rPr>
        <w:t>九、签订时间</w:t>
      </w:r>
      <w:bookmarkEnd w:id="892"/>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0"/>
      <w:r>
        <w:rPr>
          <w:rFonts w:hint="eastAsia" w:ascii="宋体" w:hAnsi="宋体" w:cs="宋体"/>
          <w:b/>
          <w:color w:val="auto"/>
          <w:szCs w:val="21"/>
          <w:highlight w:val="none"/>
        </w:rPr>
        <w:t>十、签订地点</w:t>
      </w:r>
      <w:bookmarkEnd w:id="893"/>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1"/>
      <w:r>
        <w:rPr>
          <w:rFonts w:hint="eastAsia" w:ascii="宋体" w:hAnsi="宋体" w:cs="宋体"/>
          <w:b/>
          <w:color w:val="auto"/>
          <w:szCs w:val="21"/>
          <w:highlight w:val="none"/>
        </w:rPr>
        <w:t>十一、补充协议</w:t>
      </w:r>
      <w:bookmarkEnd w:id="894"/>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5" w:name="_Toc351203492"/>
      <w:r>
        <w:rPr>
          <w:rFonts w:hint="eastAsia" w:ascii="宋体" w:hAnsi="宋体" w:cs="宋体"/>
          <w:b/>
          <w:color w:val="auto"/>
          <w:szCs w:val="21"/>
          <w:highlight w:val="none"/>
        </w:rPr>
        <w:t>十二、合同生效</w:t>
      </w:r>
      <w:bookmarkEnd w:id="895"/>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6" w:name="_Toc351203493"/>
      <w:r>
        <w:rPr>
          <w:rFonts w:hint="eastAsia" w:ascii="宋体" w:hAnsi="宋体" w:cs="宋体"/>
          <w:b/>
          <w:color w:val="auto"/>
          <w:szCs w:val="21"/>
          <w:highlight w:val="none"/>
        </w:rPr>
        <w:t>十三、合同份数</w:t>
      </w:r>
      <w:bookmarkEnd w:id="896"/>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2"/>
      <w:bookmarkEnd w:id="883"/>
      <w:bookmarkStart w:id="897" w:name="_Toc15494"/>
      <w:bookmarkStart w:id="898" w:name="_Toc95223460"/>
      <w:bookmarkStart w:id="899"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7"/>
      <w:bookmarkEnd w:id="898"/>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900" w:name="_Toc14492"/>
      <w:r>
        <w:rPr>
          <w:rFonts w:hint="eastAsia" w:ascii="黑体" w:eastAsia="黑体" w:cs="黑体"/>
          <w:color w:val="auto"/>
          <w:highlight w:val="none"/>
        </w:rPr>
        <w:t>第三节 专用合同条款</w:t>
      </w:r>
    </w:p>
    <w:p w14:paraId="3096D98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lang w:val="en-US" w:eastAsia="zh-CN"/>
        </w:rPr>
        <w:t xml:space="preserve">  场内交通设施和道路由承包人负责建设，发包人不另支付费用，场内交通边界现场确定 </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组价明显错误的予以纠正；缺漏项目单价按照最高投标限价的编制原则重新组价×投标让利幅度（上述投标让利幅度为中标价/最高投标限价，其中中标价和最高投标限价均扣除暂列金额、暂估价及相应税金）。结算价格最终以相关部门审核价为准</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自筹资金</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3"/>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等相关单位关于项目管理、扬尘治理、大气、农民工工资支付、工程款支付等方面的通知、规定和相关要求；</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项目经理变更必须经发包人批准，并满足《关于进一步加强建筑施工现场项目经理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相应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相应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未按规定在岗履责的，对项目经理和技术负责人处罚5000元/人·天的违约金，对施工现场其他管理人员处罚1000元/人·天的违约金。项目部关键岗位人员离岗必须向发包人项目组长履行请假手续，若被</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和相关部门日常检查和随机抽查中发现不在岗的，又未履行请假手续的，处罚5000元/人·次的违约金。</w:t>
      </w:r>
    </w:p>
    <w:p w14:paraId="2F9DC27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w:t>
      </w:r>
      <w:r>
        <w:rPr>
          <w:rFonts w:hint="eastAsia" w:ascii="宋体" w:cs="宋体"/>
          <w:color w:val="auto"/>
          <w:szCs w:val="21"/>
          <w:highlight w:val="none"/>
          <w:u w:val="single"/>
          <w:lang w:val="en-US" w:eastAsia="zh-CN"/>
        </w:rPr>
        <w:t xml:space="preserve"> 承包人不得擅自更换主要管理人员,否则发包人有权解除合同，由此造成的损失由承包人自行承担，承包人还应赔偿由此造成发包人的全部损失。确需更换的须在签订合同后，报经发包人同意后按相关规定办理，并支付 0.5 万元/人的违约金，更换后的人员不得低于承包人投标时所报人员资质和技术水平。发包人如认为有必要，可要求对上述人员中的部分人员作出更好的调整。按照未按规定在岗履责进行处罚 </w:t>
      </w:r>
      <w:r>
        <w:rPr>
          <w:rFonts w:hint="eastAsia" w:ascii="宋体" w:cs="宋体"/>
          <w:color w:val="auto"/>
          <w:szCs w:val="21"/>
          <w:highlight w:val="none"/>
          <w:u w:val="single"/>
        </w:rPr>
        <w:t>。</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none"/>
        </w:rPr>
        <w:t>承包人主要施工管理人员擅自离开施工现场的违约责任：</w:t>
      </w:r>
      <w:r>
        <w:rPr>
          <w:rFonts w:hint="eastAsia" w:ascii="宋体" w:cs="宋体"/>
          <w:color w:val="auto"/>
          <w:szCs w:val="21"/>
          <w:highlight w:val="none"/>
          <w:u w:val="single"/>
        </w:rPr>
        <w:t xml:space="preserve">   按照未按规定在岗履责进行处罚   。</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 xml:space="preserve"> 按照相关法律法规执行</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 xml:space="preserve"> 无</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lang w:val="en-US" w:eastAsia="zh-CN"/>
        </w:rPr>
        <w:t xml:space="preserve"> 承包人不得以劳务分包的名义转包或违法分包工程。发包人一经发现承包人转包、挂靠等行为的，发包人立即解除合同，清退出场，承包人已完合格工程量按合同价款70%进行结算</w:t>
      </w:r>
      <w:r>
        <w:rPr>
          <w:rFonts w:hint="eastAsia" w:ascii="宋体" w:hAnsi="宋体" w:cs="宋体"/>
          <w:b/>
          <w:bCs/>
          <w:color w:val="auto"/>
          <w:szCs w:val="21"/>
          <w:highlight w:val="none"/>
          <w:u w:val="single"/>
        </w:rPr>
        <w:t>。</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25A5D215">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279956DF">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1CE3865E">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履约保证金退还时限：履约保证金有效期满7日内</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w:t>
      </w:r>
      <w:r>
        <w:rPr>
          <w:rFonts w:hint="eastAsia" w:ascii="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B411299">
      <w:pPr>
        <w:snapToGrid w:val="0"/>
        <w:spacing w:line="440" w:lineRule="exact"/>
        <w:ind w:firstLine="420" w:firstLineChars="200"/>
        <w:jc w:val="left"/>
        <w:rPr>
          <w:rFonts w:hint="eastAsia" w:ascii="宋体" w:cs="宋体"/>
          <w:color w:val="auto"/>
          <w:szCs w:val="21"/>
          <w:highlight w:val="none"/>
          <w:lang w:eastAsia="zh-CN"/>
        </w:rPr>
      </w:pPr>
      <w:r>
        <w:rPr>
          <w:rFonts w:hint="eastAsia" w:ascii="宋体" w:cs="宋体"/>
          <w:color w:val="auto"/>
          <w:szCs w:val="21"/>
          <w:highlight w:val="none"/>
          <w:lang w:eastAsia="zh-CN"/>
        </w:rPr>
        <w:t>监理人不能按时进行检查时，应提前</w:t>
      </w:r>
      <w:r>
        <w:rPr>
          <w:rFonts w:hint="eastAsia" w:ascii="宋体" w:cs="宋体"/>
          <w:color w:val="auto"/>
          <w:szCs w:val="21"/>
          <w:highlight w:val="none"/>
          <w:u w:val="single"/>
          <w:lang w:eastAsia="zh-CN"/>
        </w:rPr>
        <w:t xml:space="preserve"> 3  </w:t>
      </w:r>
      <w:r>
        <w:rPr>
          <w:rFonts w:hint="eastAsia" w:ascii="宋体" w:cs="宋体"/>
          <w:color w:val="auto"/>
          <w:szCs w:val="21"/>
          <w:highlight w:val="none"/>
          <w:lang w:eastAsia="zh-CN"/>
        </w:rPr>
        <w:t>小时提交书面延期要求。</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关于延期最长不得超过：</w:t>
      </w:r>
      <w:r>
        <w:rPr>
          <w:rFonts w:hint="eastAsia" w:ascii="宋体" w:cs="宋体"/>
          <w:color w:val="auto"/>
          <w:szCs w:val="21"/>
          <w:highlight w:val="none"/>
          <w:u w:val="single"/>
          <w:lang w:eastAsia="zh-CN"/>
        </w:rPr>
        <w:t xml:space="preserve"> 6  </w:t>
      </w:r>
      <w:r>
        <w:rPr>
          <w:rFonts w:hint="eastAsia" w:ascii="宋体" w:cs="宋体"/>
          <w:color w:val="auto"/>
          <w:szCs w:val="21"/>
          <w:highlight w:val="none"/>
          <w:lang w:eastAsia="zh-CN"/>
        </w:rPr>
        <w:t>小时</w:t>
      </w:r>
      <w:r>
        <w:rPr>
          <w:rFonts w:hint="eastAsia" w:ascii="宋体" w:cs="宋体"/>
          <w:color w:val="auto"/>
          <w:szCs w:val="21"/>
          <w:highlight w:val="none"/>
        </w:rPr>
        <w:t>。</w:t>
      </w:r>
    </w:p>
    <w:p w14:paraId="1A0A366A">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2170080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1427B121">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6.1.6 关于安全文明施工费支付比例和支付期限的约定：</w:t>
      </w:r>
      <w:r>
        <w:rPr>
          <w:rFonts w:hint="eastAsia" w:ascii="宋体" w:eastAsia="宋体" w:cs="宋体"/>
          <w:b w:val="0"/>
          <w:color w:val="auto"/>
          <w:sz w:val="21"/>
          <w:szCs w:val="21"/>
          <w:highlight w:val="none"/>
          <w:u w:val="single"/>
        </w:rPr>
        <w:t xml:space="preserve">   按照《关于落实&lt;市规建委关于规范建设工程安全防护和文明施工措施费使用管理的通知&gt;的意见》，支付方式为：房建工程基础验收合格后支付40%，主体结构施工封顶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   。</w:t>
      </w:r>
    </w:p>
    <w:p w14:paraId="4EA43A6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 xml:space="preserve"> 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60278C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关于发包人应完成的其他开工准备工作及期限：</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因承包方原因造成的工期延误，每推迟一天，按</w:t>
      </w:r>
      <w:r>
        <w:rPr>
          <w:rFonts w:hint="eastAsia"/>
          <w:color w:val="auto"/>
          <w:highlight w:val="none"/>
          <w:u w:val="single"/>
          <w:lang w:val="en-US" w:eastAsia="zh-CN"/>
        </w:rPr>
        <w:t>1000元/天</w:t>
      </w:r>
      <w:r>
        <w:rPr>
          <w:rFonts w:hint="eastAsia"/>
          <w:color w:val="auto"/>
          <w:highlight w:val="none"/>
          <w:u w:val="single"/>
        </w:rPr>
        <w:t>处以违约金；月工程量未完成的当期不得请款，当月未完成的工程量纳入下月一并完成，完不成的仍不予请款，依此类推。</w:t>
      </w:r>
    </w:p>
    <w:p w14:paraId="601700C4">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684CA6D7">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2B05EF65">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cs="宋体"/>
          <w:bCs/>
          <w:color w:val="auto"/>
          <w:szCs w:val="21"/>
          <w:highlight w:val="none"/>
          <w:u w:val="single"/>
        </w:rPr>
        <w:t>（3）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w:t>
      </w:r>
      <w:r>
        <w:rPr>
          <w:rFonts w:hint="eastAsia" w:ascii="宋体" w:hAnsi="Times New Roman" w:eastAsia="宋体" w:cs="宋体"/>
          <w:bCs/>
          <w:color w:val="auto"/>
          <w:szCs w:val="21"/>
          <w:highlight w:val="none"/>
          <w:u w:val="single"/>
        </w:rPr>
        <w:t xml:space="preserve">。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0C57EA4">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15DE2A1">
      <w:pPr>
        <w:numPr>
          <w:ilvl w:val="0"/>
          <w:numId w:val="4"/>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0A4567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w:t>
      </w:r>
      <w:r>
        <w:rPr>
          <w:rFonts w:hint="eastAsia" w:hAnsi="宋体" w:cs="宋体"/>
          <w:b/>
          <w:bCs/>
          <w:color w:val="auto"/>
          <w:szCs w:val="21"/>
          <w:highlight w:val="none"/>
          <w:u w:val="single"/>
          <w:lang w:eastAsia="zh-CN"/>
        </w:rPr>
        <w:t>中标价</w:t>
      </w:r>
      <w:r>
        <w:rPr>
          <w:rFonts w:hint="eastAsia" w:ascii="宋体" w:hAnsi="宋体" w:cs="宋体"/>
          <w:b/>
          <w:bCs/>
          <w:color w:val="auto"/>
          <w:szCs w:val="21"/>
          <w:highlight w:val="none"/>
          <w:u w:val="single"/>
        </w:rPr>
        <w:t>/最高投标限价，其中</w:t>
      </w:r>
      <w:r>
        <w:rPr>
          <w:rFonts w:hint="eastAsia" w:hAnsi="宋体" w:cs="宋体"/>
          <w:b/>
          <w:bCs/>
          <w:color w:val="auto"/>
          <w:szCs w:val="21"/>
          <w:highlight w:val="none"/>
          <w:u w:val="single"/>
          <w:lang w:eastAsia="zh-CN"/>
        </w:rPr>
        <w:t>中标价</w:t>
      </w:r>
      <w:r>
        <w:rPr>
          <w:rFonts w:hint="eastAsia" w:ascii="宋体" w:hAnsi="宋体" w:cs="宋体"/>
          <w:b/>
          <w:bCs/>
          <w:color w:val="auto"/>
          <w:szCs w:val="21"/>
          <w:highlight w:val="none"/>
          <w:u w:val="single"/>
        </w:rPr>
        <w:t>和最高投标限价均扣除暂列金额、暂估价及相应税金），结算价格最终以相关部门审核价为准；</w:t>
      </w:r>
    </w:p>
    <w:p w14:paraId="539923C4">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u w:val="single"/>
          <w:lang w:val="en-US" w:eastAsia="zh-CN"/>
        </w:rPr>
        <w:t xml:space="preserve"> 无</w:t>
      </w:r>
      <w:r>
        <w:rPr>
          <w:rFonts w:hint="eastAsia"/>
          <w:color w:val="auto"/>
          <w:highlight w:val="none"/>
          <w:u w:val="singl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613EA18E">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p w14:paraId="5A983D7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第1种方式：采用价格指数进行价格调整。</w:t>
      </w:r>
    </w:p>
    <w:p w14:paraId="785F4FA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关于各可调因子、定值和变值权重，以及基本价格指数及其来源的约定：</w:t>
      </w:r>
      <w:r>
        <w:rPr>
          <w:rFonts w:hint="eastAsia" w:ascii="宋体" w:cs="宋体"/>
          <w:color w:val="auto"/>
          <w:szCs w:val="21"/>
          <w:highlight w:val="none"/>
          <w:u w:val="single"/>
        </w:rPr>
        <w:t xml:space="preserve">  本项目不调整  </w:t>
      </w:r>
      <w:r>
        <w:rPr>
          <w:rFonts w:hint="eastAsia" w:ascii="宋体" w:cs="宋体"/>
          <w:color w:val="auto"/>
          <w:szCs w:val="21"/>
          <w:highlight w:val="none"/>
        </w:rPr>
        <w:t xml:space="preserve"> ； </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lang w:val="en-US" w:eastAsia="zh-CN"/>
        </w:rPr>
        <w:t xml:space="preserve"> / 。</w:t>
      </w:r>
    </w:p>
    <w:p w14:paraId="729F17F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lang w:val="en-US" w:eastAsia="zh-CN"/>
        </w:rPr>
        <w:t xml:space="preserve"> 各种因素引起的不属于本合同调价范围的市场材料价格、人工、机械使用费以及管理费、利润的变化等 </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lang w:val="en-US" w:eastAsia="zh-CN"/>
        </w:rPr>
        <w:t xml:space="preserve"> 结算价 = 合同价 ± 工程变更造价 ± 分部分项工程量清单工程量误差造价 ± 政策性调整造价±措施项目调整造价－暂列金额 × 1.09 ± 合理工程索赔</w:t>
      </w:r>
      <w:r>
        <w:rPr>
          <w:rFonts w:hint="eastAsia" w:ascii="宋体" w:hAnsi="宋体" w:cs="宋体"/>
          <w:bCs/>
          <w:color w:val="auto"/>
          <w:szCs w:val="21"/>
          <w:highlight w:val="none"/>
          <w:u w:val="single"/>
        </w:rPr>
        <w:t xml:space="preserve">。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不考虑</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 xml:space="preserve"> 按进度计量。</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2" w:firstLineChars="200"/>
        <w:jc w:val="left"/>
        <w:rPr>
          <w:rFonts w:hint="eastAsia" w:ascii="宋体" w:cs="宋体"/>
          <w:color w:val="auto"/>
          <w:szCs w:val="21"/>
          <w:highlight w:val="none"/>
        </w:rPr>
      </w:pPr>
      <w:r>
        <w:rPr>
          <w:rFonts w:hint="eastAsia" w:ascii="宋体" w:cs="宋体"/>
          <w:b/>
          <w:bCs/>
          <w:color w:val="auto"/>
          <w:szCs w:val="21"/>
          <w:highlight w:val="none"/>
        </w:rPr>
        <w:t>关于付款周期的约定：</w:t>
      </w:r>
      <w:r>
        <w:rPr>
          <w:rFonts w:hint="eastAsia" w:ascii="宋体" w:cs="宋体"/>
          <w:b/>
          <w:bCs/>
          <w:color w:val="auto"/>
          <w:szCs w:val="21"/>
          <w:highlight w:val="none"/>
          <w:u w:val="single"/>
        </w:rPr>
        <w:t xml:space="preserve"> </w:t>
      </w:r>
      <w:r>
        <w:rPr>
          <w:rFonts w:hint="eastAsia" w:ascii="宋体" w:cs="宋体"/>
          <w:b/>
          <w:bCs/>
          <w:color w:val="auto"/>
          <w:szCs w:val="21"/>
          <w:highlight w:val="none"/>
          <w:u w:val="single"/>
          <w:lang w:val="en-US" w:eastAsia="zh-CN"/>
        </w:rPr>
        <w:t>按月进度付款，当月完成进度计划的合格分部分项工程按85%付进度款；工程竣工验收合格后支付至已完成合格工程量价款的90%；竣工结算且经审核或复核后付至结算总造价的98%，剩余2%作为工程质量保证金。工程缺陷责任期（缺陷责任期两年，从验收合格之日起计算）满回访合格后一个月内付清</w:t>
      </w:r>
      <w:r>
        <w:rPr>
          <w:rFonts w:hint="eastAsia" w:ascii="宋体" w:cs="宋体"/>
          <w:b/>
          <w:bCs/>
          <w:color w:val="auto"/>
          <w:szCs w:val="21"/>
          <w:highlight w:val="none"/>
          <w:u w:val="single"/>
          <w:lang w:eastAsia="zh-CN"/>
        </w:rPr>
        <w:t>。质量保证金支持保函（银行保函、担保机构担保、保证保险）使用。采用保函的不再从工程进度款中扣留质量保证金，保函有效期须与工程缺陷责任期截止时间保持一致</w:t>
      </w:r>
      <w:r>
        <w:rPr>
          <w:rFonts w:hint="eastAsia" w:ascii="宋体" w:cs="宋体"/>
          <w:b/>
          <w:bCs/>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40D8BA8">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p>
    <w:p w14:paraId="49139BED">
      <w:pPr>
        <w:snapToGrid w:val="0"/>
        <w:spacing w:line="440" w:lineRule="exact"/>
        <w:ind w:firstLine="420" w:firstLineChars="200"/>
        <w:jc w:val="left"/>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lang w:val="en-US" w:eastAsia="zh-CN" w:bidi="ar"/>
        </w:rPr>
        <w:t>（1）监理人审查并报送发包人的期限：</w:t>
      </w:r>
      <w:r>
        <w:rPr>
          <w:rFonts w:hint="eastAsia" w:ascii="宋体" w:hAnsi="宋体" w:eastAsia="宋体" w:cs="宋体"/>
          <w:kern w:val="2"/>
          <w:sz w:val="21"/>
          <w:szCs w:val="21"/>
          <w:highlight w:val="none"/>
          <w:u w:val="single"/>
          <w:lang w:val="en-US" w:eastAsia="zh-CN" w:bidi="ar"/>
        </w:rPr>
        <w:t xml:space="preserve">  监理人应在收到承包人进度付款申请单以及相关资料后7天内完成审查并报送发包人 </w:t>
      </w:r>
      <w:r>
        <w:rPr>
          <w:rFonts w:hint="eastAsia" w:ascii="宋体" w:hAnsi="宋体" w:eastAsia="宋体" w:cs="宋体"/>
          <w:b/>
          <w:bCs w:val="0"/>
          <w:kern w:val="2"/>
          <w:sz w:val="21"/>
          <w:szCs w:val="21"/>
          <w:highlight w:val="none"/>
          <w:lang w:val="en-US" w:eastAsia="zh-CN" w:bidi="ar"/>
        </w:rPr>
        <w:t>。</w:t>
      </w:r>
    </w:p>
    <w:p w14:paraId="193F8579">
      <w:pPr>
        <w:snapToGrid w:val="0"/>
        <w:spacing w:line="440" w:lineRule="exact"/>
        <w:ind w:firstLine="420" w:firstLineChars="200"/>
        <w:jc w:val="left"/>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lang w:val="en-US" w:eastAsia="zh-CN" w:bidi="ar"/>
        </w:rPr>
        <w:t>发包人完成审批并签发进度款支付证书的期限：</w:t>
      </w:r>
      <w:r>
        <w:rPr>
          <w:rFonts w:hint="eastAsia" w:ascii="宋体" w:hAnsi="宋体" w:eastAsia="宋体" w:cs="宋体"/>
          <w:kern w:val="2"/>
          <w:sz w:val="21"/>
          <w:szCs w:val="21"/>
          <w:highlight w:val="none"/>
          <w:u w:val="single"/>
          <w:lang w:val="en-US" w:eastAsia="zh-CN" w:bidi="ar"/>
        </w:rPr>
        <w:t xml:space="preserve"> 发包人应在收到后7天内完成审批并签发进度款支付证书，跟踪审计人员审核时间除外 </w:t>
      </w:r>
      <w:r>
        <w:rPr>
          <w:rFonts w:hint="eastAsia" w:ascii="宋体" w:hAnsi="宋体" w:eastAsia="宋体" w:cs="宋体"/>
          <w:kern w:val="2"/>
          <w:sz w:val="21"/>
          <w:szCs w:val="21"/>
          <w:highlight w:val="none"/>
          <w:lang w:val="en-US" w:eastAsia="zh-CN" w:bidi="ar"/>
        </w:rPr>
        <w:t>。</w:t>
      </w:r>
    </w:p>
    <w:p w14:paraId="089C9138">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hAnsi="宋体" w:eastAsia="宋体" w:cs="宋体"/>
          <w:kern w:val="2"/>
          <w:sz w:val="21"/>
          <w:szCs w:val="21"/>
          <w:highlight w:val="none"/>
          <w:lang w:val="en-US" w:eastAsia="zh-CN" w:bidi="ar"/>
        </w:rPr>
        <w:t xml:space="preserve">发包人逾期支付进度款的违约金的计算方式 </w:t>
      </w:r>
      <w:r>
        <w:rPr>
          <w:rFonts w:hint="eastAsia" w:ascii="宋体" w:hAnsi="宋体" w:eastAsia="宋体" w:cs="宋体"/>
          <w:kern w:val="2"/>
          <w:sz w:val="21"/>
          <w:szCs w:val="21"/>
          <w:highlight w:val="none"/>
          <w:u w:val="single"/>
          <w:lang w:val="en-US" w:eastAsia="zh-CN" w:bidi="ar"/>
        </w:rPr>
        <w:t xml:space="preserve">      不采用     </w:t>
      </w:r>
      <w:r>
        <w:rPr>
          <w:rFonts w:hint="eastAsia" w:ascii="宋体" w:cs="宋体"/>
          <w:color w:val="auto"/>
          <w:szCs w:val="21"/>
          <w:highlight w:val="none"/>
          <w:lang w:val="en-US" w:eastAsia="zh-CN"/>
        </w:rPr>
        <w:t>。</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cs="宋体"/>
          <w:color w:val="auto"/>
          <w:szCs w:val="21"/>
          <w:highlight w:val="none"/>
        </w:rPr>
        <w:t>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3</w:t>
      </w:r>
      <w:r>
        <w:rPr>
          <w:rFonts w:hint="eastAsia" w:ascii="宋体" w:cs="宋体"/>
          <w:color w:val="auto"/>
          <w:szCs w:val="21"/>
          <w:highlight w:val="none"/>
          <w:lang w:eastAsia="zh-CN"/>
        </w:rPr>
        <w:t>）</w:t>
      </w:r>
      <w:r>
        <w:rPr>
          <w:rFonts w:hint="eastAsia" w:ascii="宋体" w:cs="宋体"/>
          <w:color w:val="auto"/>
          <w:szCs w:val="21"/>
          <w:highlight w:val="none"/>
        </w:rPr>
        <w:t>单价合同的总价项目支付分解表的编制与审批：</w:t>
      </w:r>
      <w:r>
        <w:rPr>
          <w:rFonts w:hint="eastAsia" w:ascii="宋体" w:cs="宋体"/>
          <w:color w:val="auto"/>
          <w:szCs w:val="21"/>
          <w:highlight w:val="none"/>
          <w:u w:val="single"/>
        </w:rPr>
        <w:t>执行发包人统一内容格式。</w:t>
      </w:r>
    </w:p>
    <w:p w14:paraId="67CE96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eastAsia="宋体" w:cs="宋体"/>
          <w:b w:val="0"/>
          <w:color w:val="auto"/>
          <w:sz w:val="21"/>
          <w:szCs w:val="21"/>
          <w:highlight w:val="none"/>
          <w:shd w:val="clear" w:color="auto" w:fill="auto"/>
        </w:rPr>
        <w:t>1</w:t>
      </w:r>
      <w:r>
        <w:rPr>
          <w:rFonts w:hint="eastAsia" w:ascii="宋体" w:cs="宋体"/>
          <w:color w:val="auto"/>
          <w:szCs w:val="21"/>
          <w:highlight w:val="none"/>
        </w:rPr>
        <w:t>2.4.7 农民工工资管理</w:t>
      </w:r>
      <w:r>
        <w:rPr>
          <w:rFonts w:hint="eastAsia" w:ascii="宋体" w:hAnsi="宋体" w:cs="宋体"/>
          <w:b/>
          <w:color w:val="auto"/>
          <w:highlight w:val="none"/>
        </w:rPr>
        <w:t>（农民工工资保证金支持保函使用）</w:t>
      </w:r>
    </w:p>
    <w:p w14:paraId="43F542C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40F061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097A0D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8DFED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0382BA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14A3B84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r>
        <w:rPr>
          <w:rFonts w:hint="eastAsia" w:ascii="宋体" w:hAnsi="宋体" w:eastAsia="宋体" w:cs="宋体"/>
          <w:bCs/>
          <w:color w:val="auto"/>
          <w:highlight w:val="none"/>
          <w:lang w:eastAsia="zh-CN"/>
        </w:rPr>
        <w:t>。</w:t>
      </w:r>
    </w:p>
    <w:p w14:paraId="34A23DC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lang w:val="en-US" w:eastAsia="zh-CN"/>
        </w:rPr>
        <w:t xml:space="preserve">  执行通用条款 </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 xml:space="preserve">  承包人承担</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试车消耗的生产性原材料由发包人承担；试车其他费用（包括试车所需水电油等费用）由承包人在措施费中考虑</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审计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发包人在政府资金调度会批准且发票送达一周内完成支付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lang w:val="en-US" w:eastAsia="zh-CN"/>
        </w:rPr>
        <w:t xml:space="preserve"> 发包人在发票送达一周内完成支付 </w:t>
      </w:r>
      <w:r>
        <w:rPr>
          <w:rFonts w:hint="eastAsia" w:ascii="宋体" w:cs="宋体"/>
          <w:color w:val="auto"/>
          <w:szCs w:val="21"/>
          <w:highlight w:val="none"/>
        </w:rPr>
        <w:t>。</w:t>
      </w:r>
    </w:p>
    <w:p w14:paraId="32DAD0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计算</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质量保证金支持保函（银行保函、担保机构担保、保证保险）使用。采用保函的，保函有效期须与缺陷责任期截止时间保持一致。承包人在缺陷责任期内未履行保修义务的，缺陷责任期满经复查不合格的，质量保证金不予退还。质量缺陷较多，多次催促整改不到位，处理不及时的，发包人可动用质保金，用于工程质量整改。</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b/>
          <w:bCs/>
          <w:color w:val="auto"/>
          <w:kern w:val="0"/>
          <w:szCs w:val="21"/>
          <w:highlight w:val="none"/>
          <w:u w:val="single"/>
        </w:rPr>
        <w:t>如与国家最新相关标准冲突的按标准较高的执行</w:t>
      </w:r>
      <w:r>
        <w:rPr>
          <w:rFonts w:hint="eastAsia" w:ascii="宋体" w:cs="宋体"/>
          <w:color w:val="auto"/>
          <w:kern w:val="0"/>
          <w:szCs w:val="21"/>
          <w:highlight w:val="none"/>
          <w:u w:val="single"/>
        </w:rPr>
        <w:t xml:space="preserve">。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lang w:val="en-US" w:eastAsia="zh-CN"/>
        </w:rPr>
        <w:t xml:space="preserve"> 发票送达7天内</w:t>
      </w:r>
      <w:r>
        <w:rPr>
          <w:rFonts w:hint="eastAsia" w:ascii="宋体" w:cs="宋体"/>
          <w:color w:val="auto"/>
          <w:szCs w:val="21"/>
          <w:highlight w:val="none"/>
        </w:rPr>
        <w:t>完成款项的支付。</w:t>
      </w:r>
    </w:p>
    <w:p w14:paraId="14FD3927">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5"/>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3E4ECB22">
      <w:pPr>
        <w:keepNext w:val="0"/>
        <w:keepLines w:val="0"/>
        <w:pageBreakBefore w:val="0"/>
        <w:widowControl w:val="0"/>
        <w:numPr>
          <w:ilvl w:val="0"/>
          <w:numId w:val="5"/>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5"/>
    <w:bookmarkEnd w:id="866"/>
    <w:bookmarkEnd w:id="867"/>
    <w:bookmarkEnd w:id="868"/>
    <w:bookmarkEnd w:id="899"/>
    <w:bookmarkEnd w:id="900"/>
    <w:p w14:paraId="56022525">
      <w:pPr>
        <w:snapToGrid w:val="0"/>
        <w:spacing w:line="420" w:lineRule="exact"/>
        <w:ind w:firstLine="420" w:firstLineChars="200"/>
        <w:rPr>
          <w:rFonts w:hint="eastAsia" w:ascii="宋体" w:hAnsi="Times New Roman" w:cs="宋体"/>
          <w:color w:val="auto"/>
          <w:szCs w:val="21"/>
          <w:highlight w:val="none"/>
        </w:rPr>
      </w:pPr>
      <w:bookmarkStart w:id="901" w:name="_Toc95223487"/>
      <w:bookmarkStart w:id="902" w:name="_Toc247085872"/>
      <w:bookmarkStart w:id="903" w:name="_Toc506107340"/>
      <w:bookmarkStart w:id="904" w:name="_Toc35425136"/>
      <w:bookmarkStart w:id="905" w:name="_Toc152045786"/>
      <w:bookmarkStart w:id="906" w:name="_Toc152042575"/>
      <w:bookmarkStart w:id="907" w:name="_Toc78803398"/>
      <w:bookmarkStart w:id="908" w:name="_Toc324404888"/>
      <w:bookmarkStart w:id="909" w:name="_Toc15058934"/>
      <w:bookmarkStart w:id="910" w:name="_Toc144974855"/>
      <w:bookmarkStart w:id="911" w:name="_Toc179632806"/>
      <w:bookmarkStart w:id="912" w:name="_Toc35424970"/>
      <w:bookmarkStart w:id="913" w:name="_Toc246996354"/>
      <w:bookmarkStart w:id="914" w:name="_Toc246997097"/>
      <w:r>
        <w:rPr>
          <w:rFonts w:hint="eastAsia" w:ascii="宋体" w:hAnsi="Times New Roman" w:cs="宋体"/>
          <w:color w:val="auto"/>
          <w:szCs w:val="21"/>
          <w:highlight w:val="none"/>
          <w:lang w:val="en-US" w:eastAsia="zh-CN"/>
        </w:rPr>
        <w:t xml:space="preserve">21. 补充条款 </w:t>
      </w:r>
    </w:p>
    <w:p w14:paraId="5613139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本补充条款是专用条款的一部分，其解释顺序优先于专用条款内的其他条款。</w:t>
      </w:r>
    </w:p>
    <w:p w14:paraId="4816E86C">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21.1 人员及职责</w:t>
      </w:r>
    </w:p>
    <w:p w14:paraId="6329F9B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21.1.1 发包人委派的发包人代表或监理工程师（以下简称“工程师”）无权更改合同，也无权解除发包人和承包人的义务和责任。</w:t>
      </w:r>
    </w:p>
    <w:p w14:paraId="72C04AA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21.1.2 发包人代表的任何批准、检查、证书、同意、通知、建议、检验、指令和要求等不解除承包人在合同中的责任。</w:t>
      </w:r>
    </w:p>
    <w:p w14:paraId="23C1C48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21.1.3 承包人只能从发包人代表或其授权代表处接受指令。</w:t>
      </w:r>
    </w:p>
    <w:p w14:paraId="4A68DEE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21.1.4 发包人如需更换发包人代表须提前7天通知承包人。</w:t>
      </w:r>
    </w:p>
    <w:p w14:paraId="2327328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21.1.5 投标人委任的项目经理、项目技术负责人、各专业负责人（其他主要管理人员和技术人员）及施工机械等在整个项目施工期内必须在位。</w:t>
      </w:r>
    </w:p>
    <w:p w14:paraId="2A485A7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承包人的项目经理离开现场的，须经发包人代表同意，并书面指定临时代表，代为行使项目经理的权力；该临时代表的一切行为，甲方均认为是项目经理的行为。</w:t>
      </w:r>
    </w:p>
    <w:p w14:paraId="1FECE28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21.1.6 承包人提交发包人的任何文件，发包人都认为该文件已经承包人内部程序批准；承包人提交的文件发生修改的，应及时将最新版本提交发包人代表。</w:t>
      </w:r>
    </w:p>
    <w:p w14:paraId="281E06A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21.1.7 承包人应始终采取一切合理防范措施来避免在项目人员内部发生违法、动乱或妨碍治安的行为，保持项目的安定；并保护好现场和周围的人员和财产安全。</w:t>
      </w:r>
    </w:p>
    <w:p w14:paraId="69B9EB3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21.1.8 承包人雇佣职员或工人应遵守相关法律法规的规定。</w:t>
      </w:r>
    </w:p>
    <w:p w14:paraId="7D34768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21.1.9 参与本项目的承包人代表或其雇员不遵守合同规定或一贯行为不轨或或不能胜任工作或危害安全，发包人代表有权要求更换；原人选未经发包人许可不得再进入本项目（包括项目经理在内）。</w:t>
      </w:r>
    </w:p>
    <w:p w14:paraId="71070D1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21.1.10 承包人更换项目经理的，须提前14天通知发包人，并征得发包人同意；该行为视为违约，承包人须支付发包人</w:t>
      </w:r>
      <w:r>
        <w:rPr>
          <w:rFonts w:hint="eastAsia" w:ascii="宋体" w:hAnsi="宋体" w:eastAsia="宋体" w:cs="宋体"/>
          <w:kern w:val="2"/>
          <w:sz w:val="21"/>
          <w:szCs w:val="21"/>
          <w:highlight w:val="none"/>
          <w:u w:val="single"/>
          <w:lang w:val="en-US" w:eastAsia="zh-CN" w:bidi="ar"/>
        </w:rPr>
        <w:t xml:space="preserve"> 10  </w:t>
      </w:r>
      <w:r>
        <w:rPr>
          <w:rFonts w:hint="eastAsia" w:ascii="宋体" w:hAnsi="宋体" w:eastAsia="宋体" w:cs="宋体"/>
          <w:kern w:val="2"/>
          <w:sz w:val="21"/>
          <w:szCs w:val="21"/>
          <w:highlight w:val="none"/>
          <w:lang w:val="en-US" w:eastAsia="zh-CN" w:bidi="ar"/>
        </w:rPr>
        <w:t>万元违约金。更换后的项目经理资历、水平不得降低。</w:t>
      </w:r>
    </w:p>
    <w:p w14:paraId="3107F652">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21.2 变更与调整</w:t>
      </w:r>
    </w:p>
    <w:p w14:paraId="6A4CA55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21.2.1 在工程移交前，发包人代表有权签发变更指令，承包人应按照指令来实施变更，并进行工期和费用的估算，提交发包人代表。</w:t>
      </w:r>
    </w:p>
    <w:p w14:paraId="112BB0F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21.2.2 发包人代表收到承包人的估算后，可以决定撤销、修改或确认实施该项变更。</w:t>
      </w:r>
    </w:p>
    <w:p w14:paraId="4822B62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21.2.3 如果承包人认为自己的建议能缩短工期、降低工程实施或运营成本，或对业主产生其他利益，可以向发包人代表提交建议书；建议书的编制费用自理。</w:t>
      </w:r>
    </w:p>
    <w:p w14:paraId="6F0420E3">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21.2.4 如果发包人采纳承包人的建议节省了工程费用，将给予承包人节约费用适当比例的奖励。</w:t>
      </w:r>
    </w:p>
    <w:p w14:paraId="2D971C9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21.2.5 上一款中节省费用的计算方法为：降低的合同额度减去因变更而引起在工程质量、寿命、以及运营效率等方面为发包人带来的潜在损失。</w:t>
      </w:r>
    </w:p>
    <w:p w14:paraId="4F94E707">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21.2.6 任何变更指令都应由发包人代表签发给承包人，承包人收到后应回函说明；涉及到费用调整的，按照相关条款执行。</w:t>
      </w:r>
    </w:p>
    <w:p w14:paraId="177884D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40545A4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21.2.8 未经发包人代表批准，承包人不得对工程进行任何变更。</w:t>
      </w:r>
    </w:p>
    <w:p w14:paraId="19645F6D">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21.3 分包与配合</w:t>
      </w:r>
    </w:p>
    <w:p w14:paraId="7677E378">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21.3.1 承包人进行工程分包的，应遵守通用条款相关规定，发包人视其为承包人自行施工的工程；发包人代表对分包的同意或批准并不解除承包人的任何责任，也不代表发包人对此承担任何责任。</w:t>
      </w:r>
    </w:p>
    <w:p w14:paraId="357E94B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 xml:space="preserve">21.3.2 发包人分包的专业工程范围如下： </w:t>
      </w:r>
    </w:p>
    <w:p w14:paraId="4F50FCF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34577CE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w:t>
      </w:r>
    </w:p>
    <w:p w14:paraId="2169CDB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21.3.3 发包人通过招标方式选择专业工程分包施工单位，承包人参与分包工程的招标，认可招标结果，并作为总包单位与分包工程的中标人（以下简称“分包人”）签订工程分包施工合同。</w:t>
      </w:r>
    </w:p>
    <w:p w14:paraId="3600F53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21.3.4 发包人支付给承包人专业分包工程合同价款（不含设备价格）的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%作为总承包服务配合费用，承包人不得向分包人收取其他费用；该项费用包括但不限于以下内容：</w:t>
      </w:r>
    </w:p>
    <w:p w14:paraId="158D5F0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（1）乙方承担总包责任所发生的费用。</w:t>
      </w:r>
    </w:p>
    <w:p w14:paraId="24F6BA95">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（2）“分包工程”施工完毕、土建工程的收尾和修复以及使用承包人的施工所用水电管线等费用（水电费用装表计量，按照实际用量结算）。</w:t>
      </w:r>
    </w:p>
    <w:p w14:paraId="27F1A46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（3）分包人使用承包人现场临时工程及在用的脚手架、塔吊、施工电梯等费用。</w:t>
      </w:r>
    </w:p>
    <w:p w14:paraId="15161C2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（4）分包人使用工程的施工道路，到总包单位搭伙，使用总包单位的卫生间等。</w:t>
      </w:r>
    </w:p>
    <w:p w14:paraId="2CC64002">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（5）门窗洞口、安装工程管道口、楼地面墙面凿洞、槽等的后塞及修补等，以及整个工程的安全保卫等。</w:t>
      </w:r>
    </w:p>
    <w:p w14:paraId="7119709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（6）为分包人提供标高、轴线、定位，隐蔽工程指引等。</w:t>
      </w:r>
    </w:p>
    <w:p w14:paraId="0E33C26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（7）分包人的工程资料收集整理和移交；工程质量的检验和验收。</w:t>
      </w:r>
    </w:p>
    <w:p w14:paraId="41C095E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（8）保证分包工程在施工期间有足够的工作面，保证其按时开工和连续施工，并承担因乙方原因使分包工程不能按时开工和配合不及时造成的工期延误责任。</w:t>
      </w:r>
    </w:p>
    <w:p w14:paraId="7A25569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21.3.5 配合工程：是指某一位于施工现场内或现场外的工程，并非由承包人施工或总包，但与承包人的工程有一定联系，需要承包人配合的工程；配合工程如下：</w:t>
      </w:r>
    </w:p>
    <w:p w14:paraId="1C65E8EC">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u w:val="single"/>
          <w:lang w:val="en-US" w:eastAsia="zh-CN" w:bidi="ar"/>
        </w:rPr>
        <w:t xml:space="preserve">                                     </w:t>
      </w:r>
    </w:p>
    <w:p w14:paraId="0EE201F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u w:val="single"/>
          <w:lang w:val="en-US" w:eastAsia="zh-CN" w:bidi="ar"/>
        </w:rPr>
        <w:t xml:space="preserve">                                     </w:t>
      </w:r>
    </w:p>
    <w:p w14:paraId="4C50D55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21.3.6 对于配合工程，承包人除不需要承办总包责任外，其他责任和义务同分包工程；发包人给予承包人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万元作为承包人承担配合工作的配合费用。</w:t>
      </w:r>
    </w:p>
    <w:p w14:paraId="6099578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21.3.7 凡在与已交工工程有关联的部位施工时，必须提前向甲方提出书面联系单，经甲方同意，并签字后方可施工。</w:t>
      </w:r>
    </w:p>
    <w:p w14:paraId="4DA29275">
      <w:pPr>
        <w:keepNext/>
        <w:keepLines/>
        <w:widowControl w:val="0"/>
        <w:suppressLineNumbers w:val="0"/>
        <w:adjustRightInd w:val="0"/>
        <w:snapToGrid w:val="0"/>
        <w:spacing w:before="0" w:beforeAutospacing="0" w:after="0" w:afterAutospacing="0" w:line="384" w:lineRule="auto"/>
        <w:ind w:left="0" w:right="0" w:firstLine="420" w:firstLineChars="200"/>
        <w:jc w:val="both"/>
        <w:outlineLvl w:val="3"/>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bidi="ar"/>
        </w:rPr>
        <w:t>21.4 结算</w:t>
      </w:r>
    </w:p>
    <w:p w14:paraId="5CDB86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21.4.1 承包人的投标报价（合同价款）是承包人基于业主提供的资料和现场数据及承包人的解释和现场考察计算出来的，覆盖了完成合同义务所包括的一切工作，不得以漏项或考虑不周提出索赔。</w:t>
      </w:r>
    </w:p>
    <w:p w14:paraId="5EE2F74E">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21.4.2 水电费的结算：</w:t>
      </w:r>
    </w:p>
    <w:p w14:paraId="265C5FC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（1）发包人在现场安装计量装置，承包人负责施工期间的保护，并在工程移交的同时完好地移交给发包人。</w:t>
      </w:r>
    </w:p>
    <w:p w14:paraId="1D7A240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（2）承包人投标报价已经包含水电费用，工程结算时按照发包人实际缴纳的水电费在结算价（税前）中扣除。</w:t>
      </w:r>
    </w:p>
    <w:p w14:paraId="2E11DCBB">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（3）因承包人保护不善造成计量装置损坏，承包人负责修复，并承担由此造成的增加费用（包括修复费用和水电损失费用以及可能发生的罚款或其他费用）。</w:t>
      </w:r>
    </w:p>
    <w:p w14:paraId="299EEA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kern w:val="0"/>
          <w:sz w:val="21"/>
          <w:szCs w:val="21"/>
          <w:highlight w:val="none"/>
          <w:u w:val="single" w:color="FFFFFF"/>
        </w:rPr>
      </w:pPr>
      <w:r>
        <w:rPr>
          <w:rFonts w:hint="eastAsia" w:ascii="宋体" w:hAnsi="宋体" w:eastAsia="宋体" w:cs="宋体"/>
          <w:kern w:val="0"/>
          <w:sz w:val="21"/>
          <w:szCs w:val="21"/>
          <w:highlight w:val="none"/>
          <w:u w:val="single" w:color="FFFFFF"/>
          <w:lang w:val="en-US" w:eastAsia="zh-CN" w:bidi="ar"/>
        </w:rPr>
        <w:t>21.4.3 发包人供应材料设备的结算：材料按照总价的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color="FFFFFF"/>
          <w:lang w:val="en-US" w:eastAsia="zh-CN" w:bidi="ar"/>
        </w:rPr>
        <w:t xml:space="preserve"> %计取保管费（材料数量最多不超过设计文件的用量（可以计算定额损耗））；设备按照总价的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color="FFFFFF"/>
          <w:lang w:val="en-US" w:eastAsia="zh-CN" w:bidi="ar"/>
        </w:rPr>
        <w:t xml:space="preserve"> %计取保管费；此费用仅计取税金。</w:t>
      </w:r>
    </w:p>
    <w:p w14:paraId="5AD5EC2F">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21.5本合同文本未尽事宜，由合同签定双方在发生时具体商定。</w:t>
      </w:r>
    </w:p>
    <w:p w14:paraId="73024D3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0926FEA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  (公章)                           承包人：  (公章)</w:t>
      </w:r>
    </w:p>
    <w:p w14:paraId="7599164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法定代表人或其委托代理人：                 法定代表人或其委托代理人：</w:t>
      </w:r>
    </w:p>
    <w:p w14:paraId="6F43D98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（签字）                                  （签字）</w:t>
      </w:r>
    </w:p>
    <w:p w14:paraId="00D7206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组织机构代码：</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组织机构代码：</w:t>
      </w:r>
      <w:r>
        <w:rPr>
          <w:rFonts w:hint="eastAsia" w:ascii="宋体" w:hAnsi="宋体" w:eastAsia="宋体" w:cs="宋体"/>
          <w:kern w:val="2"/>
          <w:sz w:val="21"/>
          <w:szCs w:val="21"/>
          <w:highlight w:val="none"/>
          <w:u w:val="single"/>
          <w:lang w:val="en-US" w:eastAsia="zh-CN" w:bidi="ar"/>
        </w:rPr>
        <w:t xml:space="preserve">          </w:t>
      </w:r>
    </w:p>
    <w:p w14:paraId="587773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  址：</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地  址：</w:t>
      </w:r>
      <w:r>
        <w:rPr>
          <w:rFonts w:hint="eastAsia" w:ascii="宋体" w:hAnsi="宋体" w:eastAsia="宋体" w:cs="宋体"/>
          <w:kern w:val="2"/>
          <w:sz w:val="21"/>
          <w:szCs w:val="21"/>
          <w:highlight w:val="none"/>
          <w:u w:val="single"/>
          <w:lang w:val="en-US" w:eastAsia="zh-CN" w:bidi="ar"/>
        </w:rPr>
        <w:t xml:space="preserve">                  </w:t>
      </w:r>
    </w:p>
    <w:p w14:paraId="2EB5ACB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邮政编码：</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邮政编码：</w:t>
      </w:r>
      <w:r>
        <w:rPr>
          <w:rFonts w:hint="eastAsia" w:ascii="宋体" w:hAnsi="宋体" w:eastAsia="宋体" w:cs="宋体"/>
          <w:kern w:val="2"/>
          <w:sz w:val="21"/>
          <w:szCs w:val="21"/>
          <w:highlight w:val="none"/>
          <w:u w:val="single"/>
          <w:lang w:val="en-US" w:eastAsia="zh-CN" w:bidi="ar"/>
        </w:rPr>
        <w:t xml:space="preserve">                   </w:t>
      </w:r>
    </w:p>
    <w:p w14:paraId="6ADE8A7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法定代表人：</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法定代表人：</w:t>
      </w:r>
      <w:r>
        <w:rPr>
          <w:rFonts w:hint="eastAsia" w:ascii="宋体" w:hAnsi="宋体" w:eastAsia="宋体" w:cs="宋体"/>
          <w:kern w:val="2"/>
          <w:sz w:val="21"/>
          <w:szCs w:val="21"/>
          <w:highlight w:val="none"/>
          <w:u w:val="single"/>
          <w:lang w:val="en-US" w:eastAsia="zh-CN" w:bidi="ar"/>
        </w:rPr>
        <w:t xml:space="preserve">            </w:t>
      </w:r>
    </w:p>
    <w:p w14:paraId="50F0B1E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委托代理人：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委托代理人：</w:t>
      </w:r>
      <w:r>
        <w:rPr>
          <w:rFonts w:hint="eastAsia" w:ascii="宋体" w:hAnsi="宋体" w:eastAsia="宋体" w:cs="宋体"/>
          <w:kern w:val="2"/>
          <w:sz w:val="21"/>
          <w:szCs w:val="21"/>
          <w:highlight w:val="none"/>
          <w:u w:val="single"/>
          <w:lang w:val="en-US" w:eastAsia="zh-CN" w:bidi="ar"/>
        </w:rPr>
        <w:t xml:space="preserve">                </w:t>
      </w:r>
    </w:p>
    <w:p w14:paraId="338AF73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  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电  话：</w:t>
      </w:r>
      <w:r>
        <w:rPr>
          <w:rFonts w:hint="eastAsia" w:ascii="宋体" w:hAnsi="宋体" w:eastAsia="宋体" w:cs="宋体"/>
          <w:kern w:val="2"/>
          <w:sz w:val="21"/>
          <w:szCs w:val="21"/>
          <w:highlight w:val="none"/>
          <w:u w:val="single"/>
          <w:lang w:val="en-US" w:eastAsia="zh-CN" w:bidi="ar"/>
        </w:rPr>
        <w:t xml:space="preserve">                     </w:t>
      </w:r>
    </w:p>
    <w:p w14:paraId="4673F6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传  真：</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传  真：</w:t>
      </w:r>
      <w:r>
        <w:rPr>
          <w:rFonts w:hint="eastAsia" w:ascii="宋体" w:hAnsi="宋体" w:eastAsia="宋体" w:cs="宋体"/>
          <w:kern w:val="2"/>
          <w:sz w:val="21"/>
          <w:szCs w:val="21"/>
          <w:highlight w:val="none"/>
          <w:u w:val="single"/>
          <w:lang w:val="en-US" w:eastAsia="zh-CN" w:bidi="ar"/>
        </w:rPr>
        <w:t xml:space="preserve">                   </w:t>
      </w:r>
    </w:p>
    <w:p w14:paraId="4D6C46C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电子信箱：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电子信箱：</w:t>
      </w:r>
      <w:r>
        <w:rPr>
          <w:rFonts w:hint="eastAsia" w:ascii="宋体" w:hAnsi="宋体" w:eastAsia="宋体" w:cs="宋体"/>
          <w:kern w:val="2"/>
          <w:sz w:val="21"/>
          <w:szCs w:val="21"/>
          <w:highlight w:val="none"/>
          <w:u w:val="single"/>
          <w:lang w:val="en-US" w:eastAsia="zh-CN" w:bidi="ar"/>
        </w:rPr>
        <w:t xml:space="preserve">                   </w:t>
      </w:r>
    </w:p>
    <w:p w14:paraId="21DC9EC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开户银行：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开户银行：</w:t>
      </w:r>
      <w:r>
        <w:rPr>
          <w:rFonts w:hint="eastAsia" w:ascii="宋体" w:hAnsi="宋体" w:eastAsia="宋体" w:cs="宋体"/>
          <w:kern w:val="2"/>
          <w:sz w:val="21"/>
          <w:szCs w:val="21"/>
          <w:highlight w:val="none"/>
          <w:u w:val="single"/>
          <w:lang w:val="en-US" w:eastAsia="zh-CN" w:bidi="ar"/>
        </w:rPr>
        <w:t xml:space="preserve">                   </w:t>
      </w:r>
    </w:p>
    <w:p w14:paraId="5257058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账  号：</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账  号：</w:t>
      </w:r>
      <w:r>
        <w:rPr>
          <w:rFonts w:hint="eastAsia" w:ascii="宋体" w:hAnsi="宋体" w:eastAsia="宋体" w:cs="宋体"/>
          <w:kern w:val="2"/>
          <w:sz w:val="21"/>
          <w:szCs w:val="21"/>
          <w:highlight w:val="none"/>
          <w:u w:val="single"/>
          <w:lang w:val="en-US" w:eastAsia="zh-CN" w:bidi="ar"/>
        </w:rPr>
        <w:t xml:space="preserve">                     </w:t>
      </w:r>
    </w:p>
    <w:p w14:paraId="63C48556">
      <w:pPr>
        <w:pStyle w:val="217"/>
        <w:widowControl/>
        <w:rPr>
          <w:rFonts w:hint="eastAsia" w:ascii="宋体" w:hAnsi="宋体" w:eastAsia="宋体" w:cs="宋体"/>
          <w:kern w:val="2"/>
          <w:sz w:val="21"/>
          <w:szCs w:val="21"/>
          <w:highlight w:val="none"/>
          <w:lang w:val="en-US" w:eastAsia="zh-CN" w:bidi="ar"/>
        </w:rPr>
      </w:pPr>
      <w:r>
        <w:rPr>
          <w:rFonts w:hint="eastAsia" w:ascii="楷体_GB2312" w:hAnsi="Times" w:eastAsia="楷体_GB2312" w:cs="Times New Roman"/>
          <w:kern w:val="2"/>
          <w:sz w:val="24"/>
          <w:szCs w:val="24"/>
          <w:highlight w:val="none"/>
        </w:rPr>
        <w:t xml:space="preserve"> </w:t>
      </w:r>
      <w:r>
        <w:rPr>
          <w:rFonts w:hint="eastAsia" w:ascii="宋体" w:hAnsi="宋体" w:eastAsia="宋体" w:cs="宋体"/>
          <w:kern w:val="2"/>
          <w:sz w:val="21"/>
          <w:szCs w:val="21"/>
          <w:highlight w:val="none"/>
          <w:lang w:val="en-US" w:eastAsia="zh-CN" w:bidi="ar"/>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5" w:name="_Toc296891265"/>
      <w:bookmarkStart w:id="916" w:name="_Toc296346726"/>
      <w:bookmarkStart w:id="917" w:name="_Toc296347224"/>
      <w:bookmarkStart w:id="918" w:name="_Toc267261692"/>
      <w:bookmarkStart w:id="919" w:name="_Toc296503225"/>
      <w:bookmarkStart w:id="920" w:name="_Toc296891053"/>
      <w:bookmarkStart w:id="921" w:name="_Toc296944564"/>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901"/>
    </w:p>
    <w:bookmarkEnd w:id="915"/>
    <w:bookmarkEnd w:id="916"/>
    <w:bookmarkEnd w:id="917"/>
    <w:bookmarkEnd w:id="918"/>
    <w:bookmarkEnd w:id="919"/>
    <w:bookmarkEnd w:id="920"/>
    <w:bookmarkEnd w:id="921"/>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2"/>
        <w:rPr>
          <w:rFonts w:hint="eastAsia"/>
          <w:color w:val="auto"/>
          <w:highlight w:val="none"/>
        </w:rPr>
      </w:pPr>
    </w:p>
    <w:p w14:paraId="2B3FBC5C">
      <w:pPr>
        <w:rPr>
          <w:rFonts w:hint="eastAsia" w:ascii="宋体" w:hAnsi="宋体" w:cs="宋体"/>
          <w:bCs/>
          <w:color w:val="auto"/>
          <w:sz w:val="24"/>
          <w:highlight w:val="none"/>
        </w:rPr>
      </w:pPr>
      <w:bookmarkStart w:id="922"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3" w:name="_Toc296891266"/>
      <w:bookmarkStart w:id="924" w:name="_Toc296503226"/>
      <w:bookmarkStart w:id="925" w:name="_Toc296944565"/>
      <w:bookmarkStart w:id="926" w:name="_Toc296346727"/>
      <w:bookmarkStart w:id="927" w:name="_Toc296891054"/>
      <w:bookmarkStart w:id="928" w:name="_Toc267261693"/>
      <w:bookmarkStart w:id="929" w:name="_Toc29634722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3"/>
      <w:bookmarkEnd w:id="924"/>
      <w:bookmarkEnd w:id="925"/>
      <w:bookmarkEnd w:id="926"/>
      <w:bookmarkEnd w:id="927"/>
      <w:bookmarkEnd w:id="928"/>
      <w:bookmarkEnd w:id="929"/>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22"/>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30" w:name="_Toc95223491"/>
      <w:r>
        <w:rPr>
          <w:rFonts w:hint="eastAsia" w:ascii="宋体" w:hAnsi="宋体" w:cs="宋体"/>
          <w:bCs/>
          <w:color w:val="auto"/>
          <w:sz w:val="24"/>
          <w:highlight w:val="none"/>
        </w:rPr>
        <w:t>附</w:t>
      </w:r>
      <w:bookmarkStart w:id="931" w:name="_Toc296347226"/>
      <w:bookmarkStart w:id="932" w:name="_Toc296346728"/>
      <w:bookmarkStart w:id="933" w:name="_Toc267261698"/>
      <w:bookmarkStart w:id="934" w:name="_Toc296891267"/>
      <w:bookmarkStart w:id="935" w:name="_Toc296944566"/>
      <w:bookmarkStart w:id="936" w:name="_Toc296503227"/>
      <w:bookmarkStart w:id="937" w:name="_Toc29689105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30"/>
    </w:p>
    <w:bookmarkEnd w:id="931"/>
    <w:bookmarkEnd w:id="932"/>
    <w:bookmarkEnd w:id="933"/>
    <w:bookmarkEnd w:id="934"/>
    <w:bookmarkEnd w:id="935"/>
    <w:bookmarkEnd w:id="936"/>
    <w:bookmarkEnd w:id="937"/>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8" w:name="_Toc95223492"/>
      <w:r>
        <w:rPr>
          <w:rFonts w:hint="eastAsia" w:ascii="宋体" w:hAnsi="宋体" w:cs="宋体"/>
          <w:bCs/>
          <w:color w:val="auto"/>
          <w:sz w:val="24"/>
          <w:highlight w:val="none"/>
        </w:rPr>
        <w:t>附</w:t>
      </w:r>
      <w:bookmarkStart w:id="939" w:name="_Toc296346729"/>
      <w:bookmarkStart w:id="940" w:name="_Toc267261699"/>
      <w:bookmarkStart w:id="941" w:name="_Toc296503228"/>
      <w:bookmarkStart w:id="942" w:name="_Toc296891056"/>
      <w:bookmarkStart w:id="943" w:name="_Toc296944567"/>
      <w:bookmarkStart w:id="944" w:name="_Toc296891268"/>
      <w:bookmarkStart w:id="945" w:name="_Toc296347227"/>
      <w:r>
        <w:rPr>
          <w:rFonts w:hint="eastAsia" w:ascii="宋体" w:hAnsi="宋体" w:cs="宋体"/>
          <w:bCs/>
          <w:color w:val="auto"/>
          <w:sz w:val="24"/>
          <w:highlight w:val="none"/>
        </w:rPr>
        <w:t>件</w:t>
      </w:r>
      <w:bookmarkEnd w:id="939"/>
      <w:bookmarkEnd w:id="940"/>
      <w:bookmarkEnd w:id="941"/>
      <w:bookmarkEnd w:id="942"/>
      <w:bookmarkEnd w:id="943"/>
      <w:bookmarkEnd w:id="944"/>
      <w:bookmarkEnd w:id="945"/>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8"/>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6" w:name="_Toc7655"/>
      <w:bookmarkStart w:id="947" w:name="_Toc95223495"/>
      <w:bookmarkStart w:id="948" w:name="_Toc25726"/>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9" w:name="_Toc9955"/>
      <w:bookmarkStart w:id="950" w:name="_Toc11846"/>
      <w:bookmarkStart w:id="951" w:name="_Toc3028"/>
      <w:r>
        <w:rPr>
          <w:rFonts w:hint="eastAsia" w:ascii="宋体" w:hAnsi="宋体" w:cs="宋体"/>
          <w:bCs/>
          <w:color w:val="auto"/>
          <w:sz w:val="24"/>
          <w:highlight w:val="none"/>
        </w:rPr>
        <w:t>附</w:t>
      </w:r>
      <w:bookmarkStart w:id="952" w:name="_Toc296346732"/>
      <w:bookmarkStart w:id="953" w:name="_Toc296891059"/>
      <w:bookmarkStart w:id="954" w:name="_Toc296944570"/>
      <w:bookmarkStart w:id="955" w:name="_Toc296891271"/>
      <w:bookmarkStart w:id="956" w:name="_Toc296503231"/>
      <w:bookmarkStart w:id="957" w:name="_Toc29634723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6"/>
      <w:bookmarkEnd w:id="947"/>
      <w:bookmarkEnd w:id="948"/>
      <w:bookmarkEnd w:id="949"/>
      <w:bookmarkEnd w:id="950"/>
      <w:bookmarkEnd w:id="951"/>
    </w:p>
    <w:bookmarkEnd w:id="952"/>
    <w:bookmarkEnd w:id="953"/>
    <w:bookmarkEnd w:id="954"/>
    <w:bookmarkEnd w:id="955"/>
    <w:bookmarkEnd w:id="956"/>
    <w:bookmarkEnd w:id="957"/>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8" w:name="_Toc2825"/>
      <w:bookmarkStart w:id="959" w:name="_Toc9808"/>
      <w:bookmarkStart w:id="960" w:name="_Toc7607"/>
      <w:bookmarkStart w:id="961" w:name="_Toc95223496"/>
      <w:bookmarkStart w:id="962" w:name="_Toc26094"/>
      <w:bookmarkStart w:id="963" w:name="_Toc26092"/>
      <w:r>
        <w:rPr>
          <w:rFonts w:hint="eastAsia" w:ascii="宋体" w:hAnsi="宋体" w:cs="宋体"/>
          <w:b/>
          <w:bCs/>
          <w:color w:val="auto"/>
          <w:kern w:val="0"/>
          <w:sz w:val="32"/>
          <w:szCs w:val="32"/>
          <w:highlight w:val="none"/>
        </w:rPr>
        <w:t>廉 政 协 议</w:t>
      </w:r>
      <w:bookmarkEnd w:id="958"/>
      <w:bookmarkEnd w:id="959"/>
      <w:bookmarkEnd w:id="960"/>
      <w:bookmarkEnd w:id="961"/>
      <w:bookmarkEnd w:id="962"/>
      <w:bookmarkEnd w:id="963"/>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21306"/>
      <w:bookmarkStart w:id="965" w:name="_Toc95223497"/>
      <w:bookmarkStart w:id="966" w:name="_Toc8556"/>
      <w:bookmarkStart w:id="967" w:name="_Toc23614"/>
      <w:bookmarkStart w:id="968" w:name="_Toc9888"/>
      <w:bookmarkStart w:id="969" w:name="_Toc10794"/>
      <w:r>
        <w:rPr>
          <w:rFonts w:hint="eastAsia" w:ascii="宋体" w:hAnsi="宋体" w:cs="宋体"/>
          <w:color w:val="auto"/>
          <w:kern w:val="0"/>
          <w:szCs w:val="21"/>
          <w:highlight w:val="none"/>
        </w:rPr>
        <w:t>第一条 甲乙双方的权利和义务</w:t>
      </w:r>
      <w:bookmarkEnd w:id="964"/>
      <w:bookmarkEnd w:id="965"/>
      <w:bookmarkEnd w:id="966"/>
      <w:bookmarkEnd w:id="967"/>
      <w:bookmarkEnd w:id="968"/>
      <w:bookmarkEnd w:id="969"/>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70" w:name="_Toc27534"/>
      <w:bookmarkStart w:id="971" w:name="_Toc3866"/>
      <w:bookmarkStart w:id="972" w:name="_Toc20007"/>
      <w:bookmarkStart w:id="973" w:name="_Toc95223498"/>
      <w:bookmarkStart w:id="974" w:name="_Toc1917"/>
      <w:bookmarkStart w:id="975" w:name="_Toc28206"/>
      <w:r>
        <w:rPr>
          <w:rFonts w:hint="eastAsia" w:ascii="宋体" w:hAnsi="宋体" w:cs="宋体"/>
          <w:color w:val="auto"/>
          <w:kern w:val="0"/>
          <w:szCs w:val="21"/>
          <w:highlight w:val="none"/>
        </w:rPr>
        <w:t>第二条 甲方的义务</w:t>
      </w:r>
      <w:bookmarkEnd w:id="970"/>
      <w:bookmarkEnd w:id="971"/>
      <w:bookmarkEnd w:id="972"/>
      <w:bookmarkEnd w:id="973"/>
      <w:bookmarkEnd w:id="974"/>
      <w:bookmarkEnd w:id="975"/>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20831"/>
      <w:bookmarkStart w:id="977" w:name="_Toc27727"/>
      <w:bookmarkStart w:id="978" w:name="_Toc11255"/>
      <w:bookmarkStart w:id="979" w:name="_Toc95223499"/>
      <w:bookmarkStart w:id="980" w:name="_Toc10556"/>
      <w:bookmarkStart w:id="981" w:name="_Toc22106"/>
      <w:r>
        <w:rPr>
          <w:rFonts w:hint="eastAsia" w:ascii="宋体" w:hAnsi="宋体" w:cs="宋体"/>
          <w:color w:val="auto"/>
          <w:kern w:val="0"/>
          <w:szCs w:val="21"/>
          <w:highlight w:val="none"/>
        </w:rPr>
        <w:t>第三条 乙方的义务</w:t>
      </w:r>
      <w:bookmarkEnd w:id="976"/>
      <w:bookmarkEnd w:id="977"/>
      <w:bookmarkEnd w:id="978"/>
      <w:bookmarkEnd w:id="979"/>
      <w:bookmarkEnd w:id="980"/>
      <w:bookmarkEnd w:id="981"/>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82" w:name="_Toc30703"/>
      <w:bookmarkStart w:id="983" w:name="_Toc2198"/>
      <w:bookmarkStart w:id="984" w:name="_Toc4145"/>
      <w:bookmarkStart w:id="985" w:name="_Toc95223500"/>
      <w:bookmarkStart w:id="986" w:name="_Toc14507"/>
      <w:bookmarkStart w:id="987" w:name="_Toc7904"/>
      <w:r>
        <w:rPr>
          <w:rFonts w:hint="eastAsia" w:ascii="宋体" w:hAnsi="宋体" w:cs="宋体"/>
          <w:color w:val="auto"/>
          <w:kern w:val="0"/>
          <w:szCs w:val="21"/>
          <w:highlight w:val="none"/>
        </w:rPr>
        <w:t>第四条 违约责任</w:t>
      </w:r>
      <w:bookmarkEnd w:id="982"/>
      <w:bookmarkEnd w:id="983"/>
      <w:bookmarkEnd w:id="984"/>
      <w:bookmarkEnd w:id="985"/>
      <w:bookmarkEnd w:id="986"/>
      <w:bookmarkEnd w:id="987"/>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88" w:name="_Toc29845"/>
      <w:bookmarkStart w:id="989" w:name="_Toc26114"/>
      <w:bookmarkStart w:id="990" w:name="_Toc10228"/>
      <w:bookmarkStart w:id="991" w:name="_Toc2334"/>
      <w:bookmarkStart w:id="992" w:name="_Toc6544"/>
      <w:bookmarkStart w:id="993" w:name="_Toc95223501"/>
      <w:r>
        <w:rPr>
          <w:rFonts w:hint="eastAsia" w:ascii="宋体" w:hAnsi="宋体" w:cs="宋体"/>
          <w:color w:val="auto"/>
          <w:kern w:val="0"/>
          <w:szCs w:val="21"/>
          <w:highlight w:val="none"/>
        </w:rPr>
        <w:t>第五条 双方约定</w:t>
      </w:r>
      <w:bookmarkEnd w:id="988"/>
      <w:bookmarkEnd w:id="989"/>
      <w:bookmarkEnd w:id="990"/>
      <w:bookmarkEnd w:id="991"/>
      <w:bookmarkEnd w:id="992"/>
      <w:bookmarkEnd w:id="993"/>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94" w:name="_Toc95223502"/>
      <w:bookmarkStart w:id="995" w:name="_Toc17717"/>
      <w:bookmarkStart w:id="996" w:name="_Toc19293"/>
      <w:bookmarkStart w:id="997" w:name="_Toc8779"/>
      <w:bookmarkStart w:id="998" w:name="_Toc32140"/>
      <w:bookmarkStart w:id="999" w:name="_Toc10240"/>
      <w:r>
        <w:rPr>
          <w:rFonts w:hint="eastAsia" w:ascii="宋体" w:hAnsi="宋体" w:cs="宋体"/>
          <w:color w:val="auto"/>
          <w:kern w:val="0"/>
          <w:szCs w:val="21"/>
          <w:highlight w:val="none"/>
        </w:rPr>
        <w:t>第六条  本协议有效期为甲乙双方签署之日起至合同终止。</w:t>
      </w:r>
      <w:bookmarkEnd w:id="994"/>
      <w:bookmarkEnd w:id="995"/>
      <w:bookmarkEnd w:id="996"/>
      <w:bookmarkEnd w:id="997"/>
      <w:bookmarkEnd w:id="998"/>
      <w:bookmarkEnd w:id="999"/>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1000" w:name="_Toc24032"/>
      <w:bookmarkStart w:id="1001" w:name="_Toc28117"/>
      <w:bookmarkStart w:id="1002" w:name="_Toc1871"/>
      <w:bookmarkStart w:id="1003" w:name="_Toc95223503"/>
      <w:bookmarkStart w:id="1004" w:name="_Toc19977"/>
      <w:bookmarkStart w:id="1005" w:name="_Toc22264"/>
      <w:r>
        <w:rPr>
          <w:rFonts w:hint="eastAsia" w:ascii="宋体" w:hAnsi="宋体" w:cs="宋体"/>
          <w:color w:val="auto"/>
          <w:kern w:val="0"/>
          <w:szCs w:val="21"/>
          <w:highlight w:val="none"/>
        </w:rPr>
        <w:t>第七条  本协议作为合同的附件，与本合同具有同等法律效力。</w:t>
      </w:r>
      <w:bookmarkEnd w:id="1000"/>
      <w:bookmarkEnd w:id="1001"/>
      <w:bookmarkEnd w:id="1002"/>
      <w:bookmarkEnd w:id="1003"/>
      <w:bookmarkEnd w:id="1004"/>
      <w:bookmarkEnd w:id="1005"/>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006"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1006"/>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1007" w:name="_Toc25855"/>
      <w:bookmarkStart w:id="1008" w:name="_Toc10603"/>
      <w:bookmarkStart w:id="1009" w:name="_Toc28010"/>
      <w:bookmarkStart w:id="1010" w:name="_Toc10681"/>
      <w:bookmarkStart w:id="1011" w:name="_Toc95223505"/>
      <w:bookmarkStart w:id="1012" w:name="_Toc8655"/>
      <w:r>
        <w:rPr>
          <w:rFonts w:hint="eastAsia" w:ascii="宋体" w:hAnsi="宋体" w:cs="宋体"/>
          <w:b/>
          <w:bCs/>
          <w:color w:val="auto"/>
          <w:sz w:val="32"/>
          <w:szCs w:val="32"/>
          <w:highlight w:val="none"/>
        </w:rPr>
        <w:t>履约保函示范文本</w:t>
      </w:r>
      <w:bookmarkEnd w:id="1007"/>
      <w:bookmarkEnd w:id="1008"/>
      <w:bookmarkEnd w:id="1009"/>
      <w:bookmarkEnd w:id="1010"/>
      <w:bookmarkEnd w:id="1011"/>
      <w:bookmarkEnd w:id="1012"/>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1013"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13"/>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14" w:name="_Hlk40303486"/>
      <w:r>
        <w:rPr>
          <w:rFonts w:hint="eastAsia" w:ascii="宋体" w:hAnsi="宋体" w:cs="宋体"/>
          <w:color w:val="auto"/>
          <w:szCs w:val="21"/>
          <w:highlight w:val="none"/>
        </w:rPr>
        <w:t>受益人发出的书面付款通知应由其法定代表人（负责人）或授权代理人签字并加盖公章。</w:t>
      </w:r>
      <w:bookmarkEnd w:id="1014"/>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1015" w:name="_Hlk40303383"/>
      <w:bookmarkStart w:id="1016"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15"/>
      <w:r>
        <w:rPr>
          <w:rFonts w:hint="eastAsia" w:ascii="宋体" w:hAnsi="宋体" w:cs="宋体"/>
          <w:color w:val="auto"/>
          <w:szCs w:val="21"/>
          <w:highlight w:val="none"/>
        </w:rPr>
        <w:t xml:space="preserve">由受益人所在地人民法院管辖。 </w:t>
      </w:r>
    </w:p>
    <w:bookmarkEnd w:id="1016"/>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17"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17"/>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1355522F">
      <w:pPr>
        <w:keepNext/>
        <w:keepLines/>
        <w:spacing w:before="120" w:after="120" w:line="360" w:lineRule="auto"/>
        <w:jc w:val="left"/>
        <w:outlineLvl w:val="2"/>
        <w:rPr>
          <w:rFonts w:hint="eastAsia" w:ascii="宋体" w:hAnsi="宋体" w:cs="宋体"/>
          <w:color w:val="auto"/>
          <w:highlight w:val="none"/>
        </w:rPr>
        <w:sectPr>
          <w:footerReference r:id="rId5"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18"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18"/>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19" w:name="_Toc32439"/>
      <w:bookmarkStart w:id="1020" w:name="_Toc95223512"/>
      <w:bookmarkStart w:id="1021" w:name="_Toc31602"/>
      <w:bookmarkStart w:id="1022" w:name="_Toc16956"/>
      <w:bookmarkStart w:id="1023" w:name="_Toc26993"/>
      <w:bookmarkStart w:id="1024" w:name="_Toc17347"/>
      <w:r>
        <w:rPr>
          <w:rFonts w:hint="eastAsia" w:ascii="宋体" w:hAnsi="宋体" w:cs="宋体"/>
          <w:b/>
          <w:color w:val="auto"/>
          <w:sz w:val="32"/>
          <w:szCs w:val="32"/>
          <w:highlight w:val="none"/>
        </w:rPr>
        <w:t>安全生产合同</w:t>
      </w:r>
      <w:bookmarkEnd w:id="1019"/>
      <w:bookmarkEnd w:id="1020"/>
      <w:bookmarkEnd w:id="1021"/>
      <w:bookmarkEnd w:id="1022"/>
      <w:bookmarkEnd w:id="1023"/>
      <w:bookmarkEnd w:id="1024"/>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25"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25"/>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26" w:name="_Toc4934"/>
      <w:bookmarkStart w:id="1027" w:name="_Toc31476"/>
      <w:bookmarkStart w:id="1028" w:name="_Toc20282"/>
      <w:bookmarkStart w:id="1029" w:name="_Toc19059"/>
      <w:bookmarkStart w:id="1030" w:name="_Toc95223514"/>
      <w:bookmarkStart w:id="1031" w:name="_Toc11057"/>
      <w:r>
        <w:rPr>
          <w:rFonts w:hint="eastAsia" w:ascii="宋体" w:hAnsi="宋体" w:cs="宋体"/>
          <w:b/>
          <w:color w:val="auto"/>
          <w:sz w:val="32"/>
          <w:szCs w:val="32"/>
          <w:highlight w:val="none"/>
        </w:rPr>
        <w:t>项目经理质量终身责任制承诺</w:t>
      </w:r>
      <w:bookmarkEnd w:id="1026"/>
      <w:bookmarkEnd w:id="1027"/>
      <w:bookmarkEnd w:id="1028"/>
      <w:bookmarkEnd w:id="1029"/>
      <w:bookmarkEnd w:id="1030"/>
      <w:bookmarkEnd w:id="1031"/>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0"/>
        </w:numPr>
        <w:spacing w:beforeLines="50" w:afterLines="50" w:line="440" w:lineRule="exact"/>
        <w:rPr>
          <w:rFonts w:hint="eastAsia" w:eastAsia="宋体" w:cs="Times New Roman"/>
          <w:bCs/>
          <w:color w:val="auto"/>
          <w:szCs w:val="32"/>
          <w:highlight w:val="none"/>
        </w:rPr>
      </w:pPr>
      <w:bookmarkStart w:id="1032" w:name="_Toc4767"/>
      <w:bookmarkStart w:id="1033" w:name="_Toc95223515"/>
      <w:bookmarkStart w:id="1034" w:name="_Toc23990"/>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1035" w:name="_Toc10898"/>
      <w:bookmarkStart w:id="1036" w:name="_Toc3388"/>
      <w:r>
        <w:rPr>
          <w:rFonts w:hint="eastAsia" w:eastAsia="宋体" w:cs="Times New Roman"/>
          <w:bCs/>
          <w:color w:val="auto"/>
          <w:szCs w:val="32"/>
          <w:highlight w:val="none"/>
        </w:rPr>
        <w:t>工程量清单</w:t>
      </w:r>
      <w:bookmarkEnd w:id="1032"/>
      <w:bookmarkEnd w:id="1033"/>
      <w:bookmarkEnd w:id="1034"/>
      <w:bookmarkEnd w:id="1035"/>
      <w:bookmarkEnd w:id="1036"/>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37" w:name="_Toc1620"/>
      <w:bookmarkStart w:id="1038" w:name="_Toc95223516"/>
      <w:r>
        <w:rPr>
          <w:rFonts w:hint="eastAsia" w:ascii="宋体" w:hAnsi="宋体" w:cs="宋体"/>
          <w:b/>
          <w:bCs/>
          <w:color w:val="auto"/>
          <w:szCs w:val="21"/>
          <w:highlight w:val="none"/>
        </w:rPr>
        <w:t>1. 计价依据</w:t>
      </w:r>
      <w:bookmarkEnd w:id="1037"/>
      <w:bookmarkEnd w:id="1038"/>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39" w:name="_Toc95223518"/>
      <w:bookmarkStart w:id="1040" w:name="_Toc19788"/>
      <w:bookmarkStart w:id="1041" w:name="_Toc95223521"/>
      <w:bookmarkStart w:id="1042" w:name="_Toc4881"/>
      <w:r>
        <w:rPr>
          <w:rFonts w:hint="eastAsia" w:ascii="宋体" w:hAnsi="宋体" w:eastAsia="宋体" w:cs="宋体"/>
          <w:b/>
          <w:bCs/>
          <w:color w:val="auto"/>
          <w:szCs w:val="21"/>
          <w:highlight w:val="none"/>
          <w:lang w:val="en-US" w:eastAsia="zh-CN"/>
        </w:rPr>
        <w:t>招标工程量清单编制要求</w:t>
      </w:r>
      <w:bookmarkEnd w:id="1039"/>
      <w:bookmarkEnd w:id="1040"/>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3" w:name="_Toc95223519"/>
      <w:bookmarkStart w:id="1044" w:name="_Toc23910"/>
      <w:r>
        <w:rPr>
          <w:rFonts w:hint="eastAsia" w:ascii="宋体" w:hAnsi="宋体" w:eastAsia="宋体" w:cs="宋体"/>
          <w:b/>
          <w:bCs/>
          <w:color w:val="auto"/>
          <w:szCs w:val="21"/>
          <w:highlight w:val="none"/>
          <w:lang w:val="en-US" w:eastAsia="zh-CN"/>
        </w:rPr>
        <w:t>4. 最高投标限价编制要求</w:t>
      </w:r>
      <w:bookmarkEnd w:id="1043"/>
      <w:bookmarkEnd w:id="1044"/>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45" w:name="_Toc95223520"/>
      <w:bookmarkStart w:id="1046" w:name="_Toc4166"/>
      <w:r>
        <w:rPr>
          <w:rFonts w:hint="eastAsia" w:ascii="宋体" w:hAnsi="宋体" w:eastAsia="宋体" w:cs="宋体"/>
          <w:b/>
          <w:bCs/>
          <w:color w:val="auto"/>
          <w:szCs w:val="21"/>
          <w:highlight w:val="none"/>
          <w:lang w:val="en-US" w:eastAsia="zh-CN"/>
        </w:rPr>
        <w:t>5. 投标报价参考编制要求</w:t>
      </w:r>
      <w:bookmarkEnd w:id="1045"/>
      <w:bookmarkEnd w:id="1046"/>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41"/>
      <w:bookmarkEnd w:id="1042"/>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47" w:name="_Toc20597"/>
      <w:bookmarkStart w:id="1048" w:name="_Toc25013"/>
      <w:bookmarkStart w:id="1049"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1047"/>
      <w:bookmarkEnd w:id="1048"/>
      <w:bookmarkEnd w:id="1049"/>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bookmarkStart w:id="1050" w:name="_Toc18733"/>
      <w:bookmarkStart w:id="1051" w:name="_Toc23816"/>
      <w:bookmarkStart w:id="1052" w:name="_Toc5510"/>
      <w:r>
        <w:rPr>
          <w:rFonts w:hint="eastAsia" w:eastAsia="宋体" w:cs="Times New Roman"/>
          <w:bCs/>
          <w:color w:val="auto"/>
          <w:szCs w:val="32"/>
          <w:highlight w:val="none"/>
          <w:lang w:val="en-US" w:eastAsia="zh-CN"/>
        </w:rPr>
        <w:t>另附</w:t>
      </w:r>
      <w:bookmarkEnd w:id="1050"/>
      <w:bookmarkEnd w:id="1051"/>
      <w:bookmarkEnd w:id="1052"/>
    </w:p>
    <w:p w14:paraId="2D37CADC">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1053" w:name="_Toc24902"/>
      <w:r>
        <w:rPr>
          <w:rFonts w:hint="eastAsia" w:cs="Times New Roman"/>
          <w:bCs/>
          <w:color w:val="auto"/>
          <w:szCs w:val="32"/>
          <w:highlight w:val="none"/>
          <w:lang w:val="en-US" w:eastAsia="zh-CN"/>
        </w:rPr>
        <w:t>第七章  技术标准和要求</w:t>
      </w:r>
      <w:bookmarkEnd w:id="1053"/>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5、如国家对上述标准规范有调整，按最新标准和规范为准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54" w:name="_Toc10062"/>
      <w:bookmarkStart w:id="1055" w:name="_Toc5279"/>
      <w:bookmarkStart w:id="1056" w:name="_Toc827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1054"/>
      <w:bookmarkEnd w:id="1055"/>
      <w:bookmarkEnd w:id="1056"/>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57" w:name="_Toc12683"/>
      <w:bookmarkStart w:id="1058" w:name="_Toc35424971"/>
      <w:bookmarkStart w:id="1059" w:name="_Toc35425137"/>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60" w:name="_Toc78803399"/>
      <w:r>
        <w:rPr>
          <w:rStyle w:val="65"/>
          <w:rFonts w:hint="eastAsia" w:ascii="宋体" w:hAnsi="宋体" w:cs="宋体"/>
          <w:color w:val="auto"/>
          <w:sz w:val="32"/>
          <w:highlight w:val="none"/>
        </w:rPr>
        <w:br w:type="page"/>
      </w:r>
      <w:bookmarkStart w:id="1061" w:name="_Toc30830"/>
      <w:bookmarkStart w:id="1062" w:name="_Toc32179"/>
      <w:bookmarkStart w:id="1063" w:name="_Toc25912"/>
      <w:r>
        <w:rPr>
          <w:rStyle w:val="65"/>
          <w:rFonts w:hint="eastAsia" w:ascii="宋体" w:hAnsi="宋体" w:cs="宋体"/>
          <w:color w:val="auto"/>
          <w:sz w:val="32"/>
          <w:highlight w:val="none"/>
        </w:rPr>
        <w:t>投标文件一</w:t>
      </w:r>
      <w:bookmarkEnd w:id="1057"/>
      <w:bookmarkEnd w:id="1058"/>
      <w:bookmarkEnd w:id="1059"/>
      <w:bookmarkEnd w:id="1060"/>
      <w:bookmarkEnd w:id="1061"/>
      <w:bookmarkEnd w:id="1062"/>
      <w:bookmarkEnd w:id="1063"/>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912D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）项目管理机构；</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64" w:name="_Toc26598"/>
      <w:bookmarkStart w:id="1065" w:name="_Toc503196197"/>
      <w:bookmarkStart w:id="1066"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64"/>
      <w:bookmarkEnd w:id="1065"/>
      <w:bookmarkEnd w:id="1066"/>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70C33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23328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0C0D8413">
      <w:pPr>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br w:type="page"/>
      </w:r>
    </w:p>
    <w:p w14:paraId="3B01EDA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lang w:eastAsia="zh-CN"/>
        </w:rPr>
        <w:t>）项目管理机构</w:t>
      </w:r>
    </w:p>
    <w:p w14:paraId="254C31D1">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kern w:val="2"/>
          <w:sz w:val="28"/>
          <w:szCs w:val="28"/>
          <w:highlight w:val="none"/>
        </w:rPr>
      </w:pPr>
      <w:r>
        <w:rPr>
          <w:rFonts w:hint="eastAsia" w:ascii="黑体" w:hAnsi="宋体" w:eastAsia="黑体" w:cs="黑体"/>
          <w:b/>
          <w:bCs/>
          <w:kern w:val="2"/>
          <w:sz w:val="28"/>
          <w:szCs w:val="28"/>
          <w:highlight w:val="none"/>
          <w:lang w:val="en-US" w:eastAsia="zh-CN" w:bidi="ar"/>
        </w:rPr>
        <w:t>附表</w:t>
      </w:r>
      <w:r>
        <w:rPr>
          <w:rFonts w:hint="default" w:ascii="Arial" w:hAnsi="Arial" w:eastAsia="黑体" w:cs="Arial"/>
          <w:b/>
          <w:bCs/>
          <w:kern w:val="2"/>
          <w:sz w:val="28"/>
          <w:szCs w:val="28"/>
          <w:highlight w:val="none"/>
          <w:lang w:val="en-US" w:eastAsia="zh-CN" w:bidi="ar"/>
        </w:rPr>
        <w:t>1</w:t>
      </w:r>
      <w:r>
        <w:rPr>
          <w:rFonts w:hint="eastAsia" w:ascii="黑体" w:hAnsi="宋体" w:eastAsia="黑体" w:cs="黑体"/>
          <w:b/>
          <w:bCs/>
          <w:kern w:val="2"/>
          <w:sz w:val="28"/>
          <w:szCs w:val="28"/>
          <w:highlight w:val="none"/>
          <w:lang w:val="en-US" w:eastAsia="zh-CN" w:bidi="ar"/>
        </w:rPr>
        <w:t>：项目管理机构主要人员组成表</w:t>
      </w:r>
    </w:p>
    <w:tbl>
      <w:tblPr>
        <w:tblStyle w:val="4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53D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8BB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职务</w:t>
            </w: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CA849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姓名</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374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职称</w:t>
            </w:r>
          </w:p>
        </w:tc>
        <w:tc>
          <w:tcPr>
            <w:tcW w:w="65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B04A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执业或职业资格证明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E0D4B9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7A13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6" w:hRule="atLeast"/>
          <w:jc w:val="center"/>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90F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CF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49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D90324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证书名称</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08CE7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级别</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A46EEA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证号</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635F1C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专业</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9CFDCF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养老保险</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205F99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539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B6E96E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项目经理（建造师）</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6211F50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13D31036">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D4FDD5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14:paraId="287CAAB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D09A45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BFF61A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FE4237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3AA7E4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0055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76ABA2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技术负责人</w:t>
            </w: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119A2A1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1650996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FECC85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C2E211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C68E91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4B7E56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7C56937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2F88B18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19C1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B81F5B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01D039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76B3C0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66F5BF42">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47B296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7492D35A">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3F77BAC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2DE80D4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5C5FDF5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405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6B3172D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3929468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B7271D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top"/>
          </w:tcPr>
          <w:p w14:paraId="311933D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0EDAE8B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14:paraId="57E4370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vAlign w:val="top"/>
          </w:tcPr>
          <w:p w14:paraId="20C747A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single" w:color="auto" w:sz="4" w:space="0"/>
              <w:bottom w:val="single" w:color="auto" w:sz="4" w:space="0"/>
              <w:right w:val="single" w:color="auto" w:sz="4" w:space="0"/>
            </w:tcBorders>
            <w:shd w:val="clear" w:color="auto" w:fill="auto"/>
            <w:vAlign w:val="top"/>
          </w:tcPr>
          <w:p w14:paraId="0A6491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top"/>
          </w:tcPr>
          <w:p w14:paraId="7EE174C1">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747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174CFD37">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4A88812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F04902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65BB8E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26C1394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2D1B890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22EC113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17F83BA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268E66FD">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r w14:paraId="7A6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top"/>
          </w:tcPr>
          <w:p w14:paraId="58912FF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7957CF4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7B13356C">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top"/>
          </w:tcPr>
          <w:p w14:paraId="547AD3FE">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2" w:type="dxa"/>
            <w:tcBorders>
              <w:top w:val="single" w:color="auto" w:sz="4" w:space="0"/>
              <w:left w:val="nil"/>
              <w:bottom w:val="single" w:color="auto" w:sz="4" w:space="0"/>
              <w:right w:val="single" w:color="auto" w:sz="4" w:space="0"/>
            </w:tcBorders>
            <w:shd w:val="clear" w:color="auto" w:fill="auto"/>
            <w:vAlign w:val="top"/>
          </w:tcPr>
          <w:p w14:paraId="1FA0834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4" w:type="dxa"/>
            <w:tcBorders>
              <w:top w:val="single" w:color="auto" w:sz="4" w:space="0"/>
              <w:left w:val="nil"/>
              <w:bottom w:val="single" w:color="auto" w:sz="4" w:space="0"/>
              <w:right w:val="single" w:color="auto" w:sz="4" w:space="0"/>
            </w:tcBorders>
            <w:shd w:val="clear" w:color="auto" w:fill="auto"/>
            <w:vAlign w:val="top"/>
          </w:tcPr>
          <w:p w14:paraId="05087569">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811" w:type="dxa"/>
            <w:tcBorders>
              <w:top w:val="single" w:color="auto" w:sz="4" w:space="0"/>
              <w:left w:val="nil"/>
              <w:bottom w:val="single" w:color="auto" w:sz="4" w:space="0"/>
              <w:right w:val="single" w:color="auto" w:sz="4" w:space="0"/>
            </w:tcBorders>
            <w:shd w:val="clear" w:color="auto" w:fill="auto"/>
            <w:vAlign w:val="top"/>
          </w:tcPr>
          <w:p w14:paraId="479B8D60">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2848" w:type="dxa"/>
            <w:tcBorders>
              <w:top w:val="single" w:color="auto" w:sz="4" w:space="0"/>
              <w:left w:val="nil"/>
              <w:bottom w:val="single" w:color="auto" w:sz="4" w:space="0"/>
              <w:right w:val="single" w:color="auto" w:sz="4" w:space="0"/>
            </w:tcBorders>
            <w:shd w:val="clear" w:color="auto" w:fill="auto"/>
            <w:vAlign w:val="top"/>
          </w:tcPr>
          <w:p w14:paraId="46EB2265">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c>
          <w:tcPr>
            <w:tcW w:w="759" w:type="dxa"/>
            <w:tcBorders>
              <w:top w:val="single" w:color="auto" w:sz="4" w:space="0"/>
              <w:left w:val="nil"/>
              <w:bottom w:val="single" w:color="auto" w:sz="4" w:space="0"/>
              <w:right w:val="single" w:color="auto" w:sz="4" w:space="0"/>
            </w:tcBorders>
            <w:shd w:val="clear" w:color="auto" w:fill="auto"/>
            <w:vAlign w:val="top"/>
          </w:tcPr>
          <w:p w14:paraId="537CEA24">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宋体" w:cs="Times New Roman"/>
                <w:kern w:val="2"/>
                <w:sz w:val="21"/>
                <w:szCs w:val="21"/>
                <w:highlight w:val="none"/>
              </w:rPr>
            </w:pPr>
          </w:p>
        </w:tc>
      </w:tr>
    </w:tbl>
    <w:p w14:paraId="30965F5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b/>
          <w:bCs w:val="0"/>
          <w:kern w:val="2"/>
          <w:sz w:val="21"/>
          <w:szCs w:val="21"/>
          <w:highlight w:val="none"/>
          <w:lang w:val="en-US" w:eastAsia="zh-CN" w:bidi="ar"/>
        </w:rPr>
        <w:t>备注：</w:t>
      </w:r>
      <w:r>
        <w:rPr>
          <w:rFonts w:hint="eastAsia" w:ascii="宋体" w:hAnsi="宋体" w:eastAsia="宋体" w:cs="宋体"/>
          <w:kern w:val="2"/>
          <w:sz w:val="21"/>
          <w:szCs w:val="21"/>
          <w:highlight w:val="none"/>
          <w:lang w:val="en-US" w:eastAsia="zh-CN" w:bidi="ar"/>
        </w:rPr>
        <w:t>根据安徽省住房和城乡建设厅《关于调整招标投标活动中有关住房城乡建设领域现场专业人员证书要求的通知》（建市函〔</w:t>
      </w:r>
      <w:r>
        <w:rPr>
          <w:rFonts w:hint="default" w:ascii="Times New Roman" w:hAnsi="Times New Roman" w:eastAsia="宋体" w:cs="Times New Roman"/>
          <w:kern w:val="2"/>
          <w:sz w:val="21"/>
          <w:szCs w:val="21"/>
          <w:highlight w:val="none"/>
          <w:lang w:val="en-US" w:eastAsia="zh-CN" w:bidi="ar"/>
        </w:rPr>
        <w:t>2019</w:t>
      </w:r>
      <w:r>
        <w:rPr>
          <w:rFonts w:hint="eastAsia" w:ascii="宋体" w:hAnsi="宋体" w:eastAsia="宋体" w:cs="宋体"/>
          <w:kern w:val="2"/>
          <w:sz w:val="21"/>
          <w:szCs w:val="21"/>
          <w:highlight w:val="none"/>
          <w:lang w:val="en-US" w:eastAsia="zh-CN" w:bidi="ar"/>
        </w:rPr>
        <w:t>〕</w:t>
      </w:r>
      <w:r>
        <w:rPr>
          <w:rFonts w:hint="default" w:ascii="Times New Roman" w:hAnsi="Times New Roman" w:eastAsia="宋体" w:cs="Times New Roman"/>
          <w:kern w:val="2"/>
          <w:sz w:val="21"/>
          <w:szCs w:val="21"/>
          <w:highlight w:val="none"/>
          <w:lang w:val="en-US" w:eastAsia="zh-CN" w:bidi="ar"/>
        </w:rPr>
        <w:t xml:space="preserve">1112 </w:t>
      </w:r>
      <w:r>
        <w:rPr>
          <w:rFonts w:hint="eastAsia" w:ascii="宋体" w:hAnsi="宋体" w:eastAsia="宋体" w:cs="宋体"/>
          <w:kern w:val="2"/>
          <w:sz w:val="21"/>
          <w:szCs w:val="21"/>
          <w:highlight w:val="none"/>
          <w:lang w:val="en-US" w:eastAsia="zh-CN" w:bidi="ar"/>
        </w:rPr>
        <w:t>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AA2D769">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6CCF32F9">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kern w:val="2"/>
          <w:sz w:val="23"/>
          <w:szCs w:val="23"/>
          <w:highlight w:val="none"/>
        </w:rPr>
      </w:pPr>
      <w:r>
        <w:rPr>
          <w:rFonts w:hint="eastAsia" w:ascii="黑体" w:hAnsi="宋体" w:eastAsia="黑体" w:cs="黑体"/>
          <w:b/>
          <w:bCs/>
          <w:kern w:val="2"/>
          <w:sz w:val="28"/>
          <w:szCs w:val="28"/>
          <w:highlight w:val="none"/>
          <w:lang w:val="en-US" w:eastAsia="zh-CN" w:bidi="ar"/>
        </w:rPr>
        <w:t>附表</w:t>
      </w:r>
      <w:r>
        <w:rPr>
          <w:rFonts w:hint="default" w:ascii="Arial" w:hAnsi="Arial" w:eastAsia="黑体" w:cs="Arial"/>
          <w:b/>
          <w:bCs/>
          <w:kern w:val="2"/>
          <w:sz w:val="28"/>
          <w:szCs w:val="28"/>
          <w:highlight w:val="none"/>
          <w:lang w:val="en-US" w:eastAsia="zh-CN" w:bidi="ar"/>
        </w:rPr>
        <w:t>2</w:t>
      </w:r>
      <w:r>
        <w:rPr>
          <w:rFonts w:hint="eastAsia" w:ascii="黑体" w:hAnsi="宋体" w:eastAsia="黑体" w:cs="黑体"/>
          <w:b/>
          <w:bCs/>
          <w:kern w:val="2"/>
          <w:sz w:val="28"/>
          <w:szCs w:val="28"/>
          <w:highlight w:val="none"/>
          <w:lang w:val="en-US" w:eastAsia="zh-CN" w:bidi="ar"/>
        </w:rPr>
        <w:t>：拟任项目经理（建造师）简历表</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155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6DF0B6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姓</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CAB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1E095E3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0CE12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0F9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学历</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624B770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12E2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F18C6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DD0D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0D95803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401D2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0941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拟在本合同任职</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14:paraId="0AB341E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7759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D34E27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毕业学校</w:t>
            </w:r>
          </w:p>
        </w:tc>
        <w:tc>
          <w:tcPr>
            <w:tcW w:w="805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F3194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年毕业于</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学校</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专业</w:t>
            </w:r>
          </w:p>
        </w:tc>
      </w:tr>
      <w:tr w14:paraId="1B1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37DF72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主要工作经历</w:t>
            </w:r>
          </w:p>
        </w:tc>
      </w:tr>
      <w:tr w14:paraId="037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0FF2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时</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间</w:t>
            </w: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E0991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参加过的类似项目</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D8A111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担任职务</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3091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发包人及联系电话</w:t>
            </w:r>
          </w:p>
        </w:tc>
      </w:tr>
      <w:tr w14:paraId="6E0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4D7A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CA6A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7949EC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A9B9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DD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8E7C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B358CA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F9295C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B01D10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73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64B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533E2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0E46FB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7205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9A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E6139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61CCB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3A4563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35848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E94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EC4AD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7782BE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FC416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E0299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EFF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170A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C5D321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C44433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691D9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3396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AE8B91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080405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6EEEE1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4C42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EA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AE519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5CF836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46C3C4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5955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7FF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 w:hRule="atLeast"/>
          <w:jc w:val="center"/>
        </w:trPr>
        <w:tc>
          <w:tcPr>
            <w:tcW w:w="16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AFA5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5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9657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top"/>
          </w:tcPr>
          <w:p w14:paraId="1ED9F8C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5C46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bl>
    <w:p w14:paraId="42AA4397">
      <w:pPr>
        <w:keepNext/>
        <w:keepLines/>
        <w:widowControl w:val="0"/>
        <w:suppressLineNumbers w:val="0"/>
        <w:spacing w:before="280" w:beforeLines="0" w:beforeAutospacing="0" w:after="290" w:afterLines="0" w:afterAutospacing="0" w:line="372" w:lineRule="auto"/>
        <w:ind w:left="0" w:right="0"/>
        <w:jc w:val="center"/>
        <w:outlineLvl w:val="3"/>
        <w:rPr>
          <w:rFonts w:hint="eastAsia" w:ascii="Arial" w:hAnsi="Arial" w:eastAsia="黑体" w:cs="Times New Roman"/>
          <w:b/>
          <w:bCs/>
          <w:kern w:val="2"/>
          <w:sz w:val="28"/>
          <w:szCs w:val="28"/>
          <w:highlight w:val="none"/>
        </w:rPr>
      </w:pPr>
      <w:r>
        <w:rPr>
          <w:rFonts w:hint="eastAsia" w:ascii="Arial" w:hAnsi="Arial" w:eastAsia="黑体" w:cs="Times New Roman"/>
          <w:b/>
          <w:bCs/>
          <w:kern w:val="2"/>
          <w:sz w:val="28"/>
          <w:szCs w:val="28"/>
          <w:highlight w:val="none"/>
          <w:lang w:val="en-US" w:eastAsia="zh-CN" w:bidi="ar"/>
        </w:rPr>
        <w:t xml:space="preserve"> </w:t>
      </w:r>
    </w:p>
    <w:p w14:paraId="619E7FC8">
      <w:pPr>
        <w:keepNext/>
        <w:keepLines/>
        <w:widowControl w:val="0"/>
        <w:suppressLineNumbers w:val="0"/>
        <w:spacing w:before="280" w:beforeLines="0" w:beforeAutospacing="0" w:after="290" w:afterLines="0" w:afterAutospacing="0" w:line="372" w:lineRule="auto"/>
        <w:ind w:left="0" w:right="0"/>
        <w:jc w:val="center"/>
        <w:outlineLvl w:val="3"/>
        <w:rPr>
          <w:rFonts w:hint="default" w:ascii="Arial" w:hAnsi="Arial" w:eastAsia="黑体" w:cs="Times New Roman"/>
          <w:b/>
          <w:bCs/>
          <w:kern w:val="2"/>
          <w:sz w:val="23"/>
          <w:szCs w:val="23"/>
          <w:highlight w:val="none"/>
        </w:rPr>
      </w:pPr>
      <w:r>
        <w:rPr>
          <w:rFonts w:hint="eastAsia" w:ascii="Arial" w:hAnsi="Arial" w:eastAsia="黑体" w:cs="Times New Roman"/>
          <w:b/>
          <w:bCs/>
          <w:kern w:val="2"/>
          <w:sz w:val="28"/>
          <w:szCs w:val="28"/>
          <w:highlight w:val="none"/>
          <w:lang w:val="en-US" w:eastAsia="zh-CN" w:bidi="ar"/>
        </w:rPr>
        <w:br w:type="page"/>
      </w:r>
      <w:r>
        <w:rPr>
          <w:rFonts w:hint="eastAsia" w:ascii="黑体" w:hAnsi="宋体" w:eastAsia="黑体" w:cs="黑体"/>
          <w:b/>
          <w:bCs/>
          <w:kern w:val="2"/>
          <w:sz w:val="28"/>
          <w:szCs w:val="28"/>
          <w:highlight w:val="none"/>
          <w:lang w:val="en-US" w:eastAsia="zh-CN" w:bidi="ar"/>
        </w:rPr>
        <w:t>附表</w:t>
      </w:r>
      <w:r>
        <w:rPr>
          <w:rFonts w:hint="default" w:ascii="Arial" w:hAnsi="Arial" w:eastAsia="黑体" w:cs="Arial"/>
          <w:b/>
          <w:bCs/>
          <w:kern w:val="2"/>
          <w:sz w:val="28"/>
          <w:szCs w:val="28"/>
          <w:highlight w:val="none"/>
          <w:lang w:val="en-US" w:eastAsia="zh-CN" w:bidi="ar"/>
        </w:rPr>
        <w:t>3</w:t>
      </w:r>
      <w:r>
        <w:rPr>
          <w:rFonts w:hint="eastAsia" w:ascii="黑体" w:hAnsi="宋体" w:eastAsia="黑体" w:cs="黑体"/>
          <w:b/>
          <w:bCs/>
          <w:kern w:val="2"/>
          <w:sz w:val="28"/>
          <w:szCs w:val="28"/>
          <w:highlight w:val="none"/>
          <w:lang w:val="en-US" w:eastAsia="zh-CN" w:bidi="ar"/>
        </w:rPr>
        <w:t>：拟任项目技术负责人简历表</w:t>
      </w:r>
    </w:p>
    <w:tbl>
      <w:tblPr>
        <w:tblStyle w:val="4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EC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CC59B7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姓</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名</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37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08F61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年</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龄</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D307E8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D0E8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学历</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DF2A12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473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105B34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称</w:t>
            </w:r>
          </w:p>
        </w:tc>
        <w:tc>
          <w:tcPr>
            <w:tcW w:w="1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1A9A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54FD6B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职</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务</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4135E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p>
        </w:tc>
        <w:tc>
          <w:tcPr>
            <w:tcW w:w="23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4A7F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拟在本合同任职</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0BA809A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p>
        </w:tc>
      </w:tr>
      <w:tr w14:paraId="038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7F82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毕业学校</w:t>
            </w:r>
          </w:p>
        </w:tc>
        <w:tc>
          <w:tcPr>
            <w:tcW w:w="809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DE830A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年毕业于</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学校</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专业</w:t>
            </w:r>
          </w:p>
        </w:tc>
      </w:tr>
      <w:tr w14:paraId="519F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94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914C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主要工作经历</w:t>
            </w:r>
          </w:p>
        </w:tc>
      </w:tr>
      <w:tr w14:paraId="61B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CFA1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时</w:t>
            </w:r>
            <w:r>
              <w:rPr>
                <w:rFonts w:hint="eastAsia" w:ascii="宋体" w:hAnsi="宋体" w:eastAsia="宋体" w:cs="Times New Roman"/>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间</w:t>
            </w: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99E9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参加过的类似项目</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2A334AE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担任职务</w:t>
            </w: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7E2C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发包人及联系电话</w:t>
            </w:r>
          </w:p>
        </w:tc>
      </w:tr>
      <w:tr w14:paraId="71D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88A5F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E1B7D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D7BF2D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D0D8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3F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EE67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62AF69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44F2229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57CB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2D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906E4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A14E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07CA7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0E26FB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F1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6F609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773C44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99FBDF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19F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1C6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7031B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1DC0D5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2D1EB86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A77EF5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2A8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1C67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77FF4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0911664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32F996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48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7117B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C99B1C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583E93E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5F87B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021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38A0836">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6C504B">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D33CCF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EA3F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2C5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71B466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E0C246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6709D95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3FBB6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5F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4C5603">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A312D3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76549B74">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505C5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r w14:paraId="622D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8089905">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377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7BC668">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top"/>
          </w:tcPr>
          <w:p w14:paraId="1C5583E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c>
          <w:tcPr>
            <w:tcW w:w="253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1375E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kern w:val="2"/>
                <w:sz w:val="21"/>
                <w:szCs w:val="21"/>
                <w:highlight w:val="none"/>
              </w:rPr>
            </w:pPr>
          </w:p>
        </w:tc>
      </w:tr>
    </w:tbl>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4564BEC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（项目名称）</w:t>
      </w:r>
    </w:p>
    <w:p w14:paraId="09647CC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1E4A2F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7E19AAB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投</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文</w:t>
      </w:r>
      <w:r>
        <w:rPr>
          <w:rFonts w:hint="default" w:ascii="Times New Roman" w:hAnsi="Times New Roman" w:eastAsia="黑体" w:cs="Times New Roman"/>
          <w:color w:val="auto"/>
          <w:kern w:val="2"/>
          <w:sz w:val="44"/>
          <w:szCs w:val="44"/>
          <w:highlight w:val="none"/>
          <w:lang w:val="en-US" w:eastAsia="zh-CN" w:bidi="ar"/>
        </w:rPr>
        <w:t xml:space="preserve">  </w:t>
      </w:r>
      <w:r>
        <w:rPr>
          <w:rFonts w:hint="eastAsia" w:ascii="黑体" w:hAnsi="宋体" w:eastAsia="黑体" w:cs="黑体"/>
          <w:color w:val="auto"/>
          <w:kern w:val="2"/>
          <w:sz w:val="44"/>
          <w:szCs w:val="44"/>
          <w:highlight w:val="none"/>
          <w:lang w:val="en-US" w:eastAsia="zh-CN" w:bidi="ar"/>
        </w:rPr>
        <w:t>件  二</w:t>
      </w:r>
    </w:p>
    <w:p w14:paraId="205250A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黑体" w:hAnsi="宋体" w:eastAsia="黑体" w:cs="黑体"/>
          <w:color w:val="auto"/>
          <w:kern w:val="2"/>
          <w:sz w:val="44"/>
          <w:szCs w:val="44"/>
          <w:highlight w:val="none"/>
        </w:rPr>
      </w:pPr>
      <w:r>
        <w:rPr>
          <w:rFonts w:hint="eastAsia" w:ascii="黑体" w:hAnsi="宋体" w:eastAsia="黑体" w:cs="黑体"/>
          <w:color w:val="auto"/>
          <w:kern w:val="2"/>
          <w:sz w:val="44"/>
          <w:szCs w:val="44"/>
          <w:highlight w:val="none"/>
          <w:lang w:val="en-US" w:eastAsia="zh-CN" w:bidi="ar"/>
        </w:rPr>
        <w:t>（技术标文件）</w:t>
      </w:r>
    </w:p>
    <w:p w14:paraId="39C8A60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924AA4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1A5D3D9">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D23904">
      <w:pPr>
        <w:pStyle w:val="42"/>
        <w:keepNext w:val="0"/>
        <w:keepLines w:val="0"/>
        <w:widowControl w:val="0"/>
        <w:suppressLineNumbers w:val="0"/>
        <w:adjustRightInd w:val="0"/>
        <w:snapToGrid w:val="0"/>
        <w:spacing w:before="0" w:beforeAutospacing="1" w:after="0" w:afterLines="0" w:afterAutospacing="0" w:line="560" w:lineRule="exact"/>
        <w:ind w:right="0"/>
        <w:jc w:val="center"/>
        <w:rPr>
          <w:rFonts w:hint="default" w:ascii="Times New Roman" w:hAnsi="Times New Roman" w:eastAsia="黑体" w:cs="Times New Roman"/>
          <w:color w:val="auto"/>
          <w:kern w:val="2"/>
          <w:sz w:val="28"/>
          <w:szCs w:val="28"/>
          <w:highlight w:val="none"/>
          <w:lang w:val="en-US"/>
        </w:rPr>
      </w:pPr>
      <w:r>
        <w:rPr>
          <w:rFonts w:hint="default" w:ascii="Times New Roman" w:hAnsi="Times New Roman" w:eastAsia="黑体" w:cs="Times New Roman"/>
          <w:color w:val="auto"/>
          <w:kern w:val="2"/>
          <w:sz w:val="28"/>
          <w:szCs w:val="28"/>
          <w:highlight w:val="none"/>
          <w:lang w:val="en-US" w:eastAsia="zh-CN" w:bidi="ar"/>
        </w:rPr>
        <w:t>项目编号：</w:t>
      </w:r>
      <w:r>
        <w:rPr>
          <w:rFonts w:hint="eastAsia" w:ascii="Times New Roman" w:hAnsi="Times New Roman" w:eastAsia="黑体" w:cs="Times New Roman"/>
          <w:color w:val="auto"/>
          <w:kern w:val="2"/>
          <w:sz w:val="28"/>
          <w:szCs w:val="28"/>
          <w:highlight w:val="none"/>
          <w:u w:val="single"/>
          <w:lang w:val="en-US" w:eastAsia="zh-CN" w:bidi="ar"/>
        </w:rPr>
        <w:t xml:space="preserve">    </w:t>
      </w:r>
    </w:p>
    <w:p w14:paraId="370574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EF769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A6984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2E141A">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FE8F17">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81AE22D">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bidi="ar"/>
        </w:rPr>
        <w:t xml:space="preserve"> </w:t>
      </w:r>
    </w:p>
    <w:p w14:paraId="2AA04FB2">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475EF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C1EF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0B3C788">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u w:val="single"/>
        </w:rPr>
      </w:pPr>
      <w:r>
        <w:rPr>
          <w:rFonts w:hint="eastAsia" w:ascii="黑体" w:hAnsi="宋体" w:eastAsia="黑体" w:cs="黑体"/>
          <w:color w:val="auto"/>
          <w:kern w:val="2"/>
          <w:sz w:val="28"/>
          <w:szCs w:val="28"/>
          <w:highlight w:val="none"/>
          <w:lang w:val="en-US" w:eastAsia="zh-CN" w:bidi="ar"/>
        </w:rPr>
        <w:t>投标人：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14585D8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法定代表人或授权委托人：</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（签章）</w:t>
      </w:r>
    </w:p>
    <w:p w14:paraId="7B6F132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年</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月</w:t>
      </w:r>
      <w:r>
        <w:rPr>
          <w:rFonts w:hint="default" w:ascii="Times New Roman" w:hAnsi="Times New Roman" w:eastAsia="黑体" w:cs="Times New Roman"/>
          <w:color w:val="auto"/>
          <w:kern w:val="2"/>
          <w:sz w:val="28"/>
          <w:szCs w:val="28"/>
          <w:highlight w:val="none"/>
          <w:u w:val="single"/>
          <w:lang w:val="en-US" w:eastAsia="zh-CN" w:bidi="ar"/>
        </w:rPr>
        <w:t xml:space="preserve">        </w:t>
      </w:r>
      <w:r>
        <w:rPr>
          <w:rFonts w:hint="eastAsia" w:ascii="黑体" w:hAnsi="宋体" w:eastAsia="黑体" w:cs="黑体"/>
          <w:color w:val="auto"/>
          <w:kern w:val="2"/>
          <w:sz w:val="28"/>
          <w:szCs w:val="28"/>
          <w:highlight w:val="none"/>
          <w:lang w:val="en-US" w:eastAsia="zh-CN" w:bidi="ar"/>
        </w:rPr>
        <w:t>日</w:t>
      </w:r>
    </w:p>
    <w:p w14:paraId="732C2BA4">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F53350">
      <w:pPr>
        <w:pStyle w:val="7"/>
        <w:widowControl/>
        <w:rPr>
          <w:rFonts w:hint="eastAsia" w:ascii="Arial" w:hAnsi="Arial" w:eastAsia="黑体" w:cs="黑体"/>
          <w:b/>
          <w:bCs/>
          <w:color w:val="auto"/>
          <w:kern w:val="2"/>
          <w:sz w:val="32"/>
          <w:szCs w:val="32"/>
          <w:highlight w:val="none"/>
        </w:rPr>
      </w:pPr>
      <w:r>
        <w:rPr>
          <w:rFonts w:hint="eastAsia" w:ascii="黑体" w:hAnsi="宋体" w:eastAsia="黑体" w:cs="黑体"/>
          <w:b/>
          <w:bCs/>
          <w:color w:val="auto"/>
          <w:kern w:val="2"/>
          <w:sz w:val="32"/>
          <w:szCs w:val="32"/>
          <w:highlight w:val="none"/>
        </w:rPr>
        <w:t>投标文件二：技术标目录</w:t>
      </w:r>
    </w:p>
    <w:p w14:paraId="20807592">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技术实施方案；</w:t>
      </w:r>
    </w:p>
    <w:p w14:paraId="61F67575">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color w:val="auto"/>
          <w:kern w:val="2"/>
          <w:sz w:val="21"/>
          <w:szCs w:val="21"/>
          <w:highlight w:val="none"/>
          <w:lang w:val="en-US" w:eastAsia="zh-CN" w:bidi="ar"/>
        </w:rPr>
        <w:t>。</w:t>
      </w:r>
    </w:p>
    <w:p w14:paraId="70D6B8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52383F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auto"/>
          <w:kern w:val="2"/>
          <w:sz w:val="21"/>
          <w:szCs w:val="21"/>
          <w:highlight w:val="none"/>
        </w:rPr>
      </w:pPr>
      <w:r>
        <w:rPr>
          <w:rFonts w:hint="eastAsia" w:ascii="仿宋_GB2312" w:hAnsi="Times New Roman" w:eastAsia="仿宋_GB2312" w:cs="仿宋_GB2312"/>
          <w:color w:val="auto"/>
          <w:kern w:val="2"/>
          <w:sz w:val="21"/>
          <w:szCs w:val="21"/>
          <w:highlight w:val="none"/>
          <w:lang w:val="en-US" w:eastAsia="zh-CN" w:bidi="ar"/>
        </w:rPr>
        <w:t xml:space="preserve"> </w:t>
      </w:r>
    </w:p>
    <w:p w14:paraId="64CE274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5E18DB0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EE296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6688D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C2EA74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67" w:name="_Toc35424973"/>
      <w:bookmarkStart w:id="1068" w:name="_Toc19174"/>
      <w:bookmarkStart w:id="1069" w:name="_Toc35425139"/>
      <w:bookmarkStart w:id="1070" w:name="_Toc78803401"/>
      <w:r>
        <w:rPr>
          <w:rStyle w:val="65"/>
          <w:rFonts w:hint="eastAsia" w:ascii="宋体" w:hAnsi="宋体" w:cs="宋体"/>
          <w:color w:val="auto"/>
          <w:sz w:val="32"/>
          <w:highlight w:val="none"/>
        </w:rPr>
        <w:br w:type="page"/>
      </w:r>
      <w:bookmarkStart w:id="1071" w:name="_Toc26670"/>
      <w:bookmarkStart w:id="1072" w:name="_Toc19057"/>
      <w:bookmarkStart w:id="1073" w:name="_Toc27877"/>
      <w:r>
        <w:rPr>
          <w:rStyle w:val="65"/>
          <w:rFonts w:hint="eastAsia" w:ascii="宋体" w:hAnsi="宋体" w:cs="宋体"/>
          <w:color w:val="auto"/>
          <w:sz w:val="32"/>
          <w:highlight w:val="none"/>
        </w:rPr>
        <w:t>投标文件</w:t>
      </w:r>
      <w:bookmarkEnd w:id="1067"/>
      <w:bookmarkEnd w:id="1068"/>
      <w:bookmarkEnd w:id="1069"/>
      <w:r>
        <w:rPr>
          <w:rStyle w:val="65"/>
          <w:rFonts w:hint="eastAsia" w:ascii="宋体" w:hAnsi="宋体" w:cs="宋体"/>
          <w:color w:val="auto"/>
          <w:sz w:val="32"/>
          <w:highlight w:val="none"/>
          <w:lang w:val="en-US"/>
        </w:rPr>
        <w:t>三</w:t>
      </w:r>
      <w:r>
        <w:rPr>
          <w:rStyle w:val="65"/>
          <w:rFonts w:hint="eastAsia" w:ascii="宋体" w:hAnsi="宋体" w:cs="宋体"/>
          <w:color w:val="auto"/>
          <w:sz w:val="32"/>
          <w:highlight w:val="none"/>
        </w:rPr>
        <w:t>：商务标目录</w:t>
      </w:r>
      <w:bookmarkEnd w:id="1070"/>
    </w:p>
    <w:bookmarkEnd w:id="1071"/>
    <w:bookmarkEnd w:id="1072"/>
    <w:bookmarkEnd w:id="1073"/>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3C0E80E0">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）推荐的材料品牌响应表（如有）</w:t>
      </w:r>
      <w:r>
        <w:rPr>
          <w:rFonts w:hint="eastAsia" w:ascii="宋体" w:hAnsi="宋体" w:cs="宋体"/>
          <w:color w:val="auto"/>
          <w:szCs w:val="21"/>
          <w:highlight w:val="none"/>
          <w:lang w:eastAsia="zh-CN"/>
        </w:rPr>
        <w:t>；</w:t>
      </w:r>
    </w:p>
    <w:p w14:paraId="639FB80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）全国建筑市场监管公共服务平台(四库一平台)企业注册人员网页截图；</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74" w:name="_Toc506107366"/>
      <w:bookmarkStart w:id="1075" w:name="_Toc15058950"/>
      <w:bookmarkStart w:id="1076" w:name="_Toc35424974"/>
      <w:bookmarkStart w:id="1077"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6"/>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9479086">
      <w:pPr>
        <w:pStyle w:val="8"/>
        <w:pageBreakBefore/>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）推荐的材料品牌响应表</w:t>
      </w:r>
    </w:p>
    <w:p w14:paraId="13FC4BEF">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工程</w:t>
      </w:r>
      <w:r>
        <w:rPr>
          <w:rFonts w:hint="eastAsia" w:ascii="宋体" w:hAnsi="宋体" w:eastAsia="宋体" w:cs="宋体"/>
          <w:color w:val="auto"/>
          <w:spacing w:val="-3"/>
          <w:kern w:val="2"/>
          <w:sz w:val="21"/>
          <w:szCs w:val="21"/>
          <w:highlight w:val="none"/>
          <w:lang w:val="en-US" w:eastAsia="zh-CN" w:bidi="ar"/>
        </w:rPr>
        <w:t>名</w:t>
      </w:r>
      <w:r>
        <w:rPr>
          <w:rFonts w:hint="eastAsia" w:ascii="宋体" w:hAnsi="宋体" w:eastAsia="宋体" w:cs="宋体"/>
          <w:color w:val="auto"/>
          <w:kern w:val="2"/>
          <w:sz w:val="21"/>
          <w:szCs w:val="21"/>
          <w:highlight w:val="none"/>
          <w:lang w:val="en-US" w:eastAsia="zh-CN" w:bidi="ar"/>
        </w:rPr>
        <w:t xml:space="preserve">称：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第</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spacing w:val="-3"/>
          <w:kern w:val="2"/>
          <w:sz w:val="21"/>
          <w:szCs w:val="21"/>
          <w:highlight w:val="none"/>
          <w:lang w:val="en-US" w:eastAsia="zh-CN" w:bidi="ar"/>
        </w:rPr>
        <w:t>页</w:t>
      </w:r>
      <w:r>
        <w:rPr>
          <w:rFonts w:hint="eastAsia" w:ascii="宋体" w:hAnsi="宋体" w:eastAsia="宋体" w:cs="宋体"/>
          <w:color w:val="auto"/>
          <w:kern w:val="2"/>
          <w:sz w:val="21"/>
          <w:szCs w:val="21"/>
          <w:highlight w:val="none"/>
          <w:lang w:val="en-US" w:eastAsia="zh-CN" w:bidi="ar"/>
        </w:rPr>
        <w:t xml:space="preserve">共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页 </w:t>
      </w:r>
    </w:p>
    <w:p w14:paraId="4F365D36">
      <w:pPr>
        <w:pStyle w:val="42"/>
        <w:keepNext w:val="0"/>
        <w:keepLines w:val="0"/>
        <w:widowControl w:val="0"/>
        <w:suppressLineNumbers w:val="0"/>
        <w:adjustRightInd w:val="0"/>
        <w:snapToGrid w:val="0"/>
        <w:spacing w:before="0" w:beforeAutospacing="1" w:after="0" w:afterLines="0" w:afterAutospacing="0" w:line="560" w:lineRule="exact"/>
        <w:ind w:left="0" w:right="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品牌推荐表（如要求）</w:t>
      </w:r>
    </w:p>
    <w:tbl>
      <w:tblPr>
        <w:tblStyle w:val="46"/>
        <w:tblW w:w="7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B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EE19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4E571D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E43B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EB31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E4A38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3</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1290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 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63507FA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635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投标人选定品牌</w:t>
            </w:r>
          </w:p>
        </w:tc>
      </w:tr>
      <w:tr w14:paraId="7EDD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02CE9">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5B41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0F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4FFE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15139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7972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B4B88E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56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256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8BC45">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F395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98EA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6AF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55C8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A38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7C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771C">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29A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4" w:hRule="atLeast"/>
          <w:jc w:val="center"/>
        </w:trPr>
        <w:tc>
          <w:tcPr>
            <w:tcW w:w="636" w:type="dxa"/>
            <w:tcBorders>
              <w:top w:val="single" w:color="000000" w:sz="4" w:space="0"/>
              <w:left w:val="single" w:color="000000" w:sz="4" w:space="0"/>
              <w:bottom w:val="single" w:color="000000" w:sz="6" w:space="0"/>
              <w:right w:val="single" w:color="000000" w:sz="4" w:space="0"/>
            </w:tcBorders>
            <w:shd w:val="clear" w:color="auto" w:fill="auto"/>
            <w:vAlign w:val="top"/>
          </w:tcPr>
          <w:p w14:paraId="6E89A97E">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685" w:type="dxa"/>
            <w:tcBorders>
              <w:top w:val="single" w:color="000000" w:sz="4" w:space="0"/>
              <w:left w:val="single" w:color="000000" w:sz="4" w:space="0"/>
              <w:bottom w:val="single" w:color="000000" w:sz="6" w:space="0"/>
              <w:right w:val="single" w:color="000000" w:sz="4" w:space="0"/>
            </w:tcBorders>
            <w:shd w:val="clear" w:color="auto" w:fill="auto"/>
            <w:vAlign w:val="top"/>
          </w:tcPr>
          <w:p w14:paraId="7D16FB8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0060109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69BFB40D">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6" w:space="0"/>
              <w:right w:val="single" w:color="000000" w:sz="4" w:space="0"/>
            </w:tcBorders>
            <w:shd w:val="clear" w:color="auto" w:fill="auto"/>
            <w:vAlign w:val="top"/>
          </w:tcPr>
          <w:p w14:paraId="494BFCB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6" w:space="0"/>
              <w:right w:val="single" w:color="000000" w:sz="4" w:space="0"/>
            </w:tcBorders>
            <w:shd w:val="clear" w:color="auto" w:fill="auto"/>
            <w:vAlign w:val="top"/>
          </w:tcPr>
          <w:p w14:paraId="645AA3D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6" w:space="0"/>
              <w:right w:val="single" w:color="000000" w:sz="4" w:space="0"/>
            </w:tcBorders>
            <w:shd w:val="clear" w:color="auto" w:fill="auto"/>
            <w:vAlign w:val="top"/>
          </w:tcPr>
          <w:p w14:paraId="060C048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6" w:space="0"/>
              <w:right w:val="single" w:color="000000" w:sz="4" w:space="0"/>
            </w:tcBorders>
            <w:shd w:val="clear" w:color="auto" w:fill="auto"/>
            <w:vAlign w:val="top"/>
          </w:tcPr>
          <w:p w14:paraId="31D781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369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36" w:type="dxa"/>
            <w:tcBorders>
              <w:top w:val="single" w:color="000000" w:sz="6" w:space="0"/>
              <w:left w:val="single" w:color="000000" w:sz="4" w:space="0"/>
              <w:bottom w:val="single" w:color="000000" w:sz="4" w:space="0"/>
              <w:right w:val="single" w:color="000000" w:sz="4" w:space="0"/>
            </w:tcBorders>
            <w:shd w:val="clear" w:color="auto" w:fill="auto"/>
            <w:vAlign w:val="top"/>
          </w:tcPr>
          <w:p w14:paraId="258EF1E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685" w:type="dxa"/>
            <w:tcBorders>
              <w:top w:val="single" w:color="000000" w:sz="6" w:space="0"/>
              <w:left w:val="single" w:color="000000" w:sz="4" w:space="0"/>
              <w:bottom w:val="single" w:color="000000" w:sz="4" w:space="0"/>
              <w:right w:val="single" w:color="000000" w:sz="4" w:space="0"/>
            </w:tcBorders>
            <w:shd w:val="clear" w:color="auto" w:fill="auto"/>
            <w:vAlign w:val="top"/>
          </w:tcPr>
          <w:p w14:paraId="6ED0C5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446EB0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03B19E6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6" w:space="0"/>
              <w:left w:val="single" w:color="000000" w:sz="4" w:space="0"/>
              <w:bottom w:val="single" w:color="000000" w:sz="4" w:space="0"/>
              <w:right w:val="single" w:color="000000" w:sz="4" w:space="0"/>
            </w:tcBorders>
            <w:shd w:val="clear" w:color="auto" w:fill="auto"/>
            <w:vAlign w:val="top"/>
          </w:tcPr>
          <w:p w14:paraId="533531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6" w:space="0"/>
              <w:left w:val="single" w:color="000000" w:sz="4" w:space="0"/>
              <w:bottom w:val="single" w:color="000000" w:sz="4" w:space="0"/>
              <w:right w:val="single" w:color="000000" w:sz="4" w:space="0"/>
            </w:tcBorders>
            <w:shd w:val="clear" w:color="auto" w:fill="auto"/>
            <w:vAlign w:val="top"/>
          </w:tcPr>
          <w:p w14:paraId="65CC1E5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6" w:space="0"/>
              <w:left w:val="single" w:color="000000" w:sz="4" w:space="0"/>
              <w:bottom w:val="single" w:color="000000" w:sz="4" w:space="0"/>
              <w:right w:val="single" w:color="000000" w:sz="4" w:space="0"/>
            </w:tcBorders>
            <w:shd w:val="clear" w:color="auto" w:fill="auto"/>
            <w:vAlign w:val="top"/>
          </w:tcPr>
          <w:p w14:paraId="66F7FF16">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6" w:space="0"/>
              <w:left w:val="single" w:color="000000" w:sz="4" w:space="0"/>
              <w:bottom w:val="single" w:color="000000" w:sz="4" w:space="0"/>
              <w:right w:val="single" w:color="000000" w:sz="4" w:space="0"/>
            </w:tcBorders>
            <w:shd w:val="clear" w:color="auto" w:fill="auto"/>
            <w:vAlign w:val="top"/>
          </w:tcPr>
          <w:p w14:paraId="21B5CE3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68D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91DF36">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345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C28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D7F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B93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4E7">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E8EB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51A2C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7FEC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0B21">
            <w:pPr>
              <w:pStyle w:val="42"/>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757B">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2858C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AB97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34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3C113B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26D55">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7A6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2057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5223E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E7CA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AB2BE">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9BAE9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CB923">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8B9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4360ED2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C9E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r w14:paraId="142E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1E318">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8BD2E9">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6533CF71">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75D361C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FA920">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14:paraId="2634DEC2">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A99E74">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7BE53A">
            <w:pPr>
              <w:pStyle w:val="42"/>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0"/>
                <w:szCs w:val="20"/>
                <w:highlight w:val="none"/>
              </w:rPr>
            </w:pPr>
          </w:p>
        </w:tc>
      </w:tr>
    </w:tbl>
    <w:p w14:paraId="6CEC8EE6">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本表仅针对不采用发包人推荐品牌，采用其他品牌的相应单位填写，并注明并提供相关技术参数、业绩等供评审委员会评审，未在上表中注明且未提供相关技术参数、业绩，或经评审委员会评审未通过的，成交后只能从项目单位推荐品牌中进行选择，价格不予调整。</w:t>
      </w:r>
    </w:p>
    <w:p w14:paraId="0F5C90E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2、对于发包人推荐品牌的材料、设备等，投标单位如认为发包人推荐的品牌有限定性、唯一性、明显不在同一档次等级的或者其他疑问的，应在本项目澄清提出的截止时间前提出异议。</w:t>
      </w:r>
    </w:p>
    <w:p w14:paraId="79869350">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560" w:lineRule="exact"/>
        <w:ind w:left="0" w:right="0" w:firstLine="420"/>
        <w:jc w:val="both"/>
        <w:textAlignment w:val="auto"/>
        <w:rPr>
          <w:rFonts w:hint="eastAsia" w:ascii="宋体" w:hAnsi="宋体" w:eastAsia="宋体" w:cs="宋体"/>
          <w:color w:val="auto"/>
          <w:kern w:val="2"/>
          <w:sz w:val="21"/>
          <w:szCs w:val="21"/>
          <w:highlight w:val="none"/>
        </w:rPr>
      </w:pPr>
    </w:p>
    <w:p w14:paraId="320AD530">
      <w:pPr>
        <w:keepNext w:val="0"/>
        <w:keepLines w:val="0"/>
        <w:widowControl w:val="0"/>
        <w:suppressLineNumbers w:val="0"/>
        <w:spacing w:before="0" w:beforeAutospacing="0" w:after="0" w:afterAutospacing="0"/>
        <w:ind w:left="0" w:right="0"/>
        <w:jc w:val="both"/>
        <w:rPr>
          <w:color w:val="auto"/>
          <w:highlight w:val="none"/>
        </w:rPr>
      </w:pPr>
    </w:p>
    <w:p w14:paraId="7AB9FF70">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4</w:t>
      </w:r>
      <w:r>
        <w:rPr>
          <w:rFonts w:hint="eastAsia" w:ascii="宋体" w:hAnsi="宋体" w:cs="宋体"/>
          <w:b/>
          <w:bCs/>
          <w:color w:val="auto"/>
          <w:kern w:val="0"/>
          <w:sz w:val="32"/>
          <w:szCs w:val="32"/>
          <w:highlight w:val="none"/>
          <w:lang w:eastAsia="zh-CN"/>
        </w:rPr>
        <w:t>）全国建筑市场监管公共服务平台(四库一平台)企业注册人员网页截图；</w:t>
      </w:r>
    </w:p>
    <w:p w14:paraId="56E05396">
      <w:pPr>
        <w:pStyle w:val="8"/>
        <w:widowControl/>
        <w:adjustRightInd w:val="0"/>
        <w:snapToGrid w:val="0"/>
        <w:spacing w:before="0" w:beforeAutospacing="0" w:after="0" w:afterAutospacing="0" w:line="560" w:lineRule="exact"/>
        <w:jc w:val="center"/>
        <w:rPr>
          <w:rFonts w:hint="eastAsia" w:ascii="宋体" w:hAnsi="宋体" w:cs="宋体"/>
          <w:b/>
          <w:bCs/>
          <w:color w:val="auto"/>
          <w:kern w:val="0"/>
          <w:sz w:val="32"/>
          <w:szCs w:val="32"/>
          <w:highlight w:val="none"/>
          <w:lang w:eastAsia="zh-CN"/>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5</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74"/>
      <w:bookmarkEnd w:id="1075"/>
      <w:bookmarkEnd w:id="1076"/>
      <w:bookmarkEnd w:id="1077"/>
      <w:bookmarkStart w:id="1078" w:name="_Toc78803402"/>
    </w:p>
    <w:p w14:paraId="489D056E">
      <w:pPr>
        <w:pStyle w:val="43"/>
        <w:spacing w:beforeLines="50" w:afterLines="50" w:line="440" w:lineRule="exact"/>
        <w:rPr>
          <w:bCs/>
          <w:color w:val="auto"/>
          <w:szCs w:val="32"/>
          <w:highlight w:val="none"/>
        </w:rPr>
      </w:pPr>
      <w:bookmarkStart w:id="1079" w:name="_Toc8955"/>
      <w:bookmarkStart w:id="1080" w:name="_Toc15593"/>
      <w:bookmarkStart w:id="1081"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1078"/>
      <w:bookmarkEnd w:id="1079"/>
      <w:bookmarkEnd w:id="1080"/>
      <w:bookmarkEnd w:id="1081"/>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安徽省天长市谕兴地区建筑用玄武岩矿景观提升工程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52B3C79"/>
    <w:multiLevelType w:val="singleLevel"/>
    <w:tmpl w:val="152B3C79"/>
    <w:lvl w:ilvl="0" w:tentative="0">
      <w:start w:val="1"/>
      <w:numFmt w:val="decimal"/>
      <w:suff w:val="nothing"/>
      <w:lvlText w:val="（%1）"/>
      <w:lvlJc w:val="left"/>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abstractNum w:abstractNumId="5">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ED7EC0"/>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63446"/>
    <w:rsid w:val="041D2A27"/>
    <w:rsid w:val="04332546"/>
    <w:rsid w:val="04533461"/>
    <w:rsid w:val="045E0D7F"/>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63A76"/>
    <w:rsid w:val="05962A91"/>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51D81"/>
    <w:rsid w:val="0A075D0B"/>
    <w:rsid w:val="0A0A57FB"/>
    <w:rsid w:val="0A193C90"/>
    <w:rsid w:val="0A1A77A1"/>
    <w:rsid w:val="0A3E3D26"/>
    <w:rsid w:val="0A4834F8"/>
    <w:rsid w:val="0A6173D2"/>
    <w:rsid w:val="0A682231"/>
    <w:rsid w:val="0A6825A9"/>
    <w:rsid w:val="0A781198"/>
    <w:rsid w:val="0A854E82"/>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C319A"/>
    <w:rsid w:val="0BE669AA"/>
    <w:rsid w:val="0BFB783E"/>
    <w:rsid w:val="0BFD5373"/>
    <w:rsid w:val="0BFD6481"/>
    <w:rsid w:val="0BFE68ED"/>
    <w:rsid w:val="0C0F0CD9"/>
    <w:rsid w:val="0C230DF6"/>
    <w:rsid w:val="0C631998"/>
    <w:rsid w:val="0C6821F6"/>
    <w:rsid w:val="0C757885"/>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5E4367"/>
    <w:rsid w:val="0E6059EA"/>
    <w:rsid w:val="0E632208"/>
    <w:rsid w:val="0E6574A4"/>
    <w:rsid w:val="0E844468"/>
    <w:rsid w:val="0E910299"/>
    <w:rsid w:val="0E9E135B"/>
    <w:rsid w:val="0EA44F43"/>
    <w:rsid w:val="0EA62844"/>
    <w:rsid w:val="0EC2669E"/>
    <w:rsid w:val="0ED75315"/>
    <w:rsid w:val="0ED756CF"/>
    <w:rsid w:val="0EDA51FE"/>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B6F68"/>
    <w:rsid w:val="10C37A22"/>
    <w:rsid w:val="10C556C7"/>
    <w:rsid w:val="10C55FD8"/>
    <w:rsid w:val="10CF4C25"/>
    <w:rsid w:val="10D97CD5"/>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D73C01"/>
    <w:rsid w:val="15EC3B3E"/>
    <w:rsid w:val="15F1786F"/>
    <w:rsid w:val="15F24B15"/>
    <w:rsid w:val="15F46C2A"/>
    <w:rsid w:val="15FA6724"/>
    <w:rsid w:val="160202FE"/>
    <w:rsid w:val="16121567"/>
    <w:rsid w:val="16175528"/>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EE2B9E"/>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E725A"/>
    <w:rsid w:val="205050F3"/>
    <w:rsid w:val="206003D6"/>
    <w:rsid w:val="20665891"/>
    <w:rsid w:val="2080479F"/>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2F3F10"/>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517C9"/>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B420E"/>
    <w:rsid w:val="2C534E85"/>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DF3360"/>
    <w:rsid w:val="2DE81100"/>
    <w:rsid w:val="2DF6381D"/>
    <w:rsid w:val="2DF6788C"/>
    <w:rsid w:val="2DFB0019"/>
    <w:rsid w:val="2E0D1588"/>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22C67"/>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913200"/>
    <w:rsid w:val="30A43A04"/>
    <w:rsid w:val="30C87FB8"/>
    <w:rsid w:val="30CB1DAF"/>
    <w:rsid w:val="30E90E2B"/>
    <w:rsid w:val="30ED02EA"/>
    <w:rsid w:val="30FF267A"/>
    <w:rsid w:val="30FF594C"/>
    <w:rsid w:val="310A2A14"/>
    <w:rsid w:val="310F59F0"/>
    <w:rsid w:val="311D200F"/>
    <w:rsid w:val="313872C0"/>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CB35CA"/>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B511E"/>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C7179"/>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92B74"/>
    <w:rsid w:val="41406E31"/>
    <w:rsid w:val="414D77A0"/>
    <w:rsid w:val="414E3836"/>
    <w:rsid w:val="41592854"/>
    <w:rsid w:val="416E516B"/>
    <w:rsid w:val="418812BB"/>
    <w:rsid w:val="418D4040"/>
    <w:rsid w:val="419E7FFC"/>
    <w:rsid w:val="419F3079"/>
    <w:rsid w:val="41AE3A67"/>
    <w:rsid w:val="41C95125"/>
    <w:rsid w:val="41E27AF9"/>
    <w:rsid w:val="41EA02ED"/>
    <w:rsid w:val="42075BA1"/>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DD6666"/>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FF6999"/>
    <w:rsid w:val="4B0E61F2"/>
    <w:rsid w:val="4B21257E"/>
    <w:rsid w:val="4B290FE3"/>
    <w:rsid w:val="4B295DF2"/>
    <w:rsid w:val="4B322207"/>
    <w:rsid w:val="4B3B5793"/>
    <w:rsid w:val="4B58050B"/>
    <w:rsid w:val="4B592E71"/>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F46E6"/>
    <w:rsid w:val="4D2059FA"/>
    <w:rsid w:val="4D2E3574"/>
    <w:rsid w:val="4D432919"/>
    <w:rsid w:val="4D451B18"/>
    <w:rsid w:val="4D4D5AFE"/>
    <w:rsid w:val="4D502AF2"/>
    <w:rsid w:val="4D5C07F9"/>
    <w:rsid w:val="4D755736"/>
    <w:rsid w:val="4D902EEE"/>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32D22"/>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5B7C64"/>
    <w:rsid w:val="56685CA8"/>
    <w:rsid w:val="56694C24"/>
    <w:rsid w:val="56740DC7"/>
    <w:rsid w:val="56753961"/>
    <w:rsid w:val="5677558B"/>
    <w:rsid w:val="569C2904"/>
    <w:rsid w:val="56AA3219"/>
    <w:rsid w:val="56B7174F"/>
    <w:rsid w:val="56CF2574"/>
    <w:rsid w:val="56CF424D"/>
    <w:rsid w:val="56DE4C00"/>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8436A"/>
    <w:rsid w:val="5AF80AC2"/>
    <w:rsid w:val="5AFE3E43"/>
    <w:rsid w:val="5B072DB6"/>
    <w:rsid w:val="5B19492B"/>
    <w:rsid w:val="5B233465"/>
    <w:rsid w:val="5B2630E4"/>
    <w:rsid w:val="5B2C01D0"/>
    <w:rsid w:val="5B506B61"/>
    <w:rsid w:val="5B5F0F2E"/>
    <w:rsid w:val="5B667984"/>
    <w:rsid w:val="5B6B796C"/>
    <w:rsid w:val="5B751975"/>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83847"/>
    <w:rsid w:val="5D791F0E"/>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603C4"/>
    <w:rsid w:val="60982996"/>
    <w:rsid w:val="60A96E90"/>
    <w:rsid w:val="60C53D01"/>
    <w:rsid w:val="60C9018D"/>
    <w:rsid w:val="60DA12FD"/>
    <w:rsid w:val="61012C93"/>
    <w:rsid w:val="61053FC5"/>
    <w:rsid w:val="610C088E"/>
    <w:rsid w:val="610C1F3F"/>
    <w:rsid w:val="61465D10"/>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0261E5"/>
    <w:rsid w:val="63162338"/>
    <w:rsid w:val="632036E4"/>
    <w:rsid w:val="63232EB3"/>
    <w:rsid w:val="63267478"/>
    <w:rsid w:val="633D315E"/>
    <w:rsid w:val="63504ABF"/>
    <w:rsid w:val="63517786"/>
    <w:rsid w:val="636447A9"/>
    <w:rsid w:val="637052D7"/>
    <w:rsid w:val="638438AF"/>
    <w:rsid w:val="6388739F"/>
    <w:rsid w:val="6389099E"/>
    <w:rsid w:val="63894210"/>
    <w:rsid w:val="63954DAA"/>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CD0D2C"/>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CE51AE"/>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024A8"/>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0407E"/>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A97E5C"/>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07CAA"/>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AB5C99"/>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B80151"/>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72C21"/>
    <w:rsid w:val="7BBC11CF"/>
    <w:rsid w:val="7BBF79A8"/>
    <w:rsid w:val="7BC24F1F"/>
    <w:rsid w:val="7BD02093"/>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E52DF"/>
    <w:rsid w:val="7ECF7C45"/>
    <w:rsid w:val="7ED82860"/>
    <w:rsid w:val="7EED4BDD"/>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14295</Words>
  <Characters>15642</Characters>
  <Lines>1</Lines>
  <Paragraphs>1</Paragraphs>
  <TotalTime>9</TotalTime>
  <ScaleCrop>false</ScaleCrop>
  <LinksUpToDate>false</LinksUpToDate>
  <CharactersWithSpaces>15832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2025-08-13T08:23:41Z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